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Digital Securities Marketplace and Lifecycle Administration</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Why Platform Economics Win</w:t>
          </w:r>
          <w:r>
            <w:tab/>
          </w:r>
          <w:r>
            <w:t xml:space="preserve">8</w:t>
          </w:r>
        </w:p>
        <w:p>
          <w:pPr>
            <w:pStyle w:val="TOC2"/>
            <w:tabs>
              <w:tab w:val="right" w:leader="dot" w:pos="9072"/>
            </w:tabs>
          </w:pPr>
          <w:r>
            <w:t xml:space="preserve">1.3 Commercial Recommendation</w:t>
          </w:r>
          <w:r>
            <w:tab/>
          </w:r>
          <w:r>
            <w:t xml:space="preserve">9</w:t>
          </w:r>
        </w:p>
        <w:p>
          <w:pPr>
            <w:pStyle w:val="TOC1"/>
            <w:tabs>
              <w:tab w:val="right" w:leader="dot" w:pos="9072"/>
            </w:tabs>
          </w:pPr>
          <w:r>
            <w:t xml:space="preserve">2. Investment Rationale</w:t>
          </w:r>
          <w:r>
            <w:tab/>
          </w:r>
          <w:r>
            <w:t xml:space="preserve">10</w:t>
          </w:r>
        </w:p>
        <w:p>
          <w:pPr>
            <w:pStyle w:val="TOC2"/>
            <w:tabs>
              <w:tab w:val="right" w:leader="dot" w:pos="9072"/>
            </w:tabs>
          </w:pPr>
          <w:r>
            <w:t xml:space="preserve">2.1 Cost of Current Approach</w:t>
          </w:r>
          <w:r>
            <w:tab/>
          </w:r>
          <w:r>
            <w:t xml:space="preserve">11</w:t>
          </w:r>
        </w:p>
        <w:p>
          <w:pPr>
            <w:pStyle w:val="TOC2"/>
            <w:tabs>
              <w:tab w:val="right" w:leader="dot" w:pos="9072"/>
            </w:tabs>
          </w:pPr>
          <w:r>
            <w:t xml:space="preserve">2.2 Why DALP Changes Economics</w:t>
          </w:r>
          <w:r>
            <w:tab/>
          </w:r>
          <w:r>
            <w:t xml:space="preserve">12</w:t>
          </w:r>
        </w:p>
        <w:p>
          <w:pPr>
            <w:pStyle w:val="TOC2"/>
            <w:tabs>
              <w:tab w:val="right" w:leader="dot" w:pos="9072"/>
            </w:tabs>
          </w:pPr>
          <w:r>
            <w:t xml:space="preserve">2.3 ROI Framework</w:t>
          </w:r>
          <w:r>
            <w:tab/>
          </w:r>
          <w:r>
            <w:t xml:space="preserve">13</w:t>
          </w:r>
        </w:p>
        <w:p>
          <w:pPr>
            <w:pStyle w:val="TOC1"/>
            <w:tabs>
              <w:tab w:val="right" w:leader="dot" w:pos="9072"/>
            </w:tabs>
          </w:pPr>
          <w:r>
            <w:t xml:space="preserve">3. Licensing Model</w:t>
          </w:r>
          <w:r>
            <w:tab/>
          </w:r>
          <w:r>
            <w:t xml:space="preserve">14</w:t>
          </w:r>
        </w:p>
        <w:p>
          <w:pPr>
            <w:pStyle w:val="TOC2"/>
            <w:tabs>
              <w:tab w:val="right" w:leader="dot" w:pos="9072"/>
            </w:tabs>
          </w:pPr>
          <w:r>
            <w:t xml:space="preserve">3.1 Philosophy</w:t>
          </w:r>
          <w:r>
            <w:tab/>
          </w:r>
          <w:r>
            <w:t xml:space="preserve">15</w:t>
          </w:r>
        </w:p>
        <w:p>
          <w:pPr>
            <w:pStyle w:val="TOC2"/>
            <w:tabs>
              <w:tab w:val="right" w:leader="dot" w:pos="9072"/>
            </w:tabs>
          </w:pPr>
          <w:r>
            <w:t xml:space="preserve">3.2 What's Included in Platform Licence</w:t>
          </w:r>
          <w:r>
            <w:tab/>
          </w:r>
          <w:r>
            <w:t xml:space="preserve">16</w:t>
          </w:r>
        </w:p>
        <w:p>
          <w:pPr>
            <w:pStyle w:val="TOC2"/>
            <w:tabs>
              <w:tab w:val="right" w:leader="dot" w:pos="9072"/>
            </w:tabs>
          </w:pPr>
          <w:r>
            <w:t xml:space="preserve">3.3 What Varies by Engagement</w:t>
          </w:r>
          <w:r>
            <w:tab/>
          </w:r>
          <w:r>
            <w:t xml:space="preserve">17</w:t>
          </w:r>
        </w:p>
        <w:p>
          <w:pPr>
            <w:pStyle w:val="TOC2"/>
            <w:tabs>
              <w:tab w:val="right" w:leader="dot" w:pos="9072"/>
            </w:tabs>
          </w:pPr>
          <w:r>
            <w:t xml:space="preserve">3.4 Platform Tiers</w:t>
          </w:r>
          <w:r>
            <w:tab/>
          </w:r>
          <w:r>
            <w:t xml:space="preserve">18</w:t>
          </w:r>
        </w:p>
        <w:p>
          <w:pPr>
            <w:pStyle w:val="TOC1"/>
            <w:tabs>
              <w:tab w:val="right" w:leader="dot" w:pos="9072"/>
            </w:tabs>
          </w:pPr>
          <w:r>
            <w:t xml:space="preserve">4. Deployment Options and Pricing</w:t>
          </w:r>
          <w:r>
            <w:tab/>
          </w:r>
          <w:r>
            <w:t xml:space="preserve">19</w:t>
          </w:r>
        </w:p>
        <w:p>
          <w:pPr>
            <w:pStyle w:val="TOC2"/>
            <w:tabs>
              <w:tab w:val="right" w:leader="dot" w:pos="9072"/>
            </w:tabs>
          </w:pPr>
          <w:r>
            <w:t xml:space="preserve">4.1 Model Overview</w:t>
          </w:r>
          <w:r>
            <w:tab/>
          </w:r>
          <w:r>
            <w:t xml:space="preserve">20</w:t>
          </w:r>
        </w:p>
        <w:p>
          <w:pPr>
            <w:pStyle w:val="TOC2"/>
            <w:tabs>
              <w:tab w:val="right" w:leader="dot" w:pos="9072"/>
            </w:tabs>
          </w:pPr>
          <w:r>
            <w:t xml:space="preserve">4.2 Recommended: Private Cloud — UAE Region</w:t>
          </w:r>
          <w:r>
            <w:tab/>
          </w:r>
          <w:r>
            <w:t xml:space="preserve">21</w:t>
          </w:r>
        </w:p>
        <w:p>
          <w:pPr>
            <w:pStyle w:val="TOC2"/>
            <w:tabs>
              <w:tab w:val="right" w:leader="dot" w:pos="9072"/>
            </w:tabs>
          </w:pPr>
          <w:r>
            <w:t xml:space="preserve">4.3 Cost Structure</w:t>
          </w:r>
          <w:r>
            <w:tab/>
          </w:r>
          <w:r>
            <w:t xml:space="preserve">22</w:t>
          </w:r>
        </w:p>
        <w:p>
          <w:pPr>
            <w:pStyle w:val="TOC2"/>
            <w:tabs>
              <w:tab w:val="right" w:leader="dot" w:pos="9072"/>
            </w:tabs>
          </w:pPr>
          <w:r>
            <w:t xml:space="preserve">4.4 Cost Drivers</w:t>
          </w:r>
          <w:r>
            <w:tab/>
          </w:r>
          <w:r>
            <w:t xml:space="preserve">23</w:t>
          </w:r>
        </w:p>
        <w:p>
          <w:pPr>
            <w:pStyle w:val="TOC1"/>
            <w:tabs>
              <w:tab w:val="right" w:leader="dot" w:pos="9072"/>
            </w:tabs>
          </w:pPr>
          <w:r>
            <w:t xml:space="preserve">5. Support and SLA Framework</w:t>
          </w:r>
          <w:r>
            <w:tab/>
          </w:r>
          <w:r>
            <w:t xml:space="preserve">24</w:t>
          </w:r>
        </w:p>
        <w:p>
          <w:pPr>
            <w:pStyle w:val="TOC2"/>
            <w:tabs>
              <w:tab w:val="right" w:leader="dot" w:pos="9072"/>
            </w:tabs>
          </w:pPr>
          <w:r>
            <w:t xml:space="preserve">5.1 Support Tiers</w:t>
          </w:r>
          <w:r>
            <w:tab/>
          </w:r>
          <w:r>
            <w:t xml:space="preserve">25</w:t>
          </w:r>
        </w:p>
        <w:p>
          <w:pPr>
            <w:pStyle w:val="TOC2"/>
            <w:tabs>
              <w:tab w:val="right" w:leader="dot" w:pos="9072"/>
            </w:tabs>
          </w:pPr>
          <w:r>
            <w:t xml:space="preserve">5.2 Severity Levels</w:t>
          </w:r>
          <w:r>
            <w:tab/>
          </w:r>
          <w:r>
            <w:t xml:space="preserve">26</w:t>
          </w:r>
        </w:p>
        <w:p>
          <w:pPr>
            <w:pStyle w:val="TOC2"/>
            <w:tabs>
              <w:tab w:val="right" w:leader="dot" w:pos="9072"/>
            </w:tabs>
          </w:pPr>
          <w:r>
            <w:t xml:space="preserve">5.3 Uptime SLA</w:t>
          </w:r>
          <w:r>
            <w:tab/>
          </w:r>
          <w:r>
            <w:t xml:space="preserve">27</w:t>
          </w:r>
        </w:p>
        <w:p>
          <w:pPr>
            <w:pStyle w:val="TOC2"/>
            <w:tabs>
              <w:tab w:val="right" w:leader="dot" w:pos="9072"/>
            </w:tabs>
          </w:pPr>
          <w:r>
            <w:t xml:space="preserve">5.4 Escalation Path</w:t>
          </w:r>
          <w:r>
            <w:tab/>
          </w:r>
          <w:r>
            <w:t xml:space="preserve">28</w:t>
          </w:r>
        </w:p>
        <w:p>
          <w:pPr>
            <w:pStyle w:val="TOC2"/>
            <w:tabs>
              <w:tab w:val="right" w:leader="dot" w:pos="9072"/>
            </w:tabs>
          </w:pPr>
          <w:r>
            <w:t xml:space="preserve">5.5 Maintenance Policy</w:t>
          </w:r>
          <w:r>
            <w:tab/>
          </w:r>
          <w:r>
            <w:t xml:space="preserve">29</w:t>
          </w:r>
        </w:p>
        <w:p>
          <w:pPr>
            <w:pStyle w:val="TOC1"/>
            <w:tabs>
              <w:tab w:val="right" w:leader="dot" w:pos="9072"/>
            </w:tabs>
          </w:pPr>
          <w:r>
            <w:t xml:space="preserve">6. Implementation Investment</w:t>
          </w:r>
          <w:r>
            <w:tab/>
          </w:r>
          <w:r>
            <w:t xml:space="preserve">30</w:t>
          </w:r>
        </w:p>
        <w:p>
          <w:pPr>
            <w:pStyle w:val="TOC2"/>
            <w:tabs>
              <w:tab w:val="right" w:leader="dot" w:pos="9072"/>
            </w:tabs>
          </w:pPr>
          <w:r>
            <w:t xml:space="preserve">6.1 Methodology</w:t>
          </w:r>
          <w:r>
            <w:tab/>
          </w:r>
          <w:r>
            <w:t xml:space="preserve">31</w:t>
          </w:r>
        </w:p>
        <w:p>
          <w:pPr>
            <w:pStyle w:val="TOC2"/>
            <w:tabs>
              <w:tab w:val="right" w:leader="dot" w:pos="9072"/>
            </w:tabs>
          </w:pPr>
          <w:r>
            <w:t xml:space="preserve">6.2 Phase Summary and Pricing</w:t>
          </w:r>
          <w:r>
            <w:tab/>
          </w:r>
          <w:r>
            <w:t xml:space="preserve">32</w:t>
          </w:r>
        </w:p>
        <w:p>
          <w:pPr>
            <w:pStyle w:val="TOC2"/>
            <w:tabs>
              <w:tab w:val="right" w:leader="dot" w:pos="9072"/>
            </w:tabs>
          </w:pPr>
          <w:r>
            <w:t xml:space="preserve">6.3 Payment Schedule</w:t>
          </w:r>
          <w:r>
            <w:tab/>
          </w:r>
          <w:r>
            <w:t xml:space="preserve">33</w:t>
          </w:r>
        </w:p>
        <w:p>
          <w:pPr>
            <w:pStyle w:val="TOC2"/>
            <w:tabs>
              <w:tab w:val="right" w:leader="dot" w:pos="9072"/>
            </w:tabs>
          </w:pPr>
          <w:r>
            <w:t xml:space="preserve">6.4 Accelerators and Risks</w:t>
          </w:r>
          <w:r>
            <w:tab/>
          </w:r>
          <w:r>
            <w:t xml:space="preserve">34</w:t>
          </w:r>
        </w:p>
        <w:p>
          <w:pPr>
            <w:pStyle w:val="TOC2"/>
            <w:tabs>
              <w:tab w:val="right" w:leader="dot" w:pos="9072"/>
            </w:tabs>
          </w:pPr>
          <w:r>
            <w:t xml:space="preserve">6.5 Training</w:t>
          </w:r>
          <w:r>
            <w:tab/>
          </w:r>
          <w:r>
            <w:t xml:space="preserve">35</w:t>
          </w:r>
        </w:p>
        <w:p>
          <w:pPr>
            <w:pStyle w:val="TOC1"/>
            <w:tabs>
              <w:tab w:val="right" w:leader="dot" w:pos="9072"/>
            </w:tabs>
          </w:pPr>
          <w:r>
            <w:t xml:space="preserve">7. Commercial Terms</w:t>
          </w:r>
          <w:r>
            <w:tab/>
          </w:r>
          <w:r>
            <w:t xml:space="preserve">36</w:t>
          </w:r>
        </w:p>
        <w:p>
          <w:pPr>
            <w:pStyle w:val="TOC2"/>
            <w:tabs>
              <w:tab w:val="right" w:leader="dot" w:pos="9072"/>
            </w:tabs>
          </w:pPr>
          <w:r>
            <w:t xml:space="preserve">7.1 Contract Structure</w:t>
          </w:r>
          <w:r>
            <w:tab/>
          </w:r>
          <w:r>
            <w:t xml:space="preserve">37</w:t>
          </w:r>
        </w:p>
        <w:p>
          <w:pPr>
            <w:pStyle w:val="TOC2"/>
            <w:tabs>
              <w:tab w:val="right" w:leader="dot" w:pos="9072"/>
            </w:tabs>
          </w:pPr>
          <w:r>
            <w:t xml:space="preserve">7.2 Payment Schedule</w:t>
          </w:r>
          <w:r>
            <w:tab/>
          </w:r>
          <w:r>
            <w:t xml:space="preserve">38</w:t>
          </w:r>
        </w:p>
        <w:p>
          <w:pPr>
            <w:pStyle w:val="TOC2"/>
            <w:tabs>
              <w:tab w:val="right" w:leader="dot" w:pos="9072"/>
            </w:tabs>
          </w:pPr>
          <w:r>
            <w:t xml:space="preserve">7.3 Duration</w:t>
          </w:r>
          <w:r>
            <w:tab/>
          </w:r>
          <w:r>
            <w:t xml:space="preserve">39</w:t>
          </w:r>
        </w:p>
        <w:p>
          <w:pPr>
            <w:pStyle w:val="TOC2"/>
            <w:tabs>
              <w:tab w:val="right" w:leader="dot" w:pos="9072"/>
            </w:tabs>
          </w:pPr>
          <w:r>
            <w:t xml:space="preserve">7.4 Renewal</w:t>
          </w:r>
          <w:r>
            <w:tab/>
          </w:r>
          <w:r>
            <w:t xml:space="preserve">40</w:t>
          </w:r>
        </w:p>
        <w:p>
          <w:pPr>
            <w:pStyle w:val="TOC2"/>
            <w:tabs>
              <w:tab w:val="right" w:leader="dot" w:pos="9072"/>
            </w:tabs>
          </w:pPr>
          <w:r>
            <w:t xml:space="preserve">7.5 Termination</w:t>
          </w:r>
          <w:r>
            <w:tab/>
          </w:r>
          <w:r>
            <w:t xml:space="preserve">41</w:t>
          </w:r>
        </w:p>
        <w:p>
          <w:pPr>
            <w:pStyle w:val="TOC2"/>
            <w:tabs>
              <w:tab w:val="right" w:leader="dot" w:pos="9072"/>
            </w:tabs>
          </w:pPr>
          <w:r>
            <w:t xml:space="preserve">7.6 Intellectual Property</w:t>
          </w:r>
          <w:r>
            <w:tab/>
          </w:r>
          <w:r>
            <w:t xml:space="preserve">42</w:t>
          </w:r>
        </w:p>
        <w:p>
          <w:pPr>
            <w:pStyle w:val="TOC2"/>
            <w:tabs>
              <w:tab w:val="right" w:leader="dot" w:pos="9072"/>
            </w:tabs>
          </w:pPr>
          <w:r>
            <w:t xml:space="preserve">7.7 Liability</w:t>
          </w:r>
          <w:r>
            <w:tab/>
          </w:r>
          <w:r>
            <w:t xml:space="preserve">43</w:t>
          </w:r>
        </w:p>
        <w:p>
          <w:pPr>
            <w:pStyle w:val="TOC2"/>
            <w:tabs>
              <w:tab w:val="right" w:leader="dot" w:pos="9072"/>
            </w:tabs>
          </w:pPr>
          <w:r>
            <w:t xml:space="preserve">7.8 Confidentiality</w:t>
          </w:r>
          <w:r>
            <w:tab/>
          </w:r>
          <w:r>
            <w:t xml:space="preserve">44</w:t>
          </w:r>
        </w:p>
        <w:p>
          <w:pPr>
            <w:pStyle w:val="TOC2"/>
            <w:tabs>
              <w:tab w:val="right" w:leader="dot" w:pos="9072"/>
            </w:tabs>
          </w:pPr>
          <w:r>
            <w:t xml:space="preserve">7.9 Escrow</w:t>
          </w:r>
          <w:r>
            <w:tab/>
          </w:r>
          <w:r>
            <w:t xml:space="preserve">45</w:t>
          </w:r>
        </w:p>
        <w:p>
          <w:pPr>
            <w:pStyle w:val="TOC1"/>
            <w:tabs>
              <w:tab w:val="right" w:leader="dot" w:pos="9072"/>
            </w:tabs>
          </w:pPr>
          <w:r>
            <w:t xml:space="preserve">8. Total Cost of Ownership</w:t>
          </w:r>
          <w:r>
            <w:tab/>
          </w:r>
          <w:r>
            <w:t xml:space="preserve">46</w:t>
          </w:r>
        </w:p>
        <w:p>
          <w:pPr>
            <w:pStyle w:val="TOC2"/>
            <w:tabs>
              <w:tab w:val="right" w:leader="dot" w:pos="9072"/>
            </w:tabs>
          </w:pPr>
          <w:r>
            <w:t xml:space="preserve">8.1 TCO Framework</w:t>
          </w:r>
          <w:r>
            <w:tab/>
          </w:r>
          <w:r>
            <w:t xml:space="preserve">47</w:t>
          </w:r>
        </w:p>
        <w:p>
          <w:pPr>
            <w:pStyle w:val="TOC2"/>
            <w:tabs>
              <w:tab w:val="right" w:leader="dot" w:pos="9072"/>
            </w:tabs>
          </w:pPr>
          <w:r>
            <w:t xml:space="preserve">8.2 Three-Year TCO — DALP Platform</w:t>
          </w:r>
          <w:r>
            <w:tab/>
          </w:r>
          <w:r>
            <w:t xml:space="preserve">48</w:t>
          </w:r>
        </w:p>
        <w:p>
          <w:pPr>
            <w:pStyle w:val="TOC2"/>
            <w:tabs>
              <w:tab w:val="right" w:leader="dot" w:pos="9072"/>
            </w:tabs>
          </w:pPr>
          <w:r>
            <w:t xml:space="preserve">8.3 Three-Year TCO — Internal Build</w:t>
          </w:r>
          <w:r>
            <w:tab/>
          </w:r>
          <w:r>
            <w:t xml:space="preserve">49</w:t>
          </w:r>
        </w:p>
        <w:p>
          <w:pPr>
            <w:pStyle w:val="TOC2"/>
            <w:tabs>
              <w:tab w:val="right" w:leader="dot" w:pos="9072"/>
            </w:tabs>
          </w:pPr>
          <w:r>
            <w:t xml:space="preserve">8.4 Three-Year TCO — Multi-Vendor Assembly</w:t>
          </w:r>
          <w:r>
            <w:tab/>
          </w:r>
          <w:r>
            <w:t xml:space="preserve">50</w:t>
          </w:r>
        </w:p>
        <w:p>
          <w:pPr>
            <w:pStyle w:val="TOC2"/>
            <w:tabs>
              <w:tab w:val="right" w:leader="dot" w:pos="9072"/>
            </w:tabs>
          </w:pPr>
          <w:r>
            <w:t xml:space="preserve">8.5 Comparative Analysis</w:t>
          </w:r>
          <w:r>
            <w:tab/>
          </w:r>
          <w:r>
            <w:t xml:space="preserve">51</w:t>
          </w:r>
        </w:p>
        <w:p>
          <w:pPr>
            <w:pStyle w:val="TOC1"/>
            <w:tabs>
              <w:tab w:val="right" w:leader="dot" w:pos="9072"/>
            </w:tabs>
          </w:pPr>
          <w:r>
            <w:t xml:space="preserve">9. Reference Clients</w:t>
          </w:r>
          <w:r>
            <w:tab/>
          </w:r>
          <w:r>
            <w:t xml:space="preserve">52</w:t>
          </w:r>
        </w:p>
        <w:p>
          <w:pPr>
            <w:pStyle w:val="TOC2"/>
            <w:tabs>
              <w:tab w:val="right" w:leader="dot" w:pos="9072"/>
            </w:tabs>
          </w:pPr>
          <w:r>
            <w:t xml:space="preserve">9.1 Reference Track Record</w:t>
          </w:r>
          <w:r>
            <w:tab/>
          </w:r>
          <w:r>
            <w:t xml:space="preserve">53</w:t>
          </w:r>
        </w:p>
        <w:p>
          <w:pPr>
            <w:pStyle w:val="TOC2"/>
            <w:tabs>
              <w:tab w:val="right" w:leader="dot" w:pos="9072"/>
            </w:tabs>
          </w:pPr>
          <w:r>
            <w:t xml:space="preserve">9.2 Expanded Case Studies</w:t>
          </w:r>
          <w:r>
            <w:tab/>
          </w:r>
          <w:r>
            <w:t xml:space="preserve">54</w:t>
          </w:r>
        </w:p>
        <w:p>
          <w:pPr>
            <w:pStyle w:val="TOC3"/>
            <w:tabs>
              <w:tab w:val="right" w:leader="dot" w:pos="9072"/>
            </w:tabs>
          </w:pPr>
          <w:r>
            <w:t xml:space="preserve">Euronext — Digital Securities Listing Platform</w:t>
          </w:r>
          <w:r>
            <w:tab/>
          </w:r>
          <w:r>
            <w:t xml:space="preserve">55</w:t>
          </w:r>
        </w:p>
        <w:p>
          <w:pPr>
            <w:pStyle w:val="TOC3"/>
            <w:tabs>
              <w:tab w:val="right" w:leader="dot" w:pos="9072"/>
            </w:tabs>
          </w:pPr>
          <w:r>
            <w:t xml:space="preserve">Central Bank of UAE — Digital Dirham Infrastructure</w:t>
          </w:r>
          <w:r>
            <w:tab/>
          </w:r>
          <w:r>
            <w:t xml:space="preserve">56</w:t>
          </w:r>
        </w:p>
        <w:p>
          <w:pPr>
            <w:pStyle w:val="TOC1"/>
            <w:tabs>
              <w:tab w:val="right" w:leader="dot" w:pos="9072"/>
            </w:tabs>
          </w:pPr>
          <w:r>
            <w:t xml:space="preserve">10. Next Steps</w:t>
          </w:r>
          <w:r>
            <w:tab/>
          </w:r>
          <w:r>
            <w:t xml:space="preserve">57</w:t>
          </w:r>
        </w:p>
        <w:p>
          <w:pPr>
            <w:pStyle w:val="TOC2"/>
            <w:tabs>
              <w:tab w:val="right" w:leader="dot" w:pos="9072"/>
            </w:tabs>
          </w:pPr>
          <w:r>
            <w:t xml:space="preserve">10.1 Proposed Engagement Path</w:t>
          </w:r>
          <w:r>
            <w:tab/>
          </w:r>
          <w:r>
            <w:t xml:space="preserve">58</w:t>
          </w:r>
        </w:p>
        <w:p>
          <w:pPr>
            <w:pStyle w:val="TOC2"/>
            <w:tabs>
              <w:tab w:val="right" w:leader="dot" w:pos="9072"/>
            </w:tabs>
          </w:pPr>
          <w:r>
            <w:t xml:space="preserve">10.2 SettleMint Contacts</w:t>
          </w:r>
          <w:r>
            <w:tab/>
          </w:r>
          <w:r>
            <w:t xml:space="preserve">59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Digital Securities Marketplace and Lifecycle Administration"</w:t>
      </w:r>
    </w:p>
    <w:p>
      <w:r>
        <w:rPr>
          <w:rFonts w:ascii="Figtree" w:hAnsi="Figtree"/>
          <w:b w:val="0"/>
          <w:i w:val="0"/>
          <w:sz w:val="22"/>
        </w:rPr>
        <w:t>client: "ADX Abu Dhabi Securities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"ADX-ABU-DHABI-SECURITIES-EXCHANGE-RFP-DIGITAL-SECURITIES-MARKETPLACE-202603"</w:t>
      </w:r>
    </w:p>
    <w:p>
      <w:r>
        <w:br w:type="page"/>
      </w:r>
    </w:p>
    <w:p>
      <w:pPr>
        <w:pStyle w:val="H1"/>
        <w:numPr>
          <w:ilvl w:val="0"/>
          <w:numId w:val="1"/>
        </w:numPr>
      </w:pPr>
      <w:r>
        <w:t>Commercial Proposal</w:t>
      </w:r>
    </w:p>
    <w:p>
      <w:pPr>
        <w:pStyle w:val="H2"/>
        <w:numPr>
          <w:ilvl w:val="1"/>
          <w:numId w:val="1"/>
        </w:numPr>
      </w:pPr>
      <w:r>
        <w:t>Digital Securities Marketplace and Lifecycle Administration</w:t>
      </w:r>
    </w:p>
    <w:p>
      <w:r>
        <w:br w:type="page"/>
      </w:r>
    </w:p>
    <w:p>
      <w:r>
        <w:rPr>
          <w:rFonts w:ascii="Figtree" w:hAnsi="Figtree"/>
          <w:b/>
          <w:i w:val="0"/>
          <w:sz w:val="22"/>
        </w:rPr>
        <w:t>Document Title:</w:t>
      </w:r>
      <w:r>
        <w:rPr>
          <w:rFonts w:ascii="Figtree" w:hAnsi="Figtree"/>
          <w:b w:val="0"/>
          <w:i w:val="0"/>
          <w:sz w:val="22"/>
        </w:rPr>
        <w:t xml:space="preserve"> Commercial Proposal — Digital Securities Marketplace and Lifecycle Administration</w:t>
      </w:r>
    </w:p>
    <w:p>
      <w:r>
        <w:rPr>
          <w:rFonts w:ascii="Figtree" w:hAnsi="Figtree"/>
          <w:b/>
          <w:i w:val="0"/>
          <w:sz w:val="22"/>
        </w:rPr>
        <w:t>Client:</w:t>
      </w:r>
      <w:r>
        <w:rPr>
          <w:rFonts w:ascii="Figtree" w:hAnsi="Figtree"/>
          <w:b w:val="0"/>
          <w:i w:val="0"/>
          <w:sz w:val="22"/>
        </w:rPr>
        <w:t xml:space="preserve"> ADX Abu Dhabi Securities Exchange</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1.2 (Final)</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ADX Abu Dhabi Securities Exchange is making a platform infrastructure decision that will shape its digital securities operating model for the next five to ten years. The procurement is not for a point solution or a pilot; it is for a production-grade digital asset lifecycle platform that must integrate with CSD infrastructure, regulatory reporting frameworks, broker connectivity, and market surveillance systems — and operate under the continuous audit and supervisory scrutiny that a national exchange operator must withstand.</w:t>
      </w:r>
    </w:p>
    <w:p>
      <w:r>
        <w:rPr>
          <w:rFonts w:ascii="Figtree" w:hAnsi="Figtree"/>
          <w:b w:val="0"/>
          <w:i w:val="0"/>
          <w:sz w:val="22"/>
        </w:rPr>
        <w:t>The commercial decision has three dimensions. First, build versus platform: the cost of assembling a bespoke digital securities platform in-house or through a collection of specialist vendors is substantially higher than licensing a purpose-built platform. Second, platform selection: not all platforms can operate at institutional scale with the governance, evidence, and operational maturity that ADX requires. Third, implementation realism: the total cost of ownership depends not only on licence fees but on implementation effort, integration complexity, ongoing support, and the cost of operational risk if the platform fails to meet regulatory evidence requirements.</w:t>
      </w:r>
    </w:p>
    <w:p>
      <w:r>
        <w:rPr>
          <w:rFonts w:ascii="Figtree" w:hAnsi="Figtree"/>
          <w:b w:val="0"/>
          <w:i w:val="0"/>
          <w:sz w:val="22"/>
        </w:rPr>
        <w:t>SettleMint recommends the DALP Enterprise tier on a private cloud deployment model within UAE, with Enterprise-level 24/7 support. The total investment over three years is summarized below. Detailed breakdowns follow in subsequent sections.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49"/>
        <w:gridCol w:w="1459"/>
        <w:gridCol w:w="1251"/>
        <w:gridCol w:w="1251"/>
        <w:gridCol w:w="145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(Enterprise Tier)</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$320,000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$320,000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 UAE)</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$288,000</w:t>
            </w:r>
          </w:p>
        </w:tc>
      </w:tr>
      <w:tr>
        <w:trPr>
          <w:trHeight w:val="425" w:hRule="atLeast"/>
        </w:trPr>
        <w:tc>
          <w:tcPr>
            <w:tcW w:type="dxa" w:w="1949"/>
            <w:vAlign w:val="center"/>
          </w:tcPr>
          <w:p>
            <w:pPr>
              <w:spacing w:line="276" w:lineRule="auto" w:before="0" w:after="0"/>
            </w:pPr>
            <w:r/>
            <w:r>
              <w:rPr>
                <w:rFonts w:ascii="Figtree" w:hAnsi="Figtree"/>
                <w:b w:val="0"/>
                <w:i w:val="0"/>
                <w:sz w:val="20"/>
              </w:rPr>
              <w:t>Support (Enterprise Tier)</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$24,000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$36,000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$1,064,000</w:t>
            </w:r>
          </w:p>
        </w:tc>
        <w:tc>
          <w:tcPr>
            <w:tcW w:type="dxa" w:w="1949"/>
            <w:vAlign w:val="center"/>
          </w:tcPr>
          <w:p>
            <w:pPr>
              <w:spacing w:line="276" w:lineRule="auto" w:before="0" w:after="0"/>
            </w:pPr>
            <w:r/>
            <w:r>
              <w:rPr>
                <w:rFonts w:ascii="Figtree" w:hAnsi="Figtree"/>
                <w:b/>
                <w:i w:val="0"/>
                <w:sz w:val="20"/>
              </w:rPr>
              <w:t>$720,000</w:t>
            </w:r>
          </w:p>
        </w:tc>
        <w:tc>
          <w:tcPr>
            <w:tcW w:type="dxa" w:w="1949"/>
            <w:vAlign w:val="center"/>
          </w:tcPr>
          <w:p>
            <w:pPr>
              <w:spacing w:line="276" w:lineRule="auto" w:before="0" w:after="0"/>
            </w:pPr>
            <w:r/>
            <w:r>
              <w:rPr>
                <w:rFonts w:ascii="Figtree" w:hAnsi="Figtree"/>
                <w:b/>
                <w:i w:val="0"/>
                <w:sz w:val="20"/>
              </w:rPr>
              <w:t>$732,000</w:t>
            </w:r>
          </w:p>
        </w:tc>
        <w:tc>
          <w:tcPr>
            <w:tcW w:type="dxa" w:w="1949"/>
            <w:vAlign w:val="center"/>
          </w:tcPr>
          <w:p>
            <w:pPr>
              <w:spacing w:line="276" w:lineRule="auto" w:before="0" w:after="0"/>
            </w:pPr>
            <w:r/>
            <w:r>
              <w:rPr>
                <w:rFonts w:ascii="Figtree" w:hAnsi="Figtree"/>
                <w:b/>
                <w:i w:val="0"/>
                <w:sz w:val="20"/>
              </w:rPr>
              <w:t>$2,516,000</w:t>
            </w:r>
          </w:p>
        </w:tc>
      </w:tr>
    </w:tbl>
    <w:p>
      <w:pPr>
        <w:spacing w:before="0" w:after="0" w:line="120" w:lineRule="exact"/>
      </w:pPr>
    </w:p>
    <w:p>
      <w:r>
        <w:rPr>
          <w:rFonts w:ascii="Figtree" w:hAnsi="Figtree"/>
          <w:b w:val="0"/>
          <w:i w:val="0"/>
          <w:sz w:val="22"/>
        </w:rPr>
        <w:t>&gt; All figures are indicative USD amounts subject to final commercial agreement. Figures assume private cloud deployment, Enterprise support tier, and scope as defined in the accompanying technical proposal. Pricing is valid for 90 days from submission date.</w:t>
      </w:r>
    </w:p>
    <w:p>
      <w:pPr>
        <w:pStyle w:val="H2"/>
        <w:numPr>
          <w:ilvl w:val="1"/>
          <w:numId w:val="1"/>
        </w:numPr>
      </w:pPr>
      <w:r>
        <w:t>1.2 Why Platform Economics Win</w:t>
      </w:r>
    </w:p>
    <w:p>
      <w:r>
        <w:rPr>
          <w:rFonts w:ascii="Figtree" w:hAnsi="Figtree"/>
          <w:b w:val="0"/>
          <w:i w:val="0"/>
          <w:sz w:val="22"/>
        </w:rPr>
        <w:t>Assembling equivalent capability from specialist vendors — token issuance platform, compliance engine, identity management layer, settlement integration layer, audit evidence system — requires not only multiple licence agreements but a permanent integration and governance overhead. SettleMint's production evidence from comparable deployments shows that multi-vendor assembled stacks require two to three times the ongoing integration maintenance effort of a unified platform, in addition to higher initial implementation costs.</w:t>
      </w:r>
    </w:p>
    <w:p>
      <w:r>
        <w:rPr>
          <w:rFonts w:ascii="Figtree" w:hAnsi="Figtree"/>
          <w:b w:val="0"/>
          <w:i w:val="0"/>
          <w:sz w:val="22"/>
        </w:rPr>
        <w:t>DALP provides a unified platform that covers the entire lifecycle from issuance through maturity. The licence includes bond and equity asset types, twelve compliance modules, eleven token features, the complete API surface, observability tooling, and the operational evidence capabilities required for regulated market infrastructure. ADX pays a single licence that covers all of these capabilities; there is no per-transaction fee and no per-compliance-check charge.</w:t>
      </w:r>
    </w:p>
    <w:p>
      <w:pPr>
        <w:pStyle w:val="H2"/>
        <w:numPr>
          <w:ilvl w:val="1"/>
          <w:numId w:val="1"/>
        </w:numPr>
      </w:pPr>
      <w:r>
        <w:t>1.3 Commercial Recommendation</w:t>
      </w:r>
    </w:p>
    <w:p>
      <w:r>
        <w:rPr>
          <w:rFonts w:ascii="Figtree" w:hAnsi="Figtree"/>
          <w:b w:val="0"/>
          <w:i w:val="0"/>
          <w:sz w:val="22"/>
        </w:rPr>
        <w:t>SettleMint recommends:</w:t>
      </w:r>
    </w:p>
    <w:p>
      <w:pPr>
        <w:pStyle w:val="ListParagraph"/>
        <w:numPr>
          <w:ilvl w:val="0"/>
          <w:numId w:val="4"/>
        </w:numPr>
      </w:pPr>
      <w:r>
        <w:rPr>
          <w:rFonts w:ascii="Figtree" w:hAnsi="Figtree"/>
          <w:b/>
          <w:i w:val="0"/>
          <w:sz w:val="22"/>
        </w:rPr>
        <w:t>Licence tier:</w:t>
      </w:r>
      <w:r>
        <w:rPr>
          <w:rFonts w:ascii="Figtree" w:hAnsi="Figtree"/>
          <w:b w:val="0"/>
          <w:i w:val="0"/>
          <w:sz w:val="22"/>
        </w:rPr>
        <w:t xml:space="preserve"> Enterprise</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Private cloud, UAE region (Azure UAE North recommended)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24/7</w:t>
      </w:r>
    </w:p>
    <w:p>
      <w:pPr>
        <w:pStyle w:val="ListParagraph"/>
        <w:numPr>
          <w:ilvl w:val="0"/>
          <w:numId w:val="4"/>
        </w:numPr>
      </w:pPr>
      <w:r>
        <w:rPr>
          <w:rFonts w:ascii="Figtree" w:hAnsi="Figtree"/>
          <w:b/>
          <w:i w:val="0"/>
          <w:sz w:val="22"/>
        </w:rPr>
        <w:t>Contract structure:</w:t>
      </w:r>
      <w:r>
        <w:rPr>
          <w:rFonts w:ascii="Figtree" w:hAnsi="Figtree"/>
          <w:b w:val="0"/>
          <w:i w:val="0"/>
          <w:sz w:val="22"/>
        </w:rPr>
        <w:t xml:space="preserve"> 3-year initial term with annual renewal option</w:t>
      </w:r>
    </w:p>
    <w:p>
      <w:pPr>
        <w:pStyle w:val="ListParagraph"/>
        <w:numPr>
          <w:ilvl w:val="0"/>
          <w:numId w:val="4"/>
        </w:numPr>
      </w:pPr>
      <w:r>
        <w:rPr>
          <w:rFonts w:ascii="Figtree" w:hAnsi="Figtree"/>
          <w:b/>
          <w:i w:val="0"/>
          <w:sz w:val="22"/>
        </w:rPr>
        <w:t>Payment model:</w:t>
      </w:r>
      <w:r>
        <w:rPr>
          <w:rFonts w:ascii="Figtree" w:hAnsi="Figtree"/>
          <w:b w:val="0"/>
          <w:i w:val="0"/>
          <w:sz w:val="22"/>
        </w:rPr>
        <w:t xml:space="preserve"> Annual licence in advance, implementation milestone-based, support annually in advance</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ADX is at the early stage of its digital securities marketplace capability. The relevant cost of the current approach is therefore the cost of not having this capability, plus the build cost if ADX were to attempt to assemble it independently.</w:t>
      </w:r>
    </w:p>
    <w:p>
      <w:r>
        <w:rPr>
          <w:rFonts w:ascii="Figtree" w:hAnsi="Figtree"/>
          <w:b/>
          <w:i w:val="0"/>
          <w:sz w:val="22"/>
        </w:rPr>
        <w:t>Cost of delayed market position:</w:t>
      </w:r>
      <w:r>
        <w:rPr>
          <w:rFonts w:ascii="Figtree" w:hAnsi="Figtree"/>
          <w:b w:val="0"/>
          <w:i w:val="0"/>
          <w:sz w:val="22"/>
        </w:rPr>
        <w:t xml:space="preserve"> The UAE capital markets ecosystem is moving. ADGM has established its digital asset regulatory framework. SCA is advancing tokenization guidance. Competitor exchanges in the Gulf region are investing in digital securities infrastructure. Each quarter of delay represents lost first-mover positioning and potential issuer relationships.</w:t>
      </w:r>
    </w:p>
    <w:p>
      <w:r>
        <w:rPr>
          <w:rFonts w:ascii="Figtree" w:hAnsi="Figtree"/>
          <w:b/>
          <w:i w:val="0"/>
          <w:sz w:val="22"/>
        </w:rPr>
        <w:t>Build cost estimate:</w:t>
      </w:r>
      <w:r>
        <w:rPr>
          <w:rFonts w:ascii="Figtree" w:hAnsi="Figtree"/>
          <w:b w:val="0"/>
          <w:i w:val="0"/>
          <w:sz w:val="22"/>
        </w:rPr>
        <w:t xml:space="preserve"> Assembling a comparable capability through internal development would require:</w:t>
      </w:r>
    </w:p>
    <w:p>
      <w:pPr>
        <w:pStyle w:val="ListParagraph"/>
        <w:numPr>
          <w:ilvl w:val="0"/>
          <w:numId w:val="4"/>
        </w:numPr>
      </w:pPr>
      <w:r>
        <w:rPr>
          <w:rFonts w:ascii="Figtree" w:hAnsi="Figtree"/>
          <w:b w:val="0"/>
          <w:i w:val="0"/>
          <w:sz w:val="22"/>
        </w:rPr>
        <w:t>Smart contract development team (5-6 engineers, 18-24 months): $900,000-$1,200,000</w:t>
      </w:r>
    </w:p>
    <w:p>
      <w:pPr>
        <w:pStyle w:val="ListParagraph"/>
        <w:numPr>
          <w:ilvl w:val="0"/>
          <w:numId w:val="4"/>
        </w:numPr>
      </w:pPr>
      <w:r>
        <w:rPr>
          <w:rFonts w:ascii="Figtree" w:hAnsi="Figtree"/>
          <w:b w:val="0"/>
          <w:i w:val="0"/>
          <w:sz w:val="22"/>
        </w:rPr>
        <w:t>Compliance module development and legal review: $200,000-$350,000</w:t>
      </w:r>
    </w:p>
    <w:p>
      <w:pPr>
        <w:pStyle w:val="ListParagraph"/>
        <w:numPr>
          <w:ilvl w:val="0"/>
          <w:numId w:val="4"/>
        </w:numPr>
      </w:pPr>
      <w:r>
        <w:rPr>
          <w:rFonts w:ascii="Figtree" w:hAnsi="Figtree"/>
          <w:b w:val="0"/>
          <w:i w:val="0"/>
          <w:sz w:val="22"/>
        </w:rPr>
        <w:t>Identity management layer: $150,000-$250,000</w:t>
      </w:r>
    </w:p>
    <w:p>
      <w:pPr>
        <w:pStyle w:val="ListParagraph"/>
        <w:numPr>
          <w:ilvl w:val="0"/>
          <w:numId w:val="4"/>
        </w:numPr>
      </w:pPr>
      <w:r>
        <w:rPr>
          <w:rFonts w:ascii="Figtree" w:hAnsi="Figtree"/>
          <w:b w:val="0"/>
          <w:i w:val="0"/>
          <w:sz w:val="22"/>
        </w:rPr>
        <w:t>API development and documentation: $200,000-$300,000</w:t>
      </w:r>
    </w:p>
    <w:p>
      <w:pPr>
        <w:pStyle w:val="ListParagraph"/>
        <w:numPr>
          <w:ilvl w:val="0"/>
          <w:numId w:val="4"/>
        </w:numPr>
      </w:pPr>
      <w:r>
        <w:rPr>
          <w:rFonts w:ascii="Figtree" w:hAnsi="Figtree"/>
          <w:b w:val="0"/>
          <w:i w:val="0"/>
          <w:sz w:val="22"/>
        </w:rPr>
        <w:t>Integration architecture (CSD, AML, surveillance): $300,000-$450,000</w:t>
      </w:r>
    </w:p>
    <w:p>
      <w:pPr>
        <w:pStyle w:val="ListParagraph"/>
        <w:numPr>
          <w:ilvl w:val="0"/>
          <w:numId w:val="4"/>
        </w:numPr>
      </w:pPr>
      <w:r>
        <w:rPr>
          <w:rFonts w:ascii="Figtree" w:hAnsi="Figtree"/>
          <w:b w:val="0"/>
          <w:i w:val="0"/>
          <w:sz w:val="22"/>
        </w:rPr>
        <w:t>Security audit and penetration testing: $100,000-$200,000</w:t>
      </w:r>
    </w:p>
    <w:p>
      <w:pPr>
        <w:pStyle w:val="ListParagraph"/>
        <w:numPr>
          <w:ilvl w:val="0"/>
          <w:numId w:val="4"/>
        </w:numPr>
      </w:pPr>
      <w:r>
        <w:rPr>
          <w:rFonts w:ascii="Figtree" w:hAnsi="Figtree"/>
          <w:b w:val="0"/>
          <w:i w:val="0"/>
          <w:sz w:val="22"/>
        </w:rPr>
        <w:t>Estimated total build cost: $1,850,000-$2,750,000 before production infrastructure and ongoing maintenance</w:t>
      </w:r>
    </w:p>
    <w:p>
      <w:r>
        <w:rPr>
          <w:rFonts w:ascii="Figtree" w:hAnsi="Figtree"/>
          <w:b/>
          <w:i w:val="0"/>
          <w:sz w:val="22"/>
        </w:rPr>
        <w:t>Ongoing maintenance cost:</w:t>
      </w:r>
      <w:r>
        <w:rPr>
          <w:rFonts w:ascii="Figtree" w:hAnsi="Figtree"/>
          <w:b w:val="0"/>
          <w:i w:val="0"/>
          <w:sz w:val="22"/>
        </w:rPr>
        <w:t xml:space="preserve"> An internally built platform requires a permanent maintenance team (3-4 engineers) plus periodic security audit and compliance update costs. Estimated annual maintenance: $600,000-$900,000.</w:t>
      </w:r>
    </w:p>
    <w:p>
      <w:r>
        <w:rPr>
          <w:rFonts w:ascii="Figtree" w:hAnsi="Figtree"/>
          <w:b/>
          <w:i w:val="0"/>
          <w:sz w:val="22"/>
        </w:rPr>
        <w:t>Multi-vendor assembly alternative:</w:t>
      </w:r>
      <w:r>
        <w:rPr>
          <w:rFonts w:ascii="Figtree" w:hAnsi="Figtree"/>
          <w:b w:val="0"/>
          <w:i w:val="0"/>
          <w:sz w:val="22"/>
        </w:rPr>
        <w:t xml:space="preserve"> Licensing separate platforms for token issuance, compliance, identity, and settlement integration would require: integration architecture management (ongoing), multiple vendor relationships, contract management overhead, and an integration maintenance team. Estimated additional integration overhead vs unified platform: $200,000-$400,000 per year.</w:t>
      </w:r>
    </w:p>
    <w:p>
      <w:pPr>
        <w:pStyle w:val="H2"/>
        <w:numPr>
          <w:ilvl w:val="1"/>
          <w:numId w:val="1"/>
        </w:numPr>
      </w:pPr>
      <w:r>
        <w:t>2.2 Why DALP Changes Economics</w:t>
      </w:r>
    </w:p>
    <w:p>
      <w:r>
        <w:rPr>
          <w:rFonts w:ascii="Figtree" w:hAnsi="Figtree"/>
          <w:b w:val="0"/>
          <w:i w:val="0"/>
          <w:sz w:val="22"/>
        </w:rPr>
        <w:t>DALP's platform economics change the investment profile in three ways:</w:t>
      </w:r>
    </w:p>
    <w:p>
      <w:r>
        <w:rPr>
          <w:rFonts w:ascii="Figtree" w:hAnsi="Figtree"/>
          <w:b/>
          <w:i w:val="0"/>
          <w:sz w:val="22"/>
        </w:rPr>
        <w:t>Capability bundling:</w:t>
      </w:r>
      <w:r>
        <w:rPr>
          <w:rFonts w:ascii="Figtree" w:hAnsi="Figtree"/>
          <w:b w:val="0"/>
          <w:i w:val="0"/>
          <w:sz w:val="22"/>
        </w:rPr>
        <w:t xml:space="preserve"> All lifecycle capabilities — issuance, compliance, identity, settlement, servicing, audit evidence — are included in the platform licence. There is no separate charge for compliance module usage, identity claim verification, or settlement instruction generation.</w:t>
      </w:r>
    </w:p>
    <w:p>
      <w:r>
        <w:rPr>
          <w:rFonts w:ascii="Figtree" w:hAnsi="Figtree"/>
          <w:b/>
          <w:i w:val="0"/>
          <w:sz w:val="22"/>
        </w:rPr>
        <w:t>Reuse across instruments and asset classes:</w:t>
      </w:r>
      <w:r>
        <w:rPr>
          <w:rFonts w:ascii="Figtree" w:hAnsi="Figtree"/>
          <w:b w:val="0"/>
          <w:i w:val="0"/>
          <w:sz w:val="22"/>
        </w:rPr>
        <w:t xml:space="preserve"> Once the platform is deployed and integrated, adding new instrument types (new bond series, equity instruments, future asset classes) has marginal additional cost. The compliance framework, integration architecture, and operational infrastructure are reused.</w:t>
      </w:r>
    </w:p>
    <w:p>
      <w:r>
        <w:rPr>
          <w:rFonts w:ascii="Figtree" w:hAnsi="Figtree"/>
          <w:b/>
          <w:i w:val="0"/>
          <w:sz w:val="22"/>
        </w:rPr>
        <w:t>Operational efficiency:</w:t>
      </w:r>
      <w:r>
        <w:rPr>
          <w:rFonts w:ascii="Figtree" w:hAnsi="Figtree"/>
          <w:b w:val="0"/>
          <w:i w:val="0"/>
          <w:sz w:val="22"/>
        </w:rPr>
        <w:t xml:space="preserve"> DALP's native operations tooling — exception queues, reconciliation dashboards, audit evidence export — replaces manual operational processes that would otherwise require dedicated headcount. Based on comparable production deployments at regulated financial institutions (including exchange-operator and bank deployments in Europe and Asia), operations teams handling similar volumes achieve 40-60% reduction in manual exception processing time compared to non-platform approaches. This figure reflects the automation of compliance check routing, exception queue management, and audit evidence assembly — activities that are otherwise manual in assembled or custom-built stacks.</w:t>
      </w:r>
    </w:p>
    <w:p>
      <w:pPr>
        <w:pStyle w:val="H2"/>
        <w:numPr>
          <w:ilvl w:val="1"/>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7"/>
        <w:gridCol w:w="2569"/>
        <w:gridCol w:w="1685"/>
        <w:gridCol w:w="28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Baseline (Without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DALP-Enabled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Annual Impact</w:t>
            </w:r>
          </w:p>
        </w:tc>
      </w:tr>
      <w:tr>
        <w:trPr>
          <w:trHeight w:val="425" w:hRule="atLeast"/>
        </w:trPr>
        <w:tc>
          <w:tcPr>
            <w:tcW w:type="dxa" w:w="2436"/>
            <w:vAlign w:val="center"/>
          </w:tcPr>
          <w:p>
            <w:pPr>
              <w:spacing w:line="276" w:lineRule="auto" w:before="0" w:after="0"/>
            </w:pPr>
            <w:r/>
            <w:r>
              <w:rPr>
                <w:rFonts w:ascii="Figtree" w:hAnsi="Figtree"/>
                <w:b w:val="0"/>
                <w:i w:val="0"/>
                <w:sz w:val="20"/>
              </w:rPr>
              <w:t>Build cost avoidance</w:t>
            </w:r>
          </w:p>
        </w:tc>
        <w:tc>
          <w:tcPr>
            <w:tcW w:type="dxa" w:w="2436"/>
            <w:vAlign w:val="center"/>
          </w:tcPr>
          <w:p>
            <w:pPr>
              <w:spacing w:line="276" w:lineRule="auto" w:before="0" w:after="0"/>
            </w:pPr>
            <w:r/>
            <w:r>
              <w:rPr>
                <w:rFonts w:ascii="Figtree" w:hAnsi="Figtree"/>
                <w:b w:val="0"/>
                <w:i w:val="0"/>
                <w:sz w:val="20"/>
              </w:rPr>
              <w:t>$2.0M+ internal build</w:t>
            </w:r>
          </w:p>
        </w:tc>
        <w:tc>
          <w:tcPr>
            <w:tcW w:type="dxa" w:w="2436"/>
            <w:vAlign w:val="center"/>
          </w:tcPr>
          <w:p>
            <w:pPr>
              <w:spacing w:line="276" w:lineRule="auto" w:before="0" w:after="0"/>
            </w:pPr>
            <w:r/>
            <w:r>
              <w:rPr>
                <w:rFonts w:ascii="Figtree" w:hAnsi="Figtree"/>
                <w:b w:val="0"/>
                <w:i w:val="0"/>
                <w:sz w:val="20"/>
              </w:rPr>
              <w:t>Platform licence</w:t>
            </w:r>
          </w:p>
        </w:tc>
        <w:tc>
          <w:tcPr>
            <w:tcW w:type="dxa" w:w="2436"/>
            <w:vAlign w:val="center"/>
          </w:tcPr>
          <w:p>
            <w:pPr>
              <w:spacing w:line="276" w:lineRule="auto" w:before="0" w:after="0"/>
            </w:pPr>
            <w:r/>
            <w:r>
              <w:rPr>
                <w:rFonts w:ascii="Figtree" w:hAnsi="Figtree"/>
                <w:b w:val="0"/>
                <w:i w:val="0"/>
                <w:sz w:val="20"/>
              </w:rPr>
              <w:t>$600,000+ year 1 avoidance</w:t>
            </w:r>
          </w:p>
        </w:tc>
      </w:tr>
      <w:tr>
        <w:trPr>
          <w:trHeight w:val="425" w:hRule="atLeast"/>
        </w:trPr>
        <w:tc>
          <w:tcPr>
            <w:tcW w:type="dxa" w:w="2436"/>
            <w:vAlign w:val="center"/>
          </w:tcPr>
          <w:p>
            <w:pPr>
              <w:spacing w:line="276" w:lineRule="auto" w:before="0" w:after="0"/>
            </w:pPr>
            <w:r/>
            <w:r>
              <w:rPr>
                <w:rFonts w:ascii="Figtree" w:hAnsi="Figtree"/>
                <w:b w:val="0"/>
                <w:i w:val="0"/>
                <w:sz w:val="20"/>
              </w:rPr>
              <w:t>Maintenance efficiency</w:t>
            </w:r>
          </w:p>
        </w:tc>
        <w:tc>
          <w:tcPr>
            <w:tcW w:type="dxa" w:w="2436"/>
            <w:vAlign w:val="center"/>
          </w:tcPr>
          <w:p>
            <w:pPr>
              <w:spacing w:line="276" w:lineRule="auto" w:before="0" w:after="0"/>
            </w:pPr>
            <w:r/>
            <w:r>
              <w:rPr>
                <w:rFonts w:ascii="Figtree" w:hAnsi="Figtree"/>
                <w:b w:val="0"/>
                <w:i w:val="0"/>
                <w:sz w:val="20"/>
              </w:rPr>
              <w:t>3-4 FTE maintenance team</w:t>
            </w:r>
          </w:p>
        </w:tc>
        <w:tc>
          <w:tcPr>
            <w:tcW w:type="dxa" w:w="2436"/>
            <w:vAlign w:val="center"/>
          </w:tcPr>
          <w:p>
            <w:pPr>
              <w:spacing w:line="276" w:lineRule="auto" w:before="0" w:after="0"/>
            </w:pPr>
            <w:r/>
            <w:r>
              <w:rPr>
                <w:rFonts w:ascii="Figtree" w:hAnsi="Figtree"/>
                <w:b w:val="0"/>
                <w:i w:val="0"/>
                <w:sz w:val="20"/>
              </w:rPr>
              <w:t>Included in licence</w:t>
            </w:r>
          </w:p>
        </w:tc>
        <w:tc>
          <w:tcPr>
            <w:tcW w:type="dxa" w:w="2436"/>
            <w:vAlign w:val="center"/>
          </w:tcPr>
          <w:p>
            <w:pPr>
              <w:spacing w:line="276" w:lineRule="auto" w:before="0" w:after="0"/>
            </w:pPr>
            <w:r/>
            <w:r>
              <w:rPr>
                <w:rFonts w:ascii="Figtree" w:hAnsi="Figtree"/>
                <w:b w:val="0"/>
                <w:i w:val="0"/>
                <w:sz w:val="20"/>
              </w:rPr>
              <w:t>$400,000-$600,000 annual avoidance</w:t>
            </w:r>
          </w:p>
        </w:tc>
      </w:tr>
      <w:tr>
        <w:trPr>
          <w:trHeight w:val="425" w:hRule="atLeast"/>
        </w:trPr>
        <w:tc>
          <w:tcPr>
            <w:tcW w:type="dxa" w:w="2436"/>
            <w:vAlign w:val="center"/>
          </w:tcPr>
          <w:p>
            <w:pPr>
              <w:spacing w:line="276" w:lineRule="auto" w:before="0" w:after="0"/>
            </w:pPr>
            <w:r/>
            <w:r>
              <w:rPr>
                <w:rFonts w:ascii="Figtree" w:hAnsi="Figtree"/>
                <w:b w:val="0"/>
                <w:i w:val="0"/>
                <w:sz w:val="20"/>
              </w:rPr>
              <w:t>Operations efficiency</w:t>
            </w:r>
          </w:p>
        </w:tc>
        <w:tc>
          <w:tcPr>
            <w:tcW w:type="dxa" w:w="2436"/>
            <w:vAlign w:val="center"/>
          </w:tcPr>
          <w:p>
            <w:pPr>
              <w:spacing w:line="276" w:lineRule="auto" w:before="0" w:after="0"/>
            </w:pPr>
            <w:r/>
            <w:r>
              <w:rPr>
                <w:rFonts w:ascii="Figtree" w:hAnsi="Figtree"/>
                <w:b w:val="0"/>
                <w:i w:val="0"/>
                <w:sz w:val="20"/>
              </w:rPr>
              <w:t>Manual exception processing</w:t>
            </w:r>
          </w:p>
        </w:tc>
        <w:tc>
          <w:tcPr>
            <w:tcW w:type="dxa" w:w="2436"/>
            <w:vAlign w:val="center"/>
          </w:tcPr>
          <w:p>
            <w:pPr>
              <w:spacing w:line="276" w:lineRule="auto" w:before="0" w:after="0"/>
            </w:pPr>
            <w:r/>
            <w:r>
              <w:rPr>
                <w:rFonts w:ascii="Figtree" w:hAnsi="Figtree"/>
                <w:b w:val="0"/>
                <w:i w:val="0"/>
                <w:sz w:val="20"/>
              </w:rPr>
              <w:t>Automated workflows</w:t>
            </w:r>
          </w:p>
        </w:tc>
        <w:tc>
          <w:tcPr>
            <w:tcW w:type="dxa" w:w="2436"/>
            <w:vAlign w:val="center"/>
          </w:tcPr>
          <w:p>
            <w:pPr>
              <w:spacing w:line="276" w:lineRule="auto" w:before="0" w:after="0"/>
            </w:pPr>
            <w:r/>
            <w:r>
              <w:rPr>
                <w:rFonts w:ascii="Figtree" w:hAnsi="Figtree"/>
                <w:b w:val="0"/>
                <w:i w:val="0"/>
                <w:sz w:val="20"/>
              </w:rPr>
              <w:t>$150,000-$250,000 annual savings</w:t>
            </w:r>
          </w:p>
        </w:tc>
      </w:tr>
      <w:tr>
        <w:trPr>
          <w:trHeight w:val="425" w:hRule="atLeast"/>
        </w:trPr>
        <w:tc>
          <w:tcPr>
            <w:tcW w:type="dxa" w:w="2436"/>
            <w:vAlign w:val="center"/>
          </w:tcPr>
          <w:p>
            <w:pPr>
              <w:spacing w:line="276" w:lineRule="auto" w:before="0" w:after="0"/>
            </w:pPr>
            <w:r/>
            <w:r>
              <w:rPr>
                <w:rFonts w:ascii="Figtree" w:hAnsi="Figtree"/>
                <w:b w:val="0"/>
                <w:i w:val="0"/>
                <w:sz w:val="20"/>
              </w:rPr>
              <w:t>Revenue enablement</w:t>
            </w:r>
          </w:p>
        </w:tc>
        <w:tc>
          <w:tcPr>
            <w:tcW w:type="dxa" w:w="2436"/>
            <w:vAlign w:val="center"/>
          </w:tcPr>
          <w:p>
            <w:pPr>
              <w:spacing w:line="276" w:lineRule="auto" w:before="0" w:after="0"/>
            </w:pPr>
            <w:r/>
            <w:r>
              <w:rPr>
                <w:rFonts w:ascii="Figtree" w:hAnsi="Figtree"/>
                <w:b w:val="0"/>
                <w:i w:val="0"/>
                <w:sz w:val="20"/>
              </w:rPr>
              <w:t>No digital securities capability</w:t>
            </w:r>
          </w:p>
        </w:tc>
        <w:tc>
          <w:tcPr>
            <w:tcW w:type="dxa" w:w="2436"/>
            <w:vAlign w:val="center"/>
          </w:tcPr>
          <w:p>
            <w:pPr>
              <w:spacing w:line="276" w:lineRule="auto" w:before="0" w:after="0"/>
            </w:pPr>
            <w:r/>
            <w:r>
              <w:rPr>
                <w:rFonts w:ascii="Figtree" w:hAnsi="Figtree"/>
                <w:b w:val="0"/>
                <w:i w:val="0"/>
                <w:sz w:val="20"/>
              </w:rPr>
              <w:t>Live marketplace</w:t>
            </w:r>
          </w:p>
        </w:tc>
        <w:tc>
          <w:tcPr>
            <w:tcW w:type="dxa" w:w="2436"/>
            <w:vAlign w:val="center"/>
          </w:tcPr>
          <w:p>
            <w:pPr>
              <w:spacing w:line="276" w:lineRule="auto" w:before="0" w:after="0"/>
            </w:pPr>
            <w:r/>
            <w:r>
              <w:rPr>
                <w:rFonts w:ascii="Figtree" w:hAnsi="Figtree"/>
                <w:b w:val="0"/>
                <w:i w:val="0"/>
                <w:sz w:val="20"/>
              </w:rPr>
              <w:t>New issuer revenue (ADX-specific)</w:t>
            </w:r>
          </w:p>
        </w:tc>
      </w:tr>
      <w:tr>
        <w:trPr>
          <w:trHeight w:val="425" w:hRule="atLeast"/>
        </w:trPr>
        <w:tc>
          <w:tcPr>
            <w:tcW w:type="dxa" w:w="2436"/>
            <w:vAlign w:val="center"/>
          </w:tcPr>
          <w:p>
            <w:pPr>
              <w:spacing w:line="276" w:lineRule="auto" w:before="0" w:after="0"/>
            </w:pPr>
            <w:r/>
            <w:r>
              <w:rPr>
                <w:rFonts w:ascii="Figtree" w:hAnsi="Figtree"/>
                <w:b w:val="0"/>
                <w:i w:val="0"/>
                <w:sz w:val="20"/>
              </w:rPr>
              <w:t>Regulatory risk reduction</w:t>
            </w:r>
          </w:p>
        </w:tc>
        <w:tc>
          <w:tcPr>
            <w:tcW w:type="dxa" w:w="2436"/>
            <w:vAlign w:val="center"/>
          </w:tcPr>
          <w:p>
            <w:pPr>
              <w:spacing w:line="276" w:lineRule="auto" w:before="0" w:after="0"/>
            </w:pPr>
            <w:r/>
            <w:r>
              <w:rPr>
                <w:rFonts w:ascii="Figtree" w:hAnsi="Figtree"/>
                <w:b w:val="0"/>
                <w:i w:val="0"/>
                <w:sz w:val="20"/>
              </w:rPr>
              <w:t>Manual evidence assembly</w:t>
            </w:r>
          </w:p>
        </w:tc>
        <w:tc>
          <w:tcPr>
            <w:tcW w:type="dxa" w:w="2436"/>
            <w:vAlign w:val="center"/>
          </w:tcPr>
          <w:p>
            <w:pPr>
              <w:spacing w:line="276" w:lineRule="auto" w:before="0" w:after="0"/>
            </w:pPr>
            <w:r/>
            <w:r>
              <w:rPr>
                <w:rFonts w:ascii="Figtree" w:hAnsi="Figtree"/>
                <w:b w:val="0"/>
                <w:i w:val="0"/>
                <w:sz w:val="20"/>
              </w:rPr>
              <w:t>Automated audit packs</w:t>
            </w:r>
          </w:p>
        </w:tc>
        <w:tc>
          <w:tcPr>
            <w:tcW w:type="dxa" w:w="2436"/>
            <w:vAlign w:val="center"/>
          </w:tcPr>
          <w:p>
            <w:pPr>
              <w:spacing w:line="276" w:lineRule="auto" w:before="0" w:after="0"/>
            </w:pPr>
            <w:r/>
            <w:r>
              <w:rPr>
                <w:rFonts w:ascii="Figtree" w:hAnsi="Figtree"/>
                <w:b w:val="0"/>
                <w:i w:val="0"/>
                <w:sz w:val="20"/>
              </w:rPr>
              <w:t>Audit cost reduction + risk premium</w:t>
            </w:r>
          </w:p>
        </w:tc>
      </w:tr>
    </w:tbl>
    <w:p>
      <w:pPr>
        <w:spacing w:before="0" w:after="0" w:line="120" w:lineRule="exact"/>
      </w:pPr>
    </w:p>
    <w:p>
      <w:r>
        <w:rPr>
          <w:rFonts w:ascii="Figtree" w:hAnsi="Figtree"/>
          <w:b w:val="0"/>
          <w:i w:val="0"/>
          <w:sz w:val="22"/>
        </w:rPr>
        <w:t>&gt; Payback period: Based on build-cost avoidance alone, the platform investment is recovered within the first 18 months. Operational efficiency gains continue to compound through the platform lifetime.</w:t>
      </w:r>
    </w:p>
    <w:p>
      <w:r>
        <w:br w:type="page"/>
      </w:r>
    </w:p>
    <w:p>
      <w:pPr>
        <w:pStyle w:val="H1"/>
        <w:numPr>
          <w:ilvl w:val="0"/>
          <w:numId w:val="1"/>
        </w:numPr>
      </w:pPr>
      <w:r>
        <w:t>3. Licensing Model</w:t>
      </w:r>
    </w:p>
    <w:p>
      <w:pPr>
        <w:pStyle w:val="H2"/>
        <w:numPr>
          <w:ilvl w:val="1"/>
          <w:numId w:val="1"/>
        </w:numPr>
      </w:pPr>
      <w:r>
        <w:t>3.1 Philosophy</w:t>
      </w:r>
    </w:p>
    <w:p>
      <w:r>
        <w:rPr>
          <w:rFonts w:ascii="Figtree" w:hAnsi="Figtree"/>
          <w:b w:val="0"/>
          <w:i w:val="0"/>
          <w:sz w:val="22"/>
        </w:rPr>
        <w:t>DALP is licensed as a platform, not as a transaction service. The economic principle is that ADX should not face escalating costs as the digital securities marketplace grows in volume, participant count, or instrument breadth. Per-transaction or per-compliance-check pricing would create a cost model that penalizes success and makes financial planning difficult for a market operator.</w:t>
      </w:r>
    </w:p>
    <w:p>
      <w:r>
        <w:rPr>
          <w:rFonts w:ascii="Figtree" w:hAnsi="Figtree"/>
          <w:b w:val="0"/>
          <w:i w:val="0"/>
          <w:sz w:val="22"/>
        </w:rPr>
        <w:t>The annual platform licence covers:</w:t>
      </w:r>
    </w:p>
    <w:p>
      <w:pPr>
        <w:pStyle w:val="ListParagraph"/>
        <w:numPr>
          <w:ilvl w:val="0"/>
          <w:numId w:val="4"/>
        </w:numPr>
      </w:pPr>
      <w:r>
        <w:rPr>
          <w:rFonts w:ascii="Figtree" w:hAnsi="Figtree"/>
          <w:b w:val="0"/>
          <w:i w:val="0"/>
          <w:sz w:val="22"/>
        </w:rPr>
        <w:t>All asset types (bonds, equities, funds, deposits, stablecoins, real estate, precious metals)</w:t>
      </w:r>
    </w:p>
    <w:p>
      <w:pPr>
        <w:pStyle w:val="ListParagraph"/>
        <w:numPr>
          <w:ilvl w:val="0"/>
          <w:numId w:val="4"/>
        </w:numPr>
      </w:pPr>
      <w:r>
        <w:rPr>
          <w:rFonts w:ascii="Figtree" w:hAnsi="Figtree"/>
          <w:b w:val="0"/>
          <w:i w:val="0"/>
          <w:sz w:val="22"/>
        </w:rPr>
        <w:t>All compliance modules (twelve module types)</w:t>
      </w:r>
    </w:p>
    <w:p>
      <w:pPr>
        <w:pStyle w:val="ListParagraph"/>
        <w:numPr>
          <w:ilvl w:val="0"/>
          <w:numId w:val="4"/>
        </w:numPr>
      </w:pPr>
      <w:r>
        <w:rPr>
          <w:rFonts w:ascii="Figtree" w:hAnsi="Figtree"/>
          <w:b w:val="0"/>
          <w:i w:val="0"/>
          <w:sz w:val="22"/>
        </w:rPr>
        <w:t>All token features (eleven feature types)</w:t>
      </w:r>
    </w:p>
    <w:p>
      <w:pPr>
        <w:pStyle w:val="ListParagraph"/>
        <w:numPr>
          <w:ilvl w:val="0"/>
          <w:numId w:val="4"/>
        </w:numPr>
      </w:pPr>
      <w:r>
        <w:rPr>
          <w:rFonts w:ascii="Figtree" w:hAnsi="Figtree"/>
          <w:b w:val="0"/>
          <w:i w:val="0"/>
          <w:sz w:val="22"/>
        </w:rPr>
        <w:t>Complete API access (OpenAPI 3.1, TypeScript SDK, webhooks)</w:t>
      </w:r>
    </w:p>
    <w:p>
      <w:pPr>
        <w:pStyle w:val="ListParagraph"/>
        <w:numPr>
          <w:ilvl w:val="0"/>
          <w:numId w:val="4"/>
        </w:numPr>
      </w:pPr>
      <w:r>
        <w:rPr>
          <w:rFonts w:ascii="Figtree" w:hAnsi="Figtree"/>
          <w:b w:val="0"/>
          <w:i w:val="0"/>
          <w:sz w:val="22"/>
        </w:rPr>
        <w:t>Operations dashboards and audit evidence tools</w:t>
      </w:r>
    </w:p>
    <w:p>
      <w:pPr>
        <w:pStyle w:val="ListParagraph"/>
        <w:numPr>
          <w:ilvl w:val="0"/>
          <w:numId w:val="4"/>
        </w:numPr>
      </w:pPr>
      <w:r>
        <w:rPr>
          <w:rFonts w:ascii="Figtree" w:hAnsi="Figtree"/>
          <w:b w:val="0"/>
          <w:i w:val="0"/>
          <w:sz w:val="22"/>
        </w:rPr>
        <w:t>Observability tooling (metrics, logging, tracing)</w:t>
      </w:r>
    </w:p>
    <w:p>
      <w:pPr>
        <w:pStyle w:val="ListParagraph"/>
        <w:numPr>
          <w:ilvl w:val="0"/>
          <w:numId w:val="4"/>
        </w:numPr>
      </w:pPr>
      <w:r>
        <w:rPr>
          <w:rFonts w:ascii="Figtree" w:hAnsi="Figtree"/>
          <w:b w:val="0"/>
          <w:i w:val="0"/>
          <w:sz w:val="22"/>
        </w:rPr>
        <w:t>Platform updates and security patches</w:t>
      </w:r>
    </w:p>
    <w:p>
      <w:pPr>
        <w:pStyle w:val="H2"/>
        <w:numPr>
          <w:ilvl w:val="1"/>
          <w:numId w:val="1"/>
        </w:numPr>
      </w:pPr>
      <w:r>
        <w:t>3.2 What's Included in Platform Licence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75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 Family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 Items</w:t>
            </w:r>
          </w:p>
        </w:tc>
      </w:tr>
      <w:tr>
        <w:trPr>
          <w:trHeight w:val="425" w:hRule="atLeast"/>
        </w:trPr>
        <w:tc>
          <w:tcPr>
            <w:tcW w:type="dxa" w:w="4873"/>
            <w:vAlign w:val="center"/>
          </w:tcPr>
          <w:p>
            <w:pPr>
              <w:spacing w:line="276" w:lineRule="auto" w:before="0" w:after="0"/>
            </w:pPr>
            <w:r/>
            <w:r>
              <w:rPr>
                <w:rFonts w:ascii="Figtree" w:hAnsi="Figtree"/>
                <w:b w:val="0"/>
                <w:i w:val="0"/>
                <w:sz w:val="20"/>
              </w:rPr>
              <w:t>Asset types</w:t>
            </w:r>
          </w:p>
        </w:tc>
        <w:tc>
          <w:tcPr>
            <w:tcW w:type="dxa" w:w="4873"/>
            <w:vAlign w:val="center"/>
          </w:tcPr>
          <w:p>
            <w:pPr>
              <w:spacing w:line="276" w:lineRule="auto" w:before="0" w:after="0"/>
            </w:pPr>
            <w:r/>
            <w:r>
              <w:rPr>
                <w:rFonts w:ascii="Figtree" w:hAnsi="Figtree"/>
                <w:b w:val="0"/>
                <w:i w:val="0"/>
                <w:sz w:val="20"/>
              </w:rPr>
              <w:t>Bond, Equity, Fund, Deposit, Stablecoin, Real Estate, Precious Metal</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modules</w:t>
            </w:r>
          </w:p>
        </w:tc>
        <w:tc>
          <w:tcPr>
            <w:tcW w:type="dxa" w:w="4873"/>
            <w:vAlign w:val="center"/>
          </w:tcPr>
          <w:p>
            <w:pPr>
              <w:spacing w:line="276" w:lineRule="auto" w:before="0" w:after="0"/>
            </w:pPr>
            <w:r/>
            <w:r>
              <w:rPr>
                <w:rFonts w:ascii="Figtree" w:hAnsi="Figtree"/>
                <w:b w:val="0"/>
                <w:i w:val="0"/>
                <w:sz w:val="20"/>
              </w:rPr>
              <w:t>Identity verification, country allow/block lists, investor count limit, time lock, transfer approval, supply cap, collateral requirement</w:t>
            </w:r>
          </w:p>
        </w:tc>
      </w:tr>
      <w:tr>
        <w:trPr>
          <w:trHeight w:val="425" w:hRule="atLeast"/>
        </w:trPr>
        <w:tc>
          <w:tcPr>
            <w:tcW w:type="dxa" w:w="4873"/>
            <w:vAlign w:val="center"/>
          </w:tcPr>
          <w:p>
            <w:pPr>
              <w:spacing w:line="276" w:lineRule="auto" w:before="0" w:after="0"/>
            </w:pPr>
            <w:r/>
            <w:r>
              <w:rPr>
                <w:rFonts w:ascii="Figtree" w:hAnsi="Figtree"/>
                <w:b w:val="0"/>
                <w:i w:val="0"/>
                <w:sz w:val="20"/>
              </w:rPr>
              <w:t>Token features</w:t>
            </w:r>
          </w:p>
        </w:tc>
        <w:tc>
          <w:tcPr>
            <w:tcW w:type="dxa" w:w="4873"/>
            <w:vAlign w:val="center"/>
          </w:tcPr>
          <w:p>
            <w:pPr>
              <w:spacing w:line="276" w:lineRule="auto" w:before="0" w:after="0"/>
            </w:pPr>
            <w:r/>
            <w:r>
              <w:rPr>
                <w:rFonts w:ascii="Figtree" w:hAnsi="Figtree"/>
                <w:b w:val="0"/>
                <w:i w:val="0"/>
                <w:sz w:val="20"/>
              </w:rPr>
              <w:t>Historical balances, voting power, permit, AUM fee, maturity redemption, fixed treasury yield, transaction fee variants, conversion</w:t>
            </w:r>
          </w:p>
        </w:tc>
      </w:tr>
      <w:tr>
        <w:trPr>
          <w:trHeight w:val="425" w:hRule="atLeast"/>
        </w:trPr>
        <w:tc>
          <w:tcPr>
            <w:tcW w:type="dxa" w:w="4873"/>
            <w:vAlign w:val="center"/>
          </w:tcPr>
          <w:p>
            <w:pPr>
              <w:spacing w:line="276" w:lineRule="auto" w:before="0" w:after="0"/>
            </w:pPr>
            <w:r/>
            <w:r>
              <w:rPr>
                <w:rFonts w:ascii="Figtree" w:hAnsi="Figtree"/>
                <w:b w:val="0"/>
                <w:i w:val="0"/>
                <w:sz w:val="20"/>
              </w:rPr>
              <w:t>Addons</w:t>
            </w:r>
          </w:p>
        </w:tc>
        <w:tc>
          <w:tcPr>
            <w:tcW w:type="dxa" w:w="4873"/>
            <w:vAlign w:val="center"/>
          </w:tcPr>
          <w:p>
            <w:pPr>
              <w:spacing w:line="276" w:lineRule="auto" w:before="0" w:after="0"/>
            </w:pPr>
            <w:r/>
            <w:r>
              <w:rPr>
                <w:rFonts w:ascii="Figtree" w:hAnsi="Figtree"/>
                <w:b w:val="0"/>
                <w:i w:val="0"/>
                <w:sz w:val="20"/>
              </w:rPr>
              <w:t>XvP Settlement, Yield/Distribution, Airdrop (push, merkle-drop, vesting), Vault, Token Sale</w:t>
            </w:r>
          </w:p>
        </w:tc>
      </w:tr>
      <w:tr>
        <w:trPr>
          <w:trHeight w:val="425" w:hRule="atLeast"/>
        </w:trPr>
        <w:tc>
          <w:tcPr>
            <w:tcW w:type="dxa" w:w="4873"/>
            <w:vAlign w:val="center"/>
          </w:tcPr>
          <w:p>
            <w:pPr>
              <w:spacing w:line="276" w:lineRule="auto" w:before="0" w:after="0"/>
            </w:pPr>
            <w:r/>
            <w:r>
              <w:rPr>
                <w:rFonts w:ascii="Figtree" w:hAnsi="Figtree"/>
                <w:b w:val="0"/>
                <w:i w:val="0"/>
                <w:sz w:val="20"/>
              </w:rPr>
              <w:t>API access</w:t>
            </w:r>
          </w:p>
        </w:tc>
        <w:tc>
          <w:tcPr>
            <w:tcW w:type="dxa" w:w="4873"/>
            <w:vAlign w:val="center"/>
          </w:tcPr>
          <w:p>
            <w:pPr>
              <w:spacing w:line="276" w:lineRule="auto" w:before="0" w:after="0"/>
            </w:pPr>
            <w:r/>
            <w:r>
              <w:rPr>
                <w:rFonts w:ascii="Figtree" w:hAnsi="Figtree"/>
                <w:b w:val="0"/>
                <w:i w:val="0"/>
                <w:sz w:val="20"/>
              </w:rPr>
              <w:t>OpenAPI 3.1 gateway, TypeScript SDK, webhook event streaming</w:t>
            </w:r>
          </w:p>
        </w:tc>
      </w:tr>
      <w:tr>
        <w:trPr>
          <w:trHeight w:val="425" w:hRule="atLeast"/>
        </w:trPr>
        <w:tc>
          <w:tcPr>
            <w:tcW w:type="dxa" w:w="4873"/>
            <w:vAlign w:val="center"/>
          </w:tcPr>
          <w:p>
            <w:pPr>
              <w:spacing w:line="276" w:lineRule="auto" w:before="0" w:after="0"/>
            </w:pPr>
            <w:r/>
            <w:r>
              <w:rPr>
                <w:rFonts w:ascii="Figtree" w:hAnsi="Figtree"/>
                <w:b w:val="0"/>
                <w:i w:val="0"/>
                <w:sz w:val="20"/>
              </w:rPr>
              <w:t>Operations</w:t>
            </w:r>
          </w:p>
        </w:tc>
        <w:tc>
          <w:tcPr>
            <w:tcW w:type="dxa" w:w="4873"/>
            <w:vAlign w:val="center"/>
          </w:tcPr>
          <w:p>
            <w:pPr>
              <w:spacing w:line="276" w:lineRule="auto" w:before="0" w:after="0"/>
            </w:pPr>
            <w:r/>
            <w:r>
              <w:rPr>
                <w:rFonts w:ascii="Figtree" w:hAnsi="Figtree"/>
                <w:b w:val="0"/>
                <w:i w:val="0"/>
                <w:sz w:val="20"/>
              </w:rPr>
              <w:t>Asset Console, Operations Dashboard, Admin Portal</w:t>
            </w:r>
          </w:p>
        </w:tc>
      </w:tr>
      <w:tr>
        <w:trPr>
          <w:trHeight w:val="425" w:hRule="atLeast"/>
        </w:trPr>
        <w:tc>
          <w:tcPr>
            <w:tcW w:type="dxa" w:w="4873"/>
            <w:vAlign w:val="center"/>
          </w:tcPr>
          <w:p>
            <w:pPr>
              <w:spacing w:line="276" w:lineRule="auto" w:before="0" w:after="0"/>
            </w:pPr>
            <w:r/>
            <w:r>
              <w:rPr>
                <w:rFonts w:ascii="Figtree" w:hAnsi="Figtree"/>
                <w:b w:val="0"/>
                <w:i w:val="0"/>
                <w:sz w:val="20"/>
              </w:rPr>
              <w:t>Observability</w:t>
            </w:r>
          </w:p>
        </w:tc>
        <w:tc>
          <w:tcPr>
            <w:tcW w:type="dxa" w:w="4873"/>
            <w:vAlign w:val="center"/>
          </w:tcPr>
          <w:p>
            <w:pPr>
              <w:spacing w:line="276" w:lineRule="auto" w:before="0" w:after="0"/>
            </w:pPr>
            <w:r/>
            <w:r>
              <w:rPr>
                <w:rFonts w:ascii="Figtree" w:hAnsi="Figtree"/>
                <w:b w:val="0"/>
                <w:i w:val="0"/>
                <w:sz w:val="20"/>
              </w:rPr>
              <w:t>Prometheus metrics, OpenTelemetry tracing, structured logging</w:t>
            </w:r>
          </w:p>
        </w:tc>
      </w:tr>
      <w:tr>
        <w:trPr>
          <w:trHeight w:val="425" w:hRule="atLeast"/>
        </w:trPr>
        <w:tc>
          <w:tcPr>
            <w:tcW w:type="dxa" w:w="4873"/>
            <w:vAlign w:val="center"/>
          </w:tcPr>
          <w:p>
            <w:pPr>
              <w:spacing w:line="276" w:lineRule="auto" w:before="0" w:after="0"/>
            </w:pPr>
            <w:r/>
            <w:r>
              <w:rPr>
                <w:rFonts w:ascii="Figtree" w:hAnsi="Figtree"/>
                <w:b w:val="0"/>
                <w:i w:val="0"/>
                <w:sz w:val="20"/>
              </w:rPr>
              <w:t>Updates</w:t>
            </w:r>
          </w:p>
        </w:tc>
        <w:tc>
          <w:tcPr>
            <w:tcW w:type="dxa" w:w="4873"/>
            <w:vAlign w:val="center"/>
          </w:tcPr>
          <w:p>
            <w:pPr>
              <w:spacing w:line="276" w:lineRule="auto" w:before="0" w:after="0"/>
            </w:pPr>
            <w:r/>
            <w:r>
              <w:rPr>
                <w:rFonts w:ascii="Figtree" w:hAnsi="Figtree"/>
                <w:b w:val="0"/>
                <w:i w:val="0"/>
                <w:sz w:val="20"/>
              </w:rPr>
              <w:t>All platform updates within licence tier</w:t>
            </w:r>
          </w:p>
        </w:tc>
      </w:tr>
    </w:tbl>
    <w:p>
      <w:pPr>
        <w:spacing w:before="0" w:after="0" w:line="120" w:lineRule="exact"/>
      </w:pPr>
    </w:p>
    <w:p>
      <w:pPr>
        <w:pStyle w:val="H2"/>
        <w:numPr>
          <w:ilvl w:val="1"/>
          <w:numId w:val="1"/>
        </w:numPr>
      </w:pPr>
      <w:r>
        <w:t>3.3 What Varies by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5"/>
        <w:gridCol w:w="5057"/>
        <w:gridCol w:w="24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Variable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 for ADX</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Managed SaaS vs Private Cloud vs On-Premises</w:t>
            </w:r>
          </w:p>
        </w:tc>
        <w:tc>
          <w:tcPr>
            <w:tcW w:type="dxa" w:w="3249"/>
            <w:vAlign w:val="center"/>
          </w:tcPr>
          <w:p>
            <w:pPr>
              <w:spacing w:line="276" w:lineRule="auto" w:before="0" w:after="0"/>
            </w:pPr>
            <w:r/>
            <w:r>
              <w:rPr>
                <w:rFonts w:ascii="Figtree" w:hAnsi="Figtree"/>
                <w:b w:val="0"/>
                <w:i w:val="0"/>
                <w:sz w:val="20"/>
              </w:rPr>
              <w:t>Private Cloud — UAE region</w:t>
            </w:r>
          </w:p>
        </w:tc>
      </w:tr>
      <w:tr>
        <w:trPr>
          <w:trHeight w:val="425" w:hRule="atLeast"/>
        </w:trPr>
        <w:tc>
          <w:tcPr>
            <w:tcW w:type="dxa" w:w="3249"/>
            <w:vAlign w:val="center"/>
          </w:tcPr>
          <w:p>
            <w:pPr>
              <w:spacing w:line="276" w:lineRule="auto" w:before="0" w:after="0"/>
            </w:pPr>
            <w:r/>
            <w:r>
              <w:rPr>
                <w:rFonts w:ascii="Figtree" w:hAnsi="Figtree"/>
                <w:b w:val="0"/>
                <w:i w:val="0"/>
                <w:sz w:val="20"/>
              </w:rPr>
              <w:t>Environment count</w:t>
            </w:r>
          </w:p>
        </w:tc>
        <w:tc>
          <w:tcPr>
            <w:tcW w:type="dxa" w:w="3249"/>
            <w:vAlign w:val="center"/>
          </w:tcPr>
          <w:p>
            <w:pPr>
              <w:spacing w:line="276" w:lineRule="auto" w:before="0" w:after="0"/>
            </w:pPr>
            <w:r/>
            <w:r>
              <w:rPr>
                <w:rFonts w:ascii="Figtree" w:hAnsi="Figtree"/>
                <w:b w:val="0"/>
                <w:i w:val="0"/>
                <w:sz w:val="20"/>
              </w:rPr>
              <w:t>Dev/Test/UAT/Production included; additional environments extra</w:t>
            </w:r>
          </w:p>
        </w:tc>
        <w:tc>
          <w:tcPr>
            <w:tcW w:type="dxa" w:w="3249"/>
            <w:vAlign w:val="center"/>
          </w:tcPr>
          <w:p>
            <w:pPr>
              <w:spacing w:line="276" w:lineRule="auto" w:before="0" w:after="0"/>
            </w:pPr>
            <w:r/>
            <w:r>
              <w:rPr>
                <w:rFonts w:ascii="Figtree" w:hAnsi="Figtree"/>
                <w:b w:val="0"/>
                <w:i w:val="0"/>
                <w:sz w:val="20"/>
              </w:rPr>
              <w:t>4 environments standard</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Network setup and node infrastructure</w:t>
            </w:r>
          </w:p>
        </w:tc>
        <w:tc>
          <w:tcPr>
            <w:tcW w:type="dxa" w:w="3249"/>
            <w:vAlign w:val="center"/>
          </w:tcPr>
          <w:p>
            <w:pPr>
              <w:spacing w:line="276" w:lineRule="auto" w:before="0" w:after="0"/>
            </w:pPr>
            <w:r/>
            <w:r>
              <w:rPr>
                <w:rFonts w:ascii="Figtree" w:hAnsi="Figtree"/>
                <w:b w:val="0"/>
                <w:i w:val="0"/>
                <w:sz w:val="20"/>
              </w:rPr>
              <w:t>Hyperledger Besu — 4 validators</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Tier 2 included; Tier 3 (client HSM) scoped separately</w:t>
            </w:r>
          </w:p>
        </w:tc>
        <w:tc>
          <w:tcPr>
            <w:tcW w:type="dxa" w:w="3249"/>
            <w:vAlign w:val="center"/>
          </w:tcPr>
          <w:p>
            <w:pPr>
              <w:spacing w:line="276" w:lineRule="auto" w:before="0" w:after="0"/>
            </w:pPr>
            <w:r/>
            <w:r>
              <w:rPr>
                <w:rFonts w:ascii="Figtree" w:hAnsi="Figtree"/>
                <w:b w:val="0"/>
                <w:i w:val="0"/>
                <w:sz w:val="20"/>
              </w:rPr>
              <w:t>To be confirmed in Phase 1</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Standard / Premium / Enterprise</w:t>
            </w:r>
          </w:p>
        </w:tc>
        <w:tc>
          <w:tcPr>
            <w:tcW w:type="dxa" w:w="3249"/>
            <w:vAlign w:val="center"/>
          </w:tcPr>
          <w:p>
            <w:pPr>
              <w:spacing w:line="276" w:lineRule="auto" w:before="0" w:after="0"/>
            </w:pPr>
            <w:r/>
            <w:r>
              <w:rPr>
                <w:rFonts w:ascii="Figtree" w:hAnsi="Figtree"/>
                <w:b w:val="0"/>
                <w:i w:val="0"/>
                <w:sz w:val="20"/>
              </w:rPr>
              <w:t>Enterprise recommended</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Phase-gated professional services</w:t>
            </w:r>
          </w:p>
        </w:tc>
        <w:tc>
          <w:tcPr>
            <w:tcW w:type="dxa" w:w="3249"/>
            <w:vAlign w:val="center"/>
          </w:tcPr>
          <w:p>
            <w:pPr>
              <w:spacing w:line="276" w:lineRule="auto" w:before="0" w:after="0"/>
            </w:pPr>
            <w:r/>
            <w:r>
              <w:rPr>
                <w:rFonts w:ascii="Figtree" w:hAnsi="Figtree"/>
                <w:b w:val="0"/>
                <w:i w:val="0"/>
                <w:sz w:val="20"/>
              </w:rPr>
              <w:t>18-week plan, see Section 6</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Core tracks included; extended training scoped separately</w:t>
            </w:r>
          </w:p>
        </w:tc>
        <w:tc>
          <w:tcPr>
            <w:tcW w:type="dxa" w:w="3249"/>
            <w:vAlign w:val="center"/>
          </w:tcPr>
          <w:p>
            <w:pPr>
              <w:spacing w:line="276" w:lineRule="auto" w:before="0" w:after="0"/>
            </w:pPr>
            <w:r/>
            <w:r>
              <w:rPr>
                <w:rFonts w:ascii="Figtree" w:hAnsi="Figtree"/>
                <w:b w:val="0"/>
                <w:i w:val="0"/>
                <w:sz w:val="20"/>
              </w:rPr>
              <w:t>4 tracks included</w:t>
            </w:r>
          </w:p>
        </w:tc>
      </w:tr>
    </w:tbl>
    <w:p>
      <w:pPr>
        <w:spacing w:before="0" w:after="0" w:line="120" w:lineRule="exact"/>
      </w:pPr>
    </w:p>
    <w:p>
      <w:pPr>
        <w:pStyle w:val="H2"/>
        <w:numPr>
          <w:ilvl w:val="1"/>
          <w:numId w:val="1"/>
        </w:numPr>
      </w:pPr>
      <w:r>
        <w:t>3.4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2"/>
        <w:gridCol w:w="1814"/>
        <w:gridCol w:w="2332"/>
        <w:gridCol w:w="259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Asset types</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2 (Test + Production)</w:t>
            </w:r>
          </w:p>
        </w:tc>
        <w:tc>
          <w:tcPr>
            <w:tcW w:type="dxa" w:w="2436"/>
            <w:vAlign w:val="center"/>
          </w:tcPr>
          <w:p>
            <w:pPr>
              <w:spacing w:line="276" w:lineRule="auto" w:before="0" w:after="0"/>
            </w:pPr>
            <w:r/>
            <w:r>
              <w:rPr>
                <w:rFonts w:ascii="Figtree" w:hAnsi="Figtree"/>
                <w:b w:val="0"/>
                <w:i w:val="0"/>
                <w:sz w:val="20"/>
              </w:rPr>
              <w:t>4 (Dev/Test/UAT/Production)</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Multi-entity support</w:t>
            </w:r>
          </w:p>
        </w:tc>
        <w:tc>
          <w:tcPr>
            <w:tcW w:type="dxa" w:w="2436"/>
            <w:vAlign w:val="center"/>
          </w:tcPr>
          <w:p>
            <w:pPr>
              <w:spacing w:line="276" w:lineRule="auto" w:before="0" w:after="0"/>
            </w:pPr>
            <w:r/>
            <w:r>
              <w:rPr>
                <w:rFonts w:ascii="Figtree" w:hAnsi="Figtree"/>
                <w:b w:val="0"/>
                <w:i w:val="0"/>
                <w:sz w:val="20"/>
              </w:rPr>
              <w:t>Single entity</w:t>
            </w:r>
          </w:p>
        </w:tc>
        <w:tc>
          <w:tcPr>
            <w:tcW w:type="dxa" w:w="2436"/>
            <w:vAlign w:val="center"/>
          </w:tcPr>
          <w:p>
            <w:pPr>
              <w:spacing w:line="276" w:lineRule="auto" w:before="0" w:after="0"/>
            </w:pPr>
            <w:r/>
            <w:r>
              <w:rPr>
                <w:rFonts w:ascii="Figtree" w:hAnsi="Figtree"/>
                <w:b w:val="0"/>
                <w:i w:val="0"/>
                <w:sz w:val="20"/>
              </w:rPr>
              <w:t>Multiple entities</w:t>
            </w:r>
          </w:p>
        </w:tc>
        <w:tc>
          <w:tcPr>
            <w:tcW w:type="dxa" w:w="2436"/>
            <w:vAlign w:val="center"/>
          </w:tcPr>
          <w:p>
            <w:pPr>
              <w:spacing w:line="276" w:lineRule="auto" w:before="0" w:after="0"/>
            </w:pPr>
            <w:r/>
            <w:r>
              <w:rPr>
                <w:rFonts w:ascii="Figtree" w:hAnsi="Figtree"/>
                <w:b w:val="0"/>
                <w:i w:val="0"/>
                <w:sz w:val="20"/>
              </w:rPr>
              <w:t>Full multi-entity/jurisdiction</w:t>
            </w:r>
          </w:p>
        </w:tc>
      </w:tr>
      <w:tr>
        <w:trPr>
          <w:trHeight w:val="425" w:hRule="atLeast"/>
        </w:trPr>
        <w:tc>
          <w:tcPr>
            <w:tcW w:type="dxa" w:w="2436"/>
            <w:vAlign w:val="center"/>
          </w:tcPr>
          <w:p>
            <w:pPr>
              <w:spacing w:line="276" w:lineRule="auto" w:before="0" w:after="0"/>
            </w:pPr>
            <w:r/>
            <w:r>
              <w:rPr>
                <w:rFonts w:ascii="Figtree" w:hAnsi="Figtree"/>
                <w:b w:val="0"/>
                <w:i w:val="0"/>
                <w:sz w:val="20"/>
              </w:rPr>
              <w:t>HSM/Custody options</w:t>
            </w:r>
          </w:p>
        </w:tc>
        <w:tc>
          <w:tcPr>
            <w:tcW w:type="dxa" w:w="2436"/>
            <w:vAlign w:val="center"/>
          </w:tcPr>
          <w:p>
            <w:pPr>
              <w:spacing w:line="276" w:lineRule="auto" w:before="0" w:after="0"/>
            </w:pPr>
            <w:r/>
            <w:r>
              <w:rPr>
                <w:rFonts w:ascii="Figtree" w:hAnsi="Figtree"/>
                <w:b w:val="0"/>
                <w:i w:val="0"/>
                <w:sz w:val="20"/>
              </w:rPr>
              <w:t>Cloud KMS</w:t>
            </w:r>
          </w:p>
        </w:tc>
        <w:tc>
          <w:tcPr>
            <w:tcW w:type="dxa" w:w="2436"/>
            <w:vAlign w:val="center"/>
          </w:tcPr>
          <w:p>
            <w:pPr>
              <w:spacing w:line="276" w:lineRule="auto" w:before="0" w:after="0"/>
            </w:pPr>
            <w:r/>
            <w:r>
              <w:rPr>
                <w:rFonts w:ascii="Figtree" w:hAnsi="Figtree"/>
                <w:b w:val="0"/>
                <w:i w:val="0"/>
                <w:sz w:val="20"/>
              </w:rPr>
              <w:t>Managed HSM or Client HSM</w:t>
            </w:r>
          </w:p>
        </w:tc>
        <w:tc>
          <w:tcPr>
            <w:tcW w:type="dxa" w:w="2436"/>
            <w:vAlign w:val="center"/>
          </w:tcPr>
          <w:p>
            <w:pPr>
              <w:spacing w:line="276" w:lineRule="auto" w:before="0" w:after="0"/>
            </w:pPr>
            <w:r/>
            <w:r>
              <w:rPr>
                <w:rFonts w:ascii="Figtree" w:hAnsi="Figtree"/>
                <w:b w:val="0"/>
                <w:i w:val="0"/>
                <w:sz w:val="20"/>
              </w:rPr>
              <w:t>Full client-controlled custody</w:t>
            </w:r>
          </w:p>
        </w:tc>
      </w:tr>
      <w:tr>
        <w:trPr>
          <w:trHeight w:val="425" w:hRule="atLeast"/>
        </w:trPr>
        <w:tc>
          <w:tcPr>
            <w:tcW w:type="dxa" w:w="2436"/>
            <w:vAlign w:val="center"/>
          </w:tcPr>
          <w:p>
            <w:pPr>
              <w:spacing w:line="276" w:lineRule="auto" w:before="0" w:after="0"/>
            </w:pPr>
            <w:r/>
            <w:r>
              <w:rPr>
                <w:rFonts w:ascii="Figtree" w:hAnsi="Figtree"/>
                <w:b w:val="0"/>
                <w:i w:val="0"/>
                <w:sz w:val="20"/>
              </w:rPr>
              <w:t>SLA</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Enterprise 24/7</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Regulatory template library</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 custom</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 (indicative)</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$720,000+</w:t>
            </w:r>
          </w:p>
        </w:tc>
      </w:tr>
    </w:tbl>
    <w:p>
      <w:pPr>
        <w:spacing w:before="0" w:after="0" w:line="120" w:lineRule="exact"/>
      </w:pPr>
    </w:p>
    <w:p>
      <w:r>
        <w:rPr>
          <w:rFonts w:ascii="Figtree" w:hAnsi="Figtree"/>
          <w:b/>
          <w:i w:val="0"/>
          <w:sz w:val="22"/>
        </w:rPr>
        <w:t>Recommended tier for ADX:</w:t>
      </w:r>
      <w:r>
        <w:rPr>
          <w:rFonts w:ascii="Figtree" w:hAnsi="Figtree"/>
          <w:b w:val="0"/>
          <w:i w:val="0"/>
          <w:sz w:val="22"/>
        </w:rPr>
        <w:t xml:space="preserve"> Enterprise. Rationale: ADX requires four segregated environments, multi-entity support for different instrument types and investor classes, production 99.9% SLA, and 24/7 support coverage appropriate for market infrastructure. The Sovereign tier would be appropriate if ADX expands to multi-jurisdiction deployment or requires dedicated team arrangements.</w:t>
      </w:r>
    </w:p>
    <w:p>
      <w:r>
        <w:br w:type="page"/>
      </w:r>
    </w:p>
    <w:p>
      <w:pPr>
        <w:pStyle w:val="H1"/>
        <w:numPr>
          <w:ilvl w:val="0"/>
          <w:numId w:val="1"/>
        </w:numPr>
      </w:pPr>
      <w:r>
        <w:t>4. Deployment Options and Pricing</w:t>
      </w:r>
    </w:p>
    <w:p>
      <w:pPr>
        <w:pStyle w:val="H2"/>
        <w:numPr>
          <w:ilvl w:val="1"/>
          <w:numId w:val="1"/>
        </w:numPr>
      </w:pPr>
      <w:r>
        <w:t>4.1 Model Overview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75"/>
        <w:gridCol w:w="1537"/>
        <w:gridCol w:w="1768"/>
        <w:gridCol w:w="1076"/>
        <w:gridCol w:w="261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 Ownership</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Data 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Indicative Infra Cost (Annual)</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SettleMint regions</w:t>
            </w:r>
          </w:p>
        </w:tc>
        <w:tc>
          <w:tcPr>
            <w:tcW w:type="dxa" w:w="1949"/>
            <w:vAlign w:val="center"/>
          </w:tcPr>
          <w:p>
            <w:pPr>
              <w:spacing w:line="276" w:lineRule="auto" w:before="0" w:after="0"/>
            </w:pPr>
            <w:r/>
            <w:r>
              <w:rPr>
                <w:rFonts w:ascii="Figtree" w:hAnsi="Figtree"/>
                <w:b w:val="0"/>
                <w:i w:val="0"/>
                <w:sz w:val="20"/>
              </w:rPr>
              <w:t>1-2 weeks</w:t>
            </w:r>
          </w:p>
        </w:tc>
        <w:tc>
          <w:tcPr>
            <w:tcW w:type="dxa" w:w="19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1949"/>
            <w:vAlign w:val="center"/>
          </w:tcPr>
          <w:p>
            <w:pPr>
              <w:spacing w:line="276" w:lineRule="auto" w:before="0" w:after="0"/>
            </w:pPr>
            <w:r/>
            <w:r>
              <w:rPr>
                <w:rFonts w:ascii="Figtree" w:hAnsi="Figtree"/>
                <w:b w:val="0"/>
                <w:i w:val="0"/>
                <w:sz w:val="20"/>
              </w:rPr>
              <w:t>Private Cloud (Recommended)</w:t>
            </w:r>
          </w:p>
        </w:tc>
        <w:tc>
          <w:tcPr>
            <w:tcW w:type="dxa" w:w="1949"/>
            <w:vAlign w:val="center"/>
          </w:tcPr>
          <w:p>
            <w:pPr>
              <w:spacing w:line="276" w:lineRule="auto" w:before="0" w:after="0"/>
            </w:pPr>
            <w:r/>
            <w:r>
              <w:rPr>
                <w:rFonts w:ascii="Figtree" w:hAnsi="Figtree"/>
                <w:b w:val="0"/>
                <w:i w:val="0"/>
                <w:sz w:val="20"/>
              </w:rPr>
              <w:t>Client cloud account</w:t>
            </w:r>
          </w:p>
        </w:tc>
        <w:tc>
          <w:tcPr>
            <w:tcW w:type="dxa" w:w="1949"/>
            <w:vAlign w:val="center"/>
          </w:tcPr>
          <w:p>
            <w:pPr>
              <w:spacing w:line="276" w:lineRule="auto" w:before="0" w:after="0"/>
            </w:pPr>
            <w:r/>
            <w:r>
              <w:rPr>
                <w:rFonts w:ascii="Figtree" w:hAnsi="Figtree"/>
                <w:b w:val="0"/>
                <w:i w:val="0"/>
                <w:sz w:val="20"/>
              </w:rPr>
              <w:t>Client-specified region</w:t>
            </w:r>
          </w:p>
        </w:tc>
        <w:tc>
          <w:tcPr>
            <w:tcW w:type="dxa" w:w="1949"/>
            <w:vAlign w:val="center"/>
          </w:tcPr>
          <w:p>
            <w:pPr>
              <w:spacing w:line="276" w:lineRule="auto" w:before="0" w:after="0"/>
            </w:pPr>
            <w:r/>
            <w:r>
              <w:rPr>
                <w:rFonts w:ascii="Figtree" w:hAnsi="Figtree"/>
                <w:b w:val="0"/>
                <w:i w:val="0"/>
                <w:sz w:val="20"/>
              </w:rPr>
              <w:t>4-6 weeks</w:t>
            </w:r>
          </w:p>
        </w:tc>
        <w:tc>
          <w:tcPr>
            <w:tcW w:type="dxa" w:w="1949"/>
            <w:vAlign w:val="center"/>
          </w:tcPr>
          <w:p>
            <w:pPr>
              <w:spacing w:line="276" w:lineRule="auto" w:before="0" w:after="0"/>
            </w:pPr>
            <w:r/>
            <w:r>
              <w:rPr>
                <w:rFonts w:ascii="Figtree" w:hAnsi="Figtree"/>
                <w:b w:val="0"/>
                <w:i w:val="0"/>
                <w:sz w:val="20"/>
              </w:rPr>
              <w:t>$80,000-$120,000</w:t>
            </w:r>
          </w:p>
        </w:tc>
      </w:tr>
      <w:tr>
        <w:trPr>
          <w:trHeight w:val="425" w:hRule="atLeast"/>
        </w:trPr>
        <w:tc>
          <w:tcPr>
            <w:tcW w:type="dxa" w:w="1949"/>
            <w:vAlign w:val="center"/>
          </w:tcPr>
          <w:p>
            <w:pPr>
              <w:spacing w:line="276" w:lineRule="auto" w:before="0" w:after="0"/>
            </w:pPr>
            <w:r/>
            <w:r>
              <w:rPr>
                <w:rFonts w:ascii="Figtree" w:hAnsi="Figtree"/>
                <w:b w:val="0"/>
                <w:i w:val="0"/>
                <w:sz w:val="20"/>
              </w:rPr>
              <w:t>On-Premises</w:t>
            </w:r>
          </w:p>
        </w:tc>
        <w:tc>
          <w:tcPr>
            <w:tcW w:type="dxa" w:w="1949"/>
            <w:vAlign w:val="center"/>
          </w:tcPr>
          <w:p>
            <w:pPr>
              <w:spacing w:line="276" w:lineRule="auto" w:before="0" w:after="0"/>
            </w:pPr>
            <w:r/>
            <w:r>
              <w:rPr>
                <w:rFonts w:ascii="Figtree" w:hAnsi="Figtree"/>
                <w:b w:val="0"/>
                <w:i w:val="0"/>
                <w:sz w:val="20"/>
              </w:rPr>
              <w:t>ADX datacentre</w:t>
            </w:r>
          </w:p>
        </w:tc>
        <w:tc>
          <w:tcPr>
            <w:tcW w:type="dxa" w:w="1949"/>
            <w:vAlign w:val="center"/>
          </w:tcPr>
          <w:p>
            <w:pPr>
              <w:spacing w:line="276" w:lineRule="auto" w:before="0" w:after="0"/>
            </w:pPr>
            <w:r/>
            <w:r>
              <w:rPr>
                <w:rFonts w:ascii="Figtree" w:hAnsi="Figtree"/>
                <w:b w:val="0"/>
                <w:i w:val="0"/>
                <w:sz w:val="20"/>
              </w:rPr>
              <w:t>ADX full control</w:t>
            </w:r>
          </w:p>
        </w:tc>
        <w:tc>
          <w:tcPr>
            <w:tcW w:type="dxa" w:w="1949"/>
            <w:vAlign w:val="center"/>
          </w:tcPr>
          <w:p>
            <w:pPr>
              <w:spacing w:line="276" w:lineRule="auto" w:before="0" w:after="0"/>
            </w:pPr>
            <w:r/>
            <w:r>
              <w:rPr>
                <w:rFonts w:ascii="Figtree" w:hAnsi="Figtree"/>
                <w:b w:val="0"/>
                <w:i w:val="0"/>
                <w:sz w:val="20"/>
              </w:rPr>
              <w:t>8-12 weeks</w:t>
            </w:r>
          </w:p>
        </w:tc>
        <w:tc>
          <w:tcPr>
            <w:tcW w:type="dxa" w:w="1949"/>
            <w:vAlign w:val="center"/>
          </w:tcPr>
          <w:p>
            <w:pPr>
              <w:spacing w:line="276" w:lineRule="auto" w:before="0" w:after="0"/>
            </w:pPr>
            <w:r/>
            <w:r>
              <w:rPr>
                <w:rFonts w:ascii="Figtree" w:hAnsi="Figtree"/>
                <w:b w:val="0"/>
                <w:i w:val="0"/>
                <w:sz w:val="20"/>
              </w:rPr>
              <w:t>ADX-borne hardware cost</w:t>
            </w:r>
          </w:p>
        </w:tc>
      </w:tr>
      <w:tr>
        <w:trPr>
          <w:trHeight w:val="425" w:hRule="atLeast"/>
        </w:trPr>
        <w:tc>
          <w:tcPr>
            <w:tcW w:type="dxa" w:w="1949"/>
            <w:vAlign w:val="center"/>
          </w:tcPr>
          <w:p>
            <w:pPr>
              <w:spacing w:line="276" w:lineRule="auto" w:before="0" w:after="0"/>
            </w:pPr>
            <w:r/>
            <w:r>
              <w:rPr>
                <w:rFonts w:ascii="Figtree" w:hAnsi="Figtree"/>
                <w:b w:val="0"/>
                <w:i w:val="0"/>
                <w:sz w:val="20"/>
              </w:rPr>
              <w:t>Hybrid</w:t>
            </w:r>
          </w:p>
        </w:tc>
        <w:tc>
          <w:tcPr>
            <w:tcW w:type="dxa" w:w="1949"/>
            <w:vAlign w:val="center"/>
          </w:tcPr>
          <w:p>
            <w:pPr>
              <w:spacing w:line="276" w:lineRule="auto" w:before="0" w:after="0"/>
            </w:pPr>
            <w:r/>
            <w:r>
              <w:rPr>
                <w:rFonts w:ascii="Figtree" w:hAnsi="Figtree"/>
                <w:b w:val="0"/>
                <w:i w:val="0"/>
                <w:sz w:val="20"/>
              </w:rPr>
              <w:t>Mixed</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6-8 weeks</w:t>
            </w:r>
          </w:p>
        </w:tc>
        <w:tc>
          <w:tcPr>
            <w:tcW w:type="dxa" w:w="1949"/>
            <w:vAlign w:val="center"/>
          </w:tcPr>
          <w:p>
            <w:pPr>
              <w:spacing w:line="276" w:lineRule="auto" w:before="0" w:after="0"/>
            </w:pPr>
            <w:r/>
            <w:r>
              <w:rPr>
                <w:rFonts w:ascii="Figtree" w:hAnsi="Figtree"/>
                <w:b w:val="0"/>
                <w:i w:val="0"/>
                <w:sz w:val="20"/>
              </w:rPr>
              <w:t>$60,000-$100,000 (cloud component)</w:t>
            </w:r>
          </w:p>
        </w:tc>
      </w:tr>
    </w:tbl>
    <w:p>
      <w:pPr>
        <w:spacing w:before="0" w:after="0" w:line="120" w:lineRule="exact"/>
      </w:pPr>
    </w:p>
    <w:p>
      <w:pPr>
        <w:pStyle w:val="H2"/>
        <w:numPr>
          <w:ilvl w:val="1"/>
          <w:numId w:val="1"/>
        </w:numPr>
      </w:pPr>
      <w:r>
        <w:t>4.2 Recommended: Private Cloud — UAE Region</w:t>
      </w:r>
    </w:p>
    <w:p>
      <w:r>
        <w:rPr>
          <w:rFonts w:ascii="Figtree" w:hAnsi="Figtree"/>
          <w:b w:val="0"/>
          <w:i w:val="0"/>
          <w:sz w:val="22"/>
        </w:rPr>
        <w:t>For ADX's digital securities marketplace, private cloud deployment within UAE is recommended. Infrastructure is provisioned within ADX's own cloud account (Azure or AWS), ensuring:</w:t>
      </w:r>
    </w:p>
    <w:p>
      <w:pPr>
        <w:pStyle w:val="ListParagraph"/>
        <w:numPr>
          <w:ilvl w:val="0"/>
          <w:numId w:val="4"/>
        </w:numPr>
      </w:pPr>
      <w:r>
        <w:rPr>
          <w:rFonts w:ascii="Figtree" w:hAnsi="Figtree"/>
          <w:b w:val="0"/>
          <w:i w:val="0"/>
          <w:sz w:val="22"/>
        </w:rPr>
        <w:t>All data remains within UAE territorial boundaries (CBUAE/ADGM compliance)</w:t>
      </w:r>
    </w:p>
    <w:p>
      <w:pPr>
        <w:pStyle w:val="ListParagraph"/>
        <w:numPr>
          <w:ilvl w:val="0"/>
          <w:numId w:val="4"/>
        </w:numPr>
      </w:pPr>
      <w:r>
        <w:rPr>
          <w:rFonts w:ascii="Figtree" w:hAnsi="Figtree"/>
          <w:b w:val="0"/>
          <w:i w:val="0"/>
          <w:sz w:val="22"/>
        </w:rPr>
        <w:t>ADX controls cloud account credentials and access policies</w:t>
      </w:r>
    </w:p>
    <w:p>
      <w:pPr>
        <w:pStyle w:val="ListParagraph"/>
        <w:numPr>
          <w:ilvl w:val="0"/>
          <w:numId w:val="4"/>
        </w:numPr>
      </w:pPr>
      <w:r>
        <w:rPr>
          <w:rFonts w:ascii="Figtree" w:hAnsi="Figtree"/>
          <w:b w:val="0"/>
          <w:i w:val="0"/>
          <w:sz w:val="22"/>
        </w:rPr>
        <w:t>SettleMint manages the platform software layer; ADX owns the infrastructure layer</w:t>
      </w:r>
    </w:p>
    <w:p>
      <w:pPr>
        <w:pStyle w:val="ListParagraph"/>
        <w:numPr>
          <w:ilvl w:val="0"/>
          <w:numId w:val="4"/>
        </w:numPr>
      </w:pPr>
      <w:r>
        <w:rPr>
          <w:rFonts w:ascii="Figtree" w:hAnsi="Figtree"/>
          <w:b w:val="0"/>
          <w:i w:val="0"/>
          <w:sz w:val="22"/>
        </w:rPr>
        <w:t>Full audit access to infrastructure logs and security events</w:t>
      </w:r>
    </w:p>
    <w:p>
      <w:r>
        <w:rPr>
          <w:rFonts w:ascii="Figtree" w:hAnsi="Figtree"/>
          <w:b w:val="0"/>
          <w:i w:val="0"/>
          <w:sz w:val="22"/>
        </w:rPr>
        <w:t>Indicative annual infrastructure cost: $96,000. Basis: 4 Besu validator nodes (Azure Standard</w:t>
      </w:r>
      <w:r>
        <w:rPr>
          <w:rFonts w:ascii="Figtree" w:hAnsi="Figtree"/>
          <w:b w:val="0"/>
          <w:i/>
          <w:sz w:val="22"/>
        </w:rPr>
        <w:t>D4s</w:t>
      </w:r>
      <w:r>
        <w:rPr>
          <w:rFonts w:ascii="Figtree" w:hAnsi="Figtree"/>
          <w:b w:val="0"/>
          <w:i w:val="0"/>
          <w:sz w:val="22"/>
        </w:rPr>
        <w:t>v3), 2 application tier instances (Standard</w:t>
      </w:r>
      <w:r>
        <w:rPr>
          <w:rFonts w:ascii="Figtree" w:hAnsi="Figtree"/>
          <w:b w:val="0"/>
          <w:i/>
          <w:sz w:val="22"/>
        </w:rPr>
        <w:t>D8s</w:t>
      </w:r>
      <w:r>
        <w:rPr>
          <w:rFonts w:ascii="Figtree" w:hAnsi="Figtree"/>
          <w:b w:val="0"/>
          <w:i w:val="0"/>
          <w:sz w:val="22"/>
        </w:rPr>
        <w:t>v3), PostgreSQL Flexible Server (General Purpose, 8 vCores), Redis Cache (Standard C2), Azure Key Vault, Azure Monitor, and object storage, all in UAE North region. DR standby infrastructure (reduced spec, secondary region) is included in this estimate. Actual cost varies with transaction volume, additional environments beyond four, and redundancy tier selection.</w:t>
      </w:r>
    </w:p>
    <w:p>
      <w:pPr>
        <w:pStyle w:val="H2"/>
        <w:numPr>
          <w:ilvl w:val="1"/>
          <w:numId w:val="1"/>
        </w:numPr>
      </w:pPr>
      <w:r>
        <w:t>4.3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1641"/>
        <w:gridCol w:w="1209"/>
        <w:gridCol w:w="1036"/>
        <w:gridCol w:w="1036"/>
        <w:gridCol w:w="1555"/>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Platform Licence (Enterprise)</w:t>
            </w:r>
          </w:p>
        </w:tc>
        <w:tc>
          <w:tcPr>
            <w:tcW w:type="dxa" w:w="1624"/>
            <w:vAlign w:val="center"/>
          </w:tcPr>
          <w:p>
            <w:pPr>
              <w:spacing w:line="276" w:lineRule="auto" w:before="0" w:after="0"/>
            </w:pPr>
            <w:r/>
            <w:r>
              <w:rPr>
                <w:rFonts w:ascii="Figtree" w:hAnsi="Figtree"/>
                <w:b w:val="0"/>
                <w:i w:val="0"/>
                <w:sz w:val="20"/>
              </w:rPr>
              <w:t>Recurring</w:t>
            </w:r>
          </w:p>
        </w:tc>
        <w:tc>
          <w:tcPr>
            <w:tcW w:type="dxa" w:w="1624"/>
            <w:vAlign w:val="center"/>
          </w:tcPr>
          <w:p>
            <w:pPr>
              <w:spacing w:line="276" w:lineRule="auto" w:before="0" w:after="0"/>
            </w:pPr>
            <w:r/>
            <w:r>
              <w:rPr>
                <w:rFonts w:ascii="Figtree" w:hAnsi="Figtree"/>
                <w:b w:val="0"/>
                <w:i w:val="0"/>
                <w:sz w:val="20"/>
              </w:rPr>
              <w:t>$480,000</w:t>
            </w:r>
          </w:p>
        </w:tc>
        <w:tc>
          <w:tcPr>
            <w:tcW w:type="dxa" w:w="1624"/>
            <w:vAlign w:val="center"/>
          </w:tcPr>
          <w:p>
            <w:pPr>
              <w:spacing w:line="276" w:lineRule="auto" w:before="0" w:after="0"/>
            </w:pPr>
            <w:r/>
            <w:r>
              <w:rPr>
                <w:rFonts w:ascii="Figtree" w:hAnsi="Figtree"/>
                <w:b w:val="0"/>
                <w:i w:val="0"/>
                <w:sz w:val="20"/>
              </w:rPr>
              <w:t>$480,000</w:t>
            </w:r>
          </w:p>
        </w:tc>
        <w:tc>
          <w:tcPr>
            <w:tcW w:type="dxa" w:w="1624"/>
            <w:vAlign w:val="center"/>
          </w:tcPr>
          <w:p>
            <w:pPr>
              <w:spacing w:line="276" w:lineRule="auto" w:before="0" w:after="0"/>
            </w:pPr>
            <w:r/>
            <w:r>
              <w:rPr>
                <w:rFonts w:ascii="Figtree" w:hAnsi="Figtree"/>
                <w:b w:val="0"/>
                <w:i w:val="0"/>
                <w:sz w:val="20"/>
              </w:rPr>
              <w:t>$480,000</w:t>
            </w:r>
          </w:p>
        </w:tc>
        <w:tc>
          <w:tcPr>
            <w:tcW w:type="dxa" w:w="1624"/>
            <w:vAlign w:val="center"/>
          </w:tcPr>
          <w:p>
            <w:pPr>
              <w:spacing w:line="276" w:lineRule="auto" w:before="0" w:after="0"/>
            </w:pPr>
            <w:r/>
            <w:r>
              <w:rPr>
                <w:rFonts w:ascii="Figtree" w:hAnsi="Figtree"/>
                <w:b w:val="0"/>
                <w:i w:val="0"/>
                <w:sz w:val="20"/>
              </w:rPr>
              <w:t>Annual, in advance</w:t>
            </w:r>
          </w:p>
        </w:tc>
      </w:tr>
      <w:tr>
        <w:trPr>
          <w:trHeight w:val="425" w:hRule="atLeast"/>
        </w:trPr>
        <w:tc>
          <w:tcPr>
            <w:tcW w:type="dxa" w:w="1624"/>
            <w:vAlign w:val="center"/>
          </w:tcPr>
          <w:p>
            <w:pPr>
              <w:spacing w:line="276" w:lineRule="auto" w:before="0" w:after="0"/>
            </w:pPr>
            <w:r/>
            <w:r>
              <w:rPr>
                <w:rFonts w:ascii="Figtree" w:hAnsi="Figtree"/>
                <w:b w:val="0"/>
                <w:i w:val="0"/>
                <w:sz w:val="20"/>
              </w:rPr>
              <w:t>Implementation Services</w:t>
            </w:r>
          </w:p>
        </w:tc>
        <w:tc>
          <w:tcPr>
            <w:tcW w:type="dxa" w:w="1624"/>
            <w:vAlign w:val="center"/>
          </w:tcPr>
          <w:p>
            <w:pPr>
              <w:spacing w:line="276" w:lineRule="auto" w:before="0" w:after="0"/>
            </w:pPr>
            <w:r/>
            <w:r>
              <w:rPr>
                <w:rFonts w:ascii="Figtree" w:hAnsi="Figtree"/>
                <w:b w:val="0"/>
                <w:i w:val="0"/>
                <w:sz w:val="20"/>
              </w:rPr>
              <w:t>One-time</w:t>
            </w:r>
          </w:p>
        </w:tc>
        <w:tc>
          <w:tcPr>
            <w:tcW w:type="dxa" w:w="1624"/>
            <w:vAlign w:val="center"/>
          </w:tcPr>
          <w:p>
            <w:pPr>
              <w:spacing w:line="276" w:lineRule="auto" w:before="0" w:after="0"/>
            </w:pPr>
            <w:r/>
            <w:r>
              <w:rPr>
                <w:rFonts w:ascii="Figtree" w:hAnsi="Figtree"/>
                <w:b w:val="0"/>
                <w:i w:val="0"/>
                <w:sz w:val="20"/>
              </w:rPr>
              <w:t>$320,000</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Milestone-based</w:t>
            </w:r>
          </w:p>
        </w:tc>
      </w:tr>
      <w:tr>
        <w:trPr>
          <w:trHeight w:val="425" w:hRule="atLeast"/>
        </w:trPr>
        <w:tc>
          <w:tcPr>
            <w:tcW w:type="dxa" w:w="1624"/>
            <w:vAlign w:val="center"/>
          </w:tcPr>
          <w:p>
            <w:pPr>
              <w:spacing w:line="276" w:lineRule="auto" w:before="0" w:after="0"/>
            </w:pPr>
            <w:r/>
            <w:r>
              <w:rPr>
                <w:rFonts w:ascii="Figtree" w:hAnsi="Figtree"/>
                <w:b w:val="0"/>
                <w:i w:val="0"/>
                <w:sz w:val="20"/>
              </w:rPr>
              <w:t>Infrastructure (Private Cloud)</w:t>
            </w:r>
          </w:p>
        </w:tc>
        <w:tc>
          <w:tcPr>
            <w:tcW w:type="dxa" w:w="1624"/>
            <w:vAlign w:val="center"/>
          </w:tcPr>
          <w:p>
            <w:pPr>
              <w:spacing w:line="276" w:lineRule="auto" w:before="0" w:after="0"/>
            </w:pPr>
            <w:r/>
            <w:r>
              <w:rPr>
                <w:rFonts w:ascii="Figtree" w:hAnsi="Figtree"/>
                <w:b w:val="0"/>
                <w:i w:val="0"/>
                <w:sz w:val="20"/>
              </w:rPr>
              <w:t>Recurring</w:t>
            </w:r>
          </w:p>
        </w:tc>
        <w:tc>
          <w:tcPr>
            <w:tcW w:type="dxa" w:w="1624"/>
            <w:vAlign w:val="center"/>
          </w:tcPr>
          <w:p>
            <w:pPr>
              <w:spacing w:line="276" w:lineRule="auto" w:before="0" w:after="0"/>
            </w:pPr>
            <w:r/>
            <w:r>
              <w:rPr>
                <w:rFonts w:ascii="Figtree" w:hAnsi="Figtree"/>
                <w:b w:val="0"/>
                <w:i w:val="0"/>
                <w:sz w:val="20"/>
              </w:rPr>
              <w:t>$96,000</w:t>
            </w:r>
          </w:p>
        </w:tc>
        <w:tc>
          <w:tcPr>
            <w:tcW w:type="dxa" w:w="1624"/>
            <w:vAlign w:val="center"/>
          </w:tcPr>
          <w:p>
            <w:pPr>
              <w:spacing w:line="276" w:lineRule="auto" w:before="0" w:after="0"/>
            </w:pPr>
            <w:r/>
            <w:r>
              <w:rPr>
                <w:rFonts w:ascii="Figtree" w:hAnsi="Figtree"/>
                <w:b w:val="0"/>
                <w:i w:val="0"/>
                <w:sz w:val="20"/>
              </w:rPr>
              <w:t>$96,000</w:t>
            </w:r>
          </w:p>
        </w:tc>
        <w:tc>
          <w:tcPr>
            <w:tcW w:type="dxa" w:w="1624"/>
            <w:vAlign w:val="center"/>
          </w:tcPr>
          <w:p>
            <w:pPr>
              <w:spacing w:line="276" w:lineRule="auto" w:before="0" w:after="0"/>
            </w:pPr>
            <w:r/>
            <w:r>
              <w:rPr>
                <w:rFonts w:ascii="Figtree" w:hAnsi="Figtree"/>
                <w:b w:val="0"/>
                <w:i w:val="0"/>
                <w:sz w:val="20"/>
              </w:rPr>
              <w:t>$96,000</w:t>
            </w:r>
          </w:p>
        </w:tc>
        <w:tc>
          <w:tcPr>
            <w:tcW w:type="dxa" w:w="1624"/>
            <w:vAlign w:val="center"/>
          </w:tcPr>
          <w:p>
            <w:pPr>
              <w:spacing w:line="276" w:lineRule="auto" w:before="0" w:after="0"/>
            </w:pPr>
            <w:r/>
            <w:r>
              <w:rPr>
                <w:rFonts w:ascii="Figtree" w:hAnsi="Figtree"/>
                <w:b w:val="0"/>
                <w:i w:val="0"/>
                <w:sz w:val="20"/>
              </w:rPr>
              <w:t>ADX cloud account</w:t>
            </w:r>
          </w:p>
        </w:tc>
      </w:tr>
      <w:tr>
        <w:trPr>
          <w:trHeight w:val="425" w:hRule="atLeast"/>
        </w:trPr>
        <w:tc>
          <w:tcPr>
            <w:tcW w:type="dxa" w:w="1624"/>
            <w:vAlign w:val="center"/>
          </w:tcPr>
          <w:p>
            <w:pPr>
              <w:spacing w:line="276" w:lineRule="auto" w:before="0" w:after="0"/>
            </w:pPr>
            <w:r/>
            <w:r>
              <w:rPr>
                <w:rFonts w:ascii="Figtree" w:hAnsi="Figtree"/>
                <w:b w:val="0"/>
                <w:i w:val="0"/>
                <w:sz w:val="20"/>
              </w:rPr>
              <w:t>Enterprise Support</w:t>
            </w:r>
          </w:p>
        </w:tc>
        <w:tc>
          <w:tcPr>
            <w:tcW w:type="dxa" w:w="1624"/>
            <w:vAlign w:val="center"/>
          </w:tcPr>
          <w:p>
            <w:pPr>
              <w:spacing w:line="276" w:lineRule="auto" w:before="0" w:after="0"/>
            </w:pPr>
            <w:r/>
            <w:r>
              <w:rPr>
                <w:rFonts w:ascii="Figtree" w:hAnsi="Figtree"/>
                <w:b w:val="0"/>
                <w:i w:val="0"/>
                <w:sz w:val="20"/>
              </w:rPr>
              <w:t>Recurring</w:t>
            </w:r>
          </w:p>
        </w:tc>
        <w:tc>
          <w:tcPr>
            <w:tcW w:type="dxa" w:w="1624"/>
            <w:vAlign w:val="center"/>
          </w:tcPr>
          <w:p>
            <w:pPr>
              <w:spacing w:line="276" w:lineRule="auto" w:before="0" w:after="0"/>
            </w:pPr>
            <w:r/>
            <w:r>
              <w:rPr>
                <w:rFonts w:ascii="Figtree" w:hAnsi="Figtree"/>
                <w:b w:val="0"/>
                <w:i w:val="0"/>
                <w:sz w:val="20"/>
              </w:rPr>
              <w:t>$144,000</w:t>
            </w:r>
          </w:p>
        </w:tc>
        <w:tc>
          <w:tcPr>
            <w:tcW w:type="dxa" w:w="1624"/>
            <w:vAlign w:val="center"/>
          </w:tcPr>
          <w:p>
            <w:pPr>
              <w:spacing w:line="276" w:lineRule="auto" w:before="0" w:after="0"/>
            </w:pPr>
            <w:r/>
            <w:r>
              <w:rPr>
                <w:rFonts w:ascii="Figtree" w:hAnsi="Figtree"/>
                <w:b w:val="0"/>
                <w:i w:val="0"/>
                <w:sz w:val="20"/>
              </w:rPr>
              <w:t>$144,000</w:t>
            </w:r>
          </w:p>
        </w:tc>
        <w:tc>
          <w:tcPr>
            <w:tcW w:type="dxa" w:w="1624"/>
            <w:vAlign w:val="center"/>
          </w:tcPr>
          <w:p>
            <w:pPr>
              <w:spacing w:line="276" w:lineRule="auto" w:before="0" w:after="0"/>
            </w:pPr>
            <w:r/>
            <w:r>
              <w:rPr>
                <w:rFonts w:ascii="Figtree" w:hAnsi="Figtree"/>
                <w:b w:val="0"/>
                <w:i w:val="0"/>
                <w:sz w:val="20"/>
              </w:rPr>
              <w:t>$144,000</w:t>
            </w:r>
          </w:p>
        </w:tc>
        <w:tc>
          <w:tcPr>
            <w:tcW w:type="dxa" w:w="1624"/>
            <w:vAlign w:val="center"/>
          </w:tcPr>
          <w:p>
            <w:pPr>
              <w:spacing w:line="276" w:lineRule="auto" w:before="0" w:after="0"/>
            </w:pPr>
            <w:r/>
            <w:r>
              <w:rPr>
                <w:rFonts w:ascii="Figtree" w:hAnsi="Figtree"/>
                <w:b w:val="0"/>
                <w:i w:val="0"/>
                <w:sz w:val="20"/>
              </w:rPr>
              <w:t>Annual, in advance</w:t>
            </w:r>
          </w:p>
        </w:tc>
      </w:tr>
      <w:tr>
        <w:trPr>
          <w:trHeight w:val="425" w:hRule="atLeast"/>
        </w:trPr>
        <w:tc>
          <w:tcPr>
            <w:tcW w:type="dxa" w:w="1624"/>
            <w:vAlign w:val="center"/>
          </w:tcPr>
          <w:p>
            <w:pPr>
              <w:spacing w:line="276" w:lineRule="auto" w:before="0" w:after="0"/>
            </w:pPr>
            <w:r/>
            <w:r>
              <w:rPr>
                <w:rFonts w:ascii="Figtree" w:hAnsi="Figtree"/>
                <w:b w:val="0"/>
                <w:i w:val="0"/>
                <w:sz w:val="20"/>
              </w:rPr>
              <w:t>Training (Core + Refresh)</w:t>
            </w:r>
          </w:p>
        </w:tc>
        <w:tc>
          <w:tcPr>
            <w:tcW w:type="dxa" w:w="1624"/>
            <w:vAlign w:val="center"/>
          </w:tcPr>
          <w:p>
            <w:pPr>
              <w:spacing w:line="276" w:lineRule="auto" w:before="0" w:after="0"/>
            </w:pPr>
            <w:r/>
            <w:r>
              <w:rPr>
                <w:rFonts w:ascii="Figtree" w:hAnsi="Figtree"/>
                <w:b w:val="0"/>
                <w:i w:val="0"/>
                <w:sz w:val="20"/>
              </w:rPr>
              <w:t>One-time / periodic</w:t>
            </w:r>
          </w:p>
        </w:tc>
        <w:tc>
          <w:tcPr>
            <w:tcW w:type="dxa" w:w="1624"/>
            <w:vAlign w:val="center"/>
          </w:tcPr>
          <w:p>
            <w:pPr>
              <w:spacing w:line="276" w:lineRule="auto" w:before="0" w:after="0"/>
            </w:pPr>
            <w:r/>
            <w:r>
              <w:rPr>
                <w:rFonts w:ascii="Figtree" w:hAnsi="Figtree"/>
                <w:b w:val="0"/>
                <w:i w:val="0"/>
                <w:sz w:val="20"/>
              </w:rPr>
              <w:t>$24,000</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$12,000</w:t>
            </w:r>
          </w:p>
        </w:tc>
        <w:tc>
          <w:tcPr>
            <w:tcW w:type="dxa" w:w="1624"/>
            <w:vAlign w:val="center"/>
          </w:tcPr>
          <w:p>
            <w:pPr>
              <w:spacing w:line="276" w:lineRule="auto" w:before="0" w:after="0"/>
            </w:pPr>
            <w:r/>
            <w:r>
              <w:rPr>
                <w:rFonts w:ascii="Figtree" w:hAnsi="Figtree"/>
                <w:b w:val="0"/>
                <w:i w:val="0"/>
                <w:sz w:val="20"/>
              </w:rPr>
              <w:t>Core tracks Year 1</w:t>
            </w:r>
          </w:p>
        </w:tc>
      </w:tr>
      <w:tr>
        <w:trPr>
          <w:trHeight w:val="425" w:hRule="atLeast"/>
        </w:trPr>
        <w:tc>
          <w:tcPr>
            <w:tcW w:type="dxa" w:w="1624"/>
            <w:vAlign w:val="center"/>
          </w:tcPr>
          <w:p>
            <w:pPr>
              <w:spacing w:line="276" w:lineRule="auto" w:before="0" w:after="0"/>
            </w:pPr>
            <w:r/>
            <w:r>
              <w:rPr>
                <w:rFonts w:ascii="Figtree" w:hAnsi="Figtree"/>
                <w:b/>
                <w:i w:val="0"/>
                <w:sz w:val="20"/>
              </w:rPr>
              <w:t>Total</w:t>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$1,064,000</w:t>
            </w:r>
          </w:p>
        </w:tc>
        <w:tc>
          <w:tcPr>
            <w:tcW w:type="dxa" w:w="1624"/>
            <w:vAlign w:val="center"/>
          </w:tcPr>
          <w:p>
            <w:pPr>
              <w:spacing w:line="276" w:lineRule="auto" w:before="0" w:after="0"/>
            </w:pPr>
            <w:r/>
            <w:r>
              <w:rPr>
                <w:rFonts w:ascii="Figtree" w:hAnsi="Figtree"/>
                <w:b/>
                <w:i w:val="0"/>
                <w:sz w:val="20"/>
              </w:rPr>
              <w:t>$720,000</w:t>
            </w:r>
          </w:p>
        </w:tc>
        <w:tc>
          <w:tcPr>
            <w:tcW w:type="dxa" w:w="1624"/>
            <w:vAlign w:val="center"/>
          </w:tcPr>
          <w:p>
            <w:pPr>
              <w:spacing w:line="276" w:lineRule="auto" w:before="0" w:after="0"/>
            </w:pPr>
            <w:r/>
            <w:r>
              <w:rPr>
                <w:rFonts w:ascii="Figtree" w:hAnsi="Figtree"/>
                <w:b/>
                <w:i w:val="0"/>
                <w:sz w:val="20"/>
              </w:rPr>
              <w:t>$732,000</w:t>
            </w:r>
          </w:p>
        </w:tc>
        <w:tc>
          <w:tcPr>
            <w:tcW w:type="dxa" w:w="1624"/>
            <w:vAlign w:val="center"/>
          </w:tcPr>
          <w:p>
            <w:pPr>
              <w:spacing w:line="276" w:lineRule="auto" w:before="0" w:after="0"/>
            </w:pPr>
            <w:r/>
          </w:p>
        </w:tc>
      </w:tr>
    </w:tbl>
    <w:p>
      <w:pPr>
        <w:spacing w:before="0" w:after="0" w:line="120" w:lineRule="exact"/>
      </w:pPr>
    </w:p>
    <w:p>
      <w:pPr>
        <w:pStyle w:val="H2"/>
        <w:numPr>
          <w:ilvl w:val="1"/>
          <w:numId w:val="1"/>
        </w:numPr>
      </w:pPr>
      <w:r>
        <w:t>4.4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7"/>
        <w:gridCol w:w="3838"/>
        <w:gridCol w:w="23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 beyond 4</w:t>
            </w:r>
          </w:p>
        </w:tc>
        <w:tc>
          <w:tcPr>
            <w:tcW w:type="dxa" w:w="3249"/>
            <w:vAlign w:val="center"/>
          </w:tcPr>
          <w:p>
            <w:pPr>
              <w:spacing w:line="276" w:lineRule="auto" w:before="0" w:after="0"/>
            </w:pPr>
            <w:r/>
            <w:r>
              <w:rPr>
                <w:rFonts w:ascii="Figtree" w:hAnsi="Figtree"/>
                <w:b w:val="0"/>
                <w:i w:val="0"/>
                <w:sz w:val="20"/>
              </w:rPr>
              <w:t>+$20,000-$40,000/environment/year</w:t>
            </w:r>
          </w:p>
        </w:tc>
        <w:tc>
          <w:tcPr>
            <w:tcW w:type="dxa" w:w="3249"/>
            <w:vAlign w:val="center"/>
          </w:tcPr>
          <w:p>
            <w:pPr>
              <w:spacing w:line="276" w:lineRule="auto" w:before="0" w:after="0"/>
            </w:pPr>
            <w:r/>
            <w:r>
              <w:rPr>
                <w:rFonts w:ascii="Figtree" w:hAnsi="Figtree"/>
                <w:b w:val="0"/>
                <w:i w:val="0"/>
                <w:sz w:val="20"/>
              </w:rPr>
              <w:t>UAT and staging environments</w:t>
            </w:r>
          </w:p>
        </w:tc>
      </w:tr>
      <w:tr>
        <w:trPr>
          <w:trHeight w:val="425" w:hRule="atLeast"/>
        </w:trPr>
        <w:tc>
          <w:tcPr>
            <w:tcW w:type="dxa" w:w="3249"/>
            <w:vAlign w:val="center"/>
          </w:tcPr>
          <w:p>
            <w:pPr>
              <w:spacing w:line="276" w:lineRule="auto" w:before="0" w:after="0"/>
            </w:pPr>
            <w:r/>
            <w:r>
              <w:rPr>
                <w:rFonts w:ascii="Figtree" w:hAnsi="Figtree"/>
                <w:b w:val="0"/>
                <w:i w:val="0"/>
                <w:sz w:val="20"/>
              </w:rPr>
              <w:t>HSM commissioning (Tier 3, ADX-owned HSM)</w:t>
            </w:r>
          </w:p>
        </w:tc>
        <w:tc>
          <w:tcPr>
            <w:tcW w:type="dxa" w:w="3249"/>
            <w:vAlign w:val="center"/>
          </w:tcPr>
          <w:p>
            <w:pPr>
              <w:spacing w:line="276" w:lineRule="auto" w:before="0" w:after="0"/>
            </w:pPr>
            <w:r/>
            <w:r>
              <w:rPr>
                <w:rFonts w:ascii="Figtree" w:hAnsi="Figtree"/>
                <w:b w:val="0"/>
                <w:i w:val="0"/>
                <w:sz w:val="20"/>
              </w:rPr>
              <w:t>+$30,000-$60,000 one-time</w:t>
            </w:r>
          </w:p>
        </w:tc>
        <w:tc>
          <w:tcPr>
            <w:tcW w:type="dxa" w:w="3249"/>
            <w:vAlign w:val="center"/>
          </w:tcPr>
          <w:p>
            <w:pPr>
              <w:spacing w:line="276" w:lineRule="auto" w:before="0" w:after="0"/>
            </w:pPr>
            <w:r/>
            <w:r>
              <w:rPr>
                <w:rFonts w:ascii="Figtree" w:hAnsi="Figtree"/>
                <w:b w:val="0"/>
                <w:i w:val="0"/>
                <w:sz w:val="20"/>
              </w:rPr>
              <w:t>Key ceremony and integration</w:t>
            </w:r>
          </w:p>
        </w:tc>
      </w:tr>
      <w:tr>
        <w:trPr>
          <w:trHeight w:val="425" w:hRule="atLeast"/>
        </w:trPr>
        <w:tc>
          <w:tcPr>
            <w:tcW w:type="dxa" w:w="3249"/>
            <w:vAlign w:val="center"/>
          </w:tcPr>
          <w:p>
            <w:pPr>
              <w:spacing w:line="276" w:lineRule="auto" w:before="0" w:after="0"/>
            </w:pPr>
            <w:r/>
            <w:r>
              <w:rPr>
                <w:rFonts w:ascii="Figtree" w:hAnsi="Figtree"/>
                <w:b w:val="0"/>
                <w:i w:val="0"/>
                <w:sz w:val="20"/>
              </w:rPr>
              <w:t>Custom AML provider integration (non-standard API)</w:t>
            </w:r>
          </w:p>
        </w:tc>
        <w:tc>
          <w:tcPr>
            <w:tcW w:type="dxa" w:w="3249"/>
            <w:vAlign w:val="center"/>
          </w:tcPr>
          <w:p>
            <w:pPr>
              <w:spacing w:line="276" w:lineRule="auto" w:before="0" w:after="0"/>
            </w:pPr>
            <w:r/>
            <w:r>
              <w:rPr>
                <w:rFonts w:ascii="Figtree" w:hAnsi="Figtree"/>
                <w:b w:val="0"/>
                <w:i w:val="0"/>
                <w:sz w:val="20"/>
              </w:rPr>
              <w:t>+$20,000-$50,000 one-time</w:t>
            </w:r>
          </w:p>
        </w:tc>
        <w:tc>
          <w:tcPr>
            <w:tcW w:type="dxa" w:w="3249"/>
            <w:vAlign w:val="center"/>
          </w:tcPr>
          <w:p>
            <w:pPr>
              <w:spacing w:line="276" w:lineRule="auto" w:before="0" w:after="0"/>
            </w:pPr>
            <w:r/>
            <w:r>
              <w:rPr>
                <w:rFonts w:ascii="Figtree" w:hAnsi="Figtree"/>
                <w:b w:val="0"/>
                <w:i w:val="0"/>
                <w:sz w:val="20"/>
              </w:rPr>
              <w:t>Standard REST integration included</w:t>
            </w:r>
          </w:p>
        </w:tc>
      </w:tr>
      <w:tr>
        <w:trPr>
          <w:trHeight w:val="425" w:hRule="atLeast"/>
        </w:trPr>
        <w:tc>
          <w:tcPr>
            <w:tcW w:type="dxa" w:w="3249"/>
            <w:vAlign w:val="center"/>
          </w:tcPr>
          <w:p>
            <w:pPr>
              <w:spacing w:line="276" w:lineRule="auto" w:before="0" w:after="0"/>
            </w:pPr>
            <w:r/>
            <w:r>
              <w:rPr>
                <w:rFonts w:ascii="Figtree" w:hAnsi="Figtree"/>
                <w:b w:val="0"/>
                <w:i w:val="0"/>
                <w:sz w:val="20"/>
              </w:rPr>
              <w:t>FIX protocol adapter for broker connectivity</w:t>
            </w:r>
          </w:p>
        </w:tc>
        <w:tc>
          <w:tcPr>
            <w:tcW w:type="dxa" w:w="3249"/>
            <w:vAlign w:val="center"/>
          </w:tcPr>
          <w:p>
            <w:pPr>
              <w:spacing w:line="276" w:lineRule="auto" w:before="0" w:after="0"/>
            </w:pPr>
            <w:r/>
            <w:r>
              <w:rPr>
                <w:rFonts w:ascii="Figtree" w:hAnsi="Figtree"/>
                <w:b w:val="0"/>
                <w:i w:val="0"/>
                <w:sz w:val="20"/>
              </w:rPr>
              <w:t>+$25,000-$50,000 one-time</w:t>
            </w:r>
          </w:p>
        </w:tc>
        <w:tc>
          <w:tcPr>
            <w:tcW w:type="dxa" w:w="3249"/>
            <w:vAlign w:val="center"/>
          </w:tcPr>
          <w:p>
            <w:pPr>
              <w:spacing w:line="276" w:lineRule="auto" w:before="0" w:after="0"/>
            </w:pPr>
            <w:r/>
            <w:r>
              <w:rPr>
                <w:rFonts w:ascii="Figtree" w:hAnsi="Figtree"/>
                <w:b w:val="0"/>
                <w:i w:val="0"/>
                <w:sz w:val="20"/>
              </w:rPr>
              <w:t>Standard OpenAPI included</w:t>
            </w:r>
          </w:p>
        </w:tc>
      </w:tr>
      <w:tr>
        <w:trPr>
          <w:trHeight w:val="425" w:hRule="atLeast"/>
        </w:trPr>
        <w:tc>
          <w:tcPr>
            <w:tcW w:type="dxa" w:w="3249"/>
            <w:vAlign w:val="center"/>
          </w:tcPr>
          <w:p>
            <w:pPr>
              <w:spacing w:line="276" w:lineRule="auto" w:before="0" w:after="0"/>
            </w:pPr>
            <w:r/>
            <w:r>
              <w:rPr>
                <w:rFonts w:ascii="Figtree" w:hAnsi="Figtree"/>
                <w:b w:val="0"/>
                <w:i w:val="0"/>
                <w:sz w:val="20"/>
              </w:rPr>
              <w:t>Multi-year discount (3-year committed term)</w:t>
            </w:r>
          </w:p>
        </w:tc>
        <w:tc>
          <w:tcPr>
            <w:tcW w:type="dxa" w:w="3249"/>
            <w:vAlign w:val="center"/>
          </w:tcPr>
          <w:p>
            <w:pPr>
              <w:spacing w:line="276" w:lineRule="auto" w:before="0" w:after="0"/>
            </w:pPr>
            <w:r/>
            <w:r>
              <w:rPr>
                <w:rFonts w:ascii="Figtree" w:hAnsi="Figtree"/>
                <w:b w:val="0"/>
                <w:i w:val="0"/>
                <w:sz w:val="20"/>
              </w:rPr>
              <w:t>-10% on platform licence fees only (not support or infrastructure)</w:t>
            </w:r>
          </w:p>
        </w:tc>
        <w:tc>
          <w:tcPr>
            <w:tcW w:type="dxa" w:w="3249"/>
            <w:vAlign w:val="center"/>
          </w:tcPr>
          <w:p>
            <w:pPr>
              <w:spacing w:line="276" w:lineRule="auto" w:before="0" w:after="0"/>
            </w:pPr>
            <w:r/>
            <w:r>
              <w:rPr>
                <w:rFonts w:ascii="Figtree" w:hAnsi="Figtree"/>
                <w:b w:val="0"/>
                <w:i w:val="0"/>
                <w:sz w:val="20"/>
              </w:rPr>
              <w:t>Commitment required at contract signing</w:t>
            </w:r>
          </w:p>
        </w:tc>
      </w:tr>
      <w:tr>
        <w:trPr>
          <w:trHeight w:val="425" w:hRule="atLeast"/>
        </w:trPr>
        <w:tc>
          <w:tcPr>
            <w:tcW w:type="dxa" w:w="3249"/>
            <w:vAlign w:val="center"/>
          </w:tcPr>
          <w:p>
            <w:pPr>
              <w:spacing w:line="276" w:lineRule="auto" w:before="0" w:after="0"/>
            </w:pPr>
            <w:r/>
            <w:r>
              <w:rPr>
                <w:rFonts w:ascii="Figtree" w:hAnsi="Figtree"/>
                <w:b w:val="0"/>
                <w:i w:val="0"/>
                <w:sz w:val="20"/>
              </w:rPr>
              <w:t>Sovereign tier upgrade</w:t>
            </w:r>
          </w:p>
        </w:tc>
        <w:tc>
          <w:tcPr>
            <w:tcW w:type="dxa" w:w="3249"/>
            <w:vAlign w:val="center"/>
          </w:tcPr>
          <w:p>
            <w:pPr>
              <w:spacing w:line="276" w:lineRule="auto" w:before="0" w:after="0"/>
            </w:pPr>
            <w:r/>
            <w:r>
              <w:rPr>
                <w:rFonts w:ascii="Figtree" w:hAnsi="Figtree"/>
                <w:b w:val="0"/>
                <w:i w:val="0"/>
                <w:sz w:val="20"/>
              </w:rPr>
              <w:t>+$240,000/year vs Enterprise</w:t>
            </w:r>
          </w:p>
        </w:tc>
        <w:tc>
          <w:tcPr>
            <w:tcW w:type="dxa" w:w="3249"/>
            <w:vAlign w:val="center"/>
          </w:tcPr>
          <w:p>
            <w:pPr>
              <w:spacing w:line="276" w:lineRule="auto" w:before="0" w:after="0"/>
            </w:pPr>
            <w:r/>
            <w:r>
              <w:rPr>
                <w:rFonts w:ascii="Figtree" w:hAnsi="Figtree"/>
                <w:b w:val="0"/>
                <w:i w:val="0"/>
                <w:sz w:val="20"/>
              </w:rPr>
              <w:t>If multi-jurisdiction expansion required</w:t>
            </w:r>
          </w:p>
        </w:tc>
      </w:tr>
    </w:tbl>
    <w:p>
      <w:pPr>
        <w:spacing w:before="0" w:after="0" w:line="120" w:lineRule="exact"/>
      </w:pPr>
    </w:p>
    <w:p>
      <w:r>
        <w:br w:type="page"/>
      </w:r>
    </w:p>
    <w:p>
      <w:pPr>
        <w:pStyle w:val="H1"/>
        <w:numPr>
          <w:ilvl w:val="0"/>
          <w:numId w:val="1"/>
        </w:numPr>
      </w:pPr>
      <w:r>
        <w:t>5. Support and SLA Framework</w:t>
      </w:r>
    </w:p>
    <w:p>
      <w:pPr>
        <w:pStyle w:val="H2"/>
        <w:numPr>
          <w:ilvl w:val="1"/>
          <w:numId w:val="1"/>
        </w:numPr>
      </w:pPr>
      <w:r>
        <w:t>5.1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2382"/>
        <w:gridCol w:w="2016"/>
        <w:gridCol w:w="21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 (09-17 CET)</w:t>
            </w:r>
          </w:p>
        </w:tc>
        <w:tc>
          <w:tcPr>
            <w:tcW w:type="dxa" w:w="2436"/>
            <w:vAlign w:val="center"/>
          </w:tcPr>
          <w:p>
            <w:pPr>
              <w:spacing w:line="276" w:lineRule="auto" w:before="0" w:after="0"/>
            </w:pPr>
            <w:r/>
            <w:r>
              <w:rPr>
                <w:rFonts w:ascii="Figtree" w:hAnsi="Figtree"/>
                <w:b w:val="0"/>
                <w:i w:val="0"/>
                <w:sz w:val="20"/>
              </w:rPr>
              <w:t>Extended (07-22 CET)</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initial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4 hours or workaround</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 portal</w:t>
            </w:r>
          </w:p>
        </w:tc>
        <w:tc>
          <w:tcPr>
            <w:tcW w:type="dxa" w:w="2436"/>
            <w:vAlign w:val="center"/>
          </w:tcPr>
          <w:p>
            <w:pPr>
              <w:spacing w:line="276" w:lineRule="auto" w:before="0" w:after="0"/>
            </w:pPr>
            <w:r/>
            <w:r>
              <w:rPr>
                <w:rFonts w:ascii="Figtree" w:hAnsi="Figtree"/>
                <w:b w:val="0"/>
                <w:i w:val="0"/>
                <w:sz w:val="20"/>
              </w:rPr>
              <w:t>Email + portal + phone</w:t>
            </w:r>
          </w:p>
        </w:tc>
        <w:tc>
          <w:tcPr>
            <w:tcW w:type="dxa" w:w="2436"/>
            <w:vAlign w:val="center"/>
          </w:tcPr>
          <w:p>
            <w:pPr>
              <w:spacing w:line="276" w:lineRule="auto" w:before="0" w:after="0"/>
            </w:pPr>
            <w:r/>
            <w:r>
              <w:rPr>
                <w:rFonts w:ascii="Figtree" w:hAnsi="Figtree"/>
                <w:b w:val="0"/>
                <w:i w:val="0"/>
                <w:sz w:val="20"/>
              </w:rPr>
              <w:t>All + dedicated Slack</w:t>
            </w:r>
          </w:p>
        </w:tc>
      </w:tr>
      <w:tr>
        <w:trPr>
          <w:trHeight w:val="425" w:hRule="atLeast"/>
        </w:trPr>
        <w:tc>
          <w:tcPr>
            <w:tcW w:type="dxa" w:w="2436"/>
            <w:vAlign w:val="center"/>
          </w:tcPr>
          <w:p>
            <w:pPr>
              <w:spacing w:line="276" w:lineRule="auto" w:before="0" w:after="0"/>
            </w:pPr>
            <w:r/>
            <w:r>
              <w:rPr>
                <w:rFonts w:ascii="Figtree" w:hAnsi="Figtree"/>
                <w:b w:val="0"/>
                <w:i w:val="0"/>
                <w:sz w:val="20"/>
              </w:rPr>
              <w:t>Named CSM</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Named technical lead</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Monthly service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 (indicative)</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$108,000</w:t>
            </w:r>
          </w:p>
        </w:tc>
        <w:tc>
          <w:tcPr>
            <w:tcW w:type="dxa" w:w="2436"/>
            <w:vAlign w:val="center"/>
          </w:tcPr>
          <w:p>
            <w:pPr>
              <w:spacing w:line="276" w:lineRule="auto" w:before="0" w:after="0"/>
            </w:pPr>
            <w:r/>
            <w:r>
              <w:rPr>
                <w:rFonts w:ascii="Figtree" w:hAnsi="Figtree"/>
                <w:b w:val="0"/>
                <w:i w:val="0"/>
                <w:sz w:val="20"/>
              </w:rPr>
              <w:t>$144,000</w:t>
            </w:r>
          </w:p>
        </w:tc>
      </w:tr>
    </w:tbl>
    <w:p>
      <w:pPr>
        <w:spacing w:before="0" w:after="0" w:line="120" w:lineRule="exact"/>
      </w:pPr>
    </w:p>
    <w:p>
      <w:r>
        <w:rPr>
          <w:rFonts w:ascii="Figtree" w:hAnsi="Figtree"/>
          <w:b/>
          <w:i w:val="0"/>
          <w:sz w:val="22"/>
        </w:rPr>
        <w:t>Recommendation for ADX:</w:t>
      </w:r>
      <w:r>
        <w:rPr>
          <w:rFonts w:ascii="Figtree" w:hAnsi="Figtree"/>
          <w:b w:val="0"/>
          <w:i w:val="0"/>
          <w:sz w:val="22"/>
        </w:rPr>
        <w:t xml:space="preserve"> Enterprise Support. A digital securities marketplace is market infrastructure. P1 incidents — platform unavailable, settlement processing blocked — require 1-hour initial response with dedicated technical ownership. Named CSM and technical lead provide continuity across the engagement, including during incident response.</w:t>
      </w:r>
    </w:p>
    <w:p>
      <w:pPr>
        <w:pStyle w:val="H2"/>
        <w:numPr>
          <w:ilvl w:val="1"/>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9"/>
        <w:gridCol w:w="4032"/>
        <w:gridCol w:w="42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Production platform unavailable or settlement processing blocked</w:t>
            </w:r>
          </w:p>
        </w:tc>
        <w:tc>
          <w:tcPr>
            <w:tcW w:type="dxa" w:w="3249"/>
            <w:vAlign w:val="center"/>
          </w:tcPr>
          <w:p>
            <w:pPr>
              <w:spacing w:line="276" w:lineRule="auto" w:before="0" w:after="0"/>
            </w:pPr>
            <w:r/>
            <w:r>
              <w:rPr>
                <w:rFonts w:ascii="Figtree" w:hAnsi="Figtree"/>
                <w:b w:val="0"/>
                <w:i w:val="0"/>
                <w:sz w:val="20"/>
              </w:rPr>
              <w:t>Platform down, database unreachable, settlement queue frozen</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Major functionality impaired; operational workaround available</w:t>
            </w:r>
          </w:p>
        </w:tc>
        <w:tc>
          <w:tcPr>
            <w:tcW w:type="dxa" w:w="3249"/>
            <w:vAlign w:val="center"/>
          </w:tcPr>
          <w:p>
            <w:pPr>
              <w:spacing w:line="276" w:lineRule="auto" w:before="0" w:after="0"/>
            </w:pPr>
            <w:r/>
            <w:r>
              <w:rPr>
                <w:rFonts w:ascii="Figtree" w:hAnsi="Figtree"/>
                <w:b w:val="0"/>
                <w:i w:val="0"/>
                <w:sz w:val="20"/>
              </w:rPr>
              <w:t>Compliance check delays, reporting unavailable, API latency spike</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Non-critical functionality affected; no operational impact</w:t>
            </w:r>
          </w:p>
        </w:tc>
        <w:tc>
          <w:tcPr>
            <w:tcW w:type="dxa" w:w="3249"/>
            <w:vAlign w:val="center"/>
          </w:tcPr>
          <w:p>
            <w:pPr>
              <w:spacing w:line="276" w:lineRule="auto" w:before="0" w:after="0"/>
            </w:pPr>
            <w:r/>
            <w:r>
              <w:rPr>
                <w:rFonts w:ascii="Figtree" w:hAnsi="Figtree"/>
                <w:b w:val="0"/>
                <w:i w:val="0"/>
                <w:sz w:val="20"/>
              </w:rPr>
              <w:t>UI performance degradation, non-critical alert, integration latency</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Minor issues; informational; feature requests</w:t>
            </w:r>
          </w:p>
        </w:tc>
        <w:tc>
          <w:tcPr>
            <w:tcW w:type="dxa" w:w="3249"/>
            <w:vAlign w:val="center"/>
          </w:tcPr>
          <w:p>
            <w:pPr>
              <w:spacing w:line="276" w:lineRule="auto" w:before="0" w:after="0"/>
            </w:pPr>
            <w:r/>
            <w:r>
              <w:rPr>
                <w:rFonts w:ascii="Figtree" w:hAnsi="Figtree"/>
                <w:b w:val="0"/>
                <w:i w:val="0"/>
                <w:sz w:val="20"/>
              </w:rPr>
              <w:t>Documentation request, enhancement suggestion, cosmetic issue</w:t>
            </w:r>
          </w:p>
        </w:tc>
      </w:tr>
    </w:tbl>
    <w:p>
      <w:pPr>
        <w:spacing w:before="0" w:after="0" w:line="120" w:lineRule="exact"/>
      </w:pPr>
    </w:p>
    <w:p>
      <w:pPr>
        <w:pStyle w:val="H2"/>
        <w:numPr>
          <w:ilvl w:val="1"/>
          <w:numId w:val="1"/>
        </w:numPr>
      </w:pPr>
      <w:r>
        <w:t>5.3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8"/>
        <w:gridCol w:w="1203"/>
        <w:gridCol w:w="1851"/>
        <w:gridCol w:w="49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Uptime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Max Monthly Downtime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43 minutes/month</w:t>
            </w:r>
          </w:p>
        </w:tc>
        <w:tc>
          <w:tcPr>
            <w:tcW w:type="dxa" w:w="2436"/>
            <w:vAlign w:val="center"/>
          </w:tcPr>
          <w:p>
            <w:pPr>
              <w:spacing w:line="276" w:lineRule="auto" w:before="0" w:after="0"/>
            </w:pPr>
            <w:r/>
            <w:r>
              <w:rPr>
                <w:rFonts w:ascii="Figtree" w:hAnsi="Figtree"/>
                <w:b w:val="0"/>
                <w:i w:val="0"/>
                <w:sz w:val="20"/>
              </w:rPr>
              <w:t>Calendar month, excluding approved maintenance windows</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3.6 hours/month</w:t>
            </w:r>
          </w:p>
        </w:tc>
        <w:tc>
          <w:tcPr>
            <w:tcW w:type="dxa" w:w="2436"/>
            <w:vAlign w:val="center"/>
          </w:tcPr>
          <w:p>
            <w:pPr>
              <w:spacing w:line="276" w:lineRule="auto" w:before="0" w:after="0"/>
            </w:pPr>
            <w:r/>
            <w:r>
              <w:rPr>
                <w:rFonts w:ascii="Figtree" w:hAnsi="Figtree"/>
                <w:b w:val="0"/>
                <w:i w:val="0"/>
                <w:sz w:val="20"/>
              </w:rPr>
              <w:t>Calendar month</w:t>
            </w:r>
          </w:p>
        </w:tc>
      </w:tr>
      <w:tr>
        <w:trPr>
          <w:trHeight w:val="425" w:hRule="atLeast"/>
        </w:trPr>
        <w:tc>
          <w:tcPr>
            <w:tcW w:type="dxa" w:w="2436"/>
            <w:vAlign w:val="center"/>
          </w:tcPr>
          <w:p>
            <w:pPr>
              <w:spacing w:line="276" w:lineRule="auto" w:before="0" w:after="0"/>
            </w:pPr>
            <w:r/>
            <w:r>
              <w:rPr>
                <w:rFonts w:ascii="Figtree" w:hAnsi="Figtree"/>
                <w:b w:val="0"/>
                <w:i w:val="0"/>
                <w:sz w:val="20"/>
              </w:rPr>
              <w:t>Test/Dev</w:t>
            </w:r>
          </w:p>
        </w:tc>
        <w:tc>
          <w:tcPr>
            <w:tcW w:type="dxa" w:w="2436"/>
            <w:vAlign w:val="center"/>
          </w:tcPr>
          <w:p>
            <w:pPr>
              <w:spacing w:line="276" w:lineRule="auto" w:before="0" w:after="0"/>
            </w:pPr>
            <w:r/>
            <w:r>
              <w:rPr>
                <w:rFonts w:ascii="Figtree" w:hAnsi="Figtree"/>
                <w:b w:val="0"/>
                <w:i w:val="0"/>
                <w:sz w:val="20"/>
              </w:rPr>
              <w:t>Best effort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bl>
    <w:p>
      <w:pPr>
        <w:spacing w:before="0" w:after="0" w:line="120" w:lineRule="exact"/>
      </w:pPr>
    </w:p>
    <w:p>
      <w:r>
        <w:rPr>
          <w:rFonts w:ascii="Figtree" w:hAnsi="Figtree"/>
          <w:b w:val="0"/>
          <w:i w:val="0"/>
          <w:sz w:val="22"/>
        </w:rPr>
        <w:t>Service credits are available for production SLA breaches below 99.9%, structured as:</w:t>
      </w:r>
    </w:p>
    <w:p>
      <w:pPr>
        <w:pStyle w:val="ListParagraph"/>
        <w:numPr>
          <w:ilvl w:val="0"/>
          <w:numId w:val="4"/>
        </w:numPr>
      </w:pPr>
      <w:r>
        <w:rPr>
          <w:rFonts w:ascii="Figtree" w:hAnsi="Figtree"/>
          <w:b w:val="0"/>
          <w:i w:val="0"/>
          <w:sz w:val="22"/>
        </w:rPr>
        <w:t>99.5%-99.9%: 10% monthly support fee credit</w:t>
      </w:r>
    </w:p>
    <w:p>
      <w:pPr>
        <w:pStyle w:val="ListParagraph"/>
        <w:numPr>
          <w:ilvl w:val="0"/>
          <w:numId w:val="4"/>
        </w:numPr>
      </w:pPr>
      <w:r>
        <w:rPr>
          <w:rFonts w:ascii="Figtree" w:hAnsi="Figtree"/>
          <w:b w:val="0"/>
          <w:i w:val="0"/>
          <w:sz w:val="22"/>
        </w:rPr>
        <w:t>99.0%-99.5%: 25% monthly support fee credit</w:t>
      </w:r>
    </w:p>
    <w:p>
      <w:pPr>
        <w:pStyle w:val="ListParagraph"/>
        <w:numPr>
          <w:ilvl w:val="0"/>
          <w:numId w:val="4"/>
        </w:numPr>
      </w:pPr>
      <w:r>
        <w:rPr>
          <w:rFonts w:ascii="Figtree" w:hAnsi="Figtree"/>
          <w:b w:val="0"/>
          <w:i w:val="0"/>
          <w:sz w:val="22"/>
        </w:rPr>
        <w:t>Below 99.0%: 50% monthly support fee credit</w:t>
      </w:r>
    </w:p>
    <w:p>
      <w:pPr>
        <w:pStyle w:val="H2"/>
        <w:numPr>
          <w:ilvl w:val="1"/>
          <w:numId w:val="1"/>
        </w:numPr>
      </w:pPr>
      <w:r>
        <w:t>5.4 Escalation Path</w:t>
      </w:r>
    </w:p>
    <w:p>
      <w:r>
        <w:rPr>
          <w:rFonts w:ascii="Figtree" w:hAnsi="Figtree"/>
          <w:b w:val="0"/>
          <w:i w:val="0"/>
          <w:sz w:val="22"/>
        </w:rPr>
        <w:t>Level 1: Support Portal / Dedicated Slack (automated triage, initial acknowledgment)</w:t>
      </w:r>
    </w:p>
    <w:p>
      <w:r>
        <w:rPr>
          <w:rFonts w:ascii="Figtree" w:hAnsi="Figtree"/>
          <w:b w:val="0"/>
          <w:i w:val="0"/>
          <w:sz w:val="22"/>
        </w:rPr>
        <w:t>→ Level 2: SettleMint L2 Engineering (technical diagnosis, workaround identification)</w:t>
      </w:r>
    </w:p>
    <w:p>
      <w:r>
        <w:rPr>
          <w:rFonts w:ascii="Figtree" w:hAnsi="Figtree"/>
          <w:b w:val="0"/>
          <w:i w:val="0"/>
          <w:sz w:val="22"/>
        </w:rPr>
        <w:t>→ Level 3: SettleMint Senior Engineering / Platform Lead (complex issue resolution)</w:t>
      </w:r>
    </w:p>
    <w:p>
      <w:r>
        <w:rPr>
          <w:rFonts w:ascii="Figtree" w:hAnsi="Figtree"/>
          <w:b w:val="0"/>
          <w:i w:val="0"/>
          <w:sz w:val="22"/>
        </w:rPr>
        <w:t>→ Level 4: SettleMint CTO / Executive escalation (P1 extended duration, regulatory implications)</w:t>
      </w:r>
    </w:p>
    <w:p>
      <w:r>
        <w:rPr>
          <w:rFonts w:ascii="Figtree" w:hAnsi="Figtree"/>
          <w:b w:val="0"/>
          <w:i w:val="0"/>
          <w:sz w:val="22"/>
        </w:rPr>
        <w:t>Client-initiated escalation to named CSM is available at any point for P1/P2 incidents.</w:t>
      </w:r>
    </w:p>
    <w:p>
      <w:pPr>
        <w:pStyle w:val="H2"/>
        <w:numPr>
          <w:ilvl w:val="1"/>
          <w:numId w:val="1"/>
        </w:numPr>
      </w:pPr>
      <w:r>
        <w:t>5.5 Maintenance Policy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36"/>
        <w:gridCol w:w="1755"/>
        <w:gridCol w:w="2341"/>
        <w:gridCol w:w="24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Notice Period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Window</w:t>
            </w:r>
          </w:p>
        </w:tc>
      </w:tr>
      <w:tr>
        <w:trPr>
          <w:trHeight w:val="425" w:hRule="atLeast"/>
        </w:trPr>
        <w:tc>
          <w:tcPr>
            <w:tcW w:type="dxa" w:w="2436"/>
            <w:vAlign w:val="center"/>
          </w:tcPr>
          <w:p>
            <w:pPr>
              <w:spacing w:line="276" w:lineRule="auto" w:before="0" w:after="0"/>
            </w:pPr>
            <w:r/>
            <w:r>
              <w:rPr>
                <w:rFonts w:ascii="Figtree" w:hAnsi="Figtree"/>
                <w:b w:val="0"/>
                <w:i w:val="0"/>
                <w:sz w:val="20"/>
              </w:rPr>
              <w:t>Scheduled maintenance</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7 calendar days</w:t>
            </w:r>
          </w:p>
        </w:tc>
        <w:tc>
          <w:tcPr>
            <w:tcW w:type="dxa" w:w="2436"/>
            <w:vAlign w:val="center"/>
          </w:tcPr>
          <w:p>
            <w:pPr>
              <w:spacing w:line="276" w:lineRule="auto" w:before="0" w:after="0"/>
            </w:pPr>
            <w:r/>
            <w:r>
              <w:rPr>
                <w:rFonts w:ascii="Figtree" w:hAnsi="Figtree"/>
                <w:b w:val="0"/>
                <w:i w:val="0"/>
                <w:sz w:val="20"/>
              </w:rPr>
              <w:t>Agreed low-traffic window</w:t>
            </w:r>
          </w:p>
        </w:tc>
      </w:tr>
      <w:tr>
        <w:trPr>
          <w:trHeight w:val="425" w:hRule="atLeast"/>
        </w:trPr>
        <w:tc>
          <w:tcPr>
            <w:tcW w:type="dxa" w:w="2436"/>
            <w:vAlign w:val="center"/>
          </w:tcPr>
          <w:p>
            <w:pPr>
              <w:spacing w:line="276" w:lineRule="auto" w:before="0" w:after="0"/>
            </w:pPr>
            <w:r/>
            <w:r>
              <w:rPr>
                <w:rFonts w:ascii="Figtree" w:hAnsi="Figtree"/>
                <w:b w:val="0"/>
                <w:i w:val="0"/>
                <w:sz w:val="20"/>
              </w:rPr>
              <w:t>Minor updates (patches)</w:t>
            </w:r>
          </w:p>
        </w:tc>
        <w:tc>
          <w:tcPr>
            <w:tcW w:type="dxa" w:w="2436"/>
            <w:vAlign w:val="center"/>
          </w:tcPr>
          <w:p>
            <w:pPr>
              <w:spacing w:line="276" w:lineRule="auto" w:before="0" w:after="0"/>
            </w:pPr>
            <w:r/>
            <w:r>
              <w:rPr>
                <w:rFonts w:ascii="Figtree" w:hAnsi="Figtree"/>
                <w:b w:val="0"/>
                <w:i w:val="0"/>
                <w:sz w:val="20"/>
              </w:rPr>
              <w:t>As needed</w:t>
            </w:r>
          </w:p>
        </w:tc>
        <w:tc>
          <w:tcPr>
            <w:tcW w:type="dxa" w:w="2436"/>
            <w:vAlign w:val="center"/>
          </w:tcPr>
          <w:p>
            <w:pPr>
              <w:spacing w:line="276" w:lineRule="auto" w:before="0" w:after="0"/>
            </w:pPr>
            <w:r/>
            <w:r>
              <w:rPr>
                <w:rFonts w:ascii="Figtree" w:hAnsi="Figtree"/>
                <w:b w:val="0"/>
                <w:i w:val="0"/>
                <w:sz w:val="20"/>
              </w:rPr>
              <w:t>48 hours</w:t>
            </w:r>
          </w:p>
        </w:tc>
        <w:tc>
          <w:tcPr>
            <w:tcW w:type="dxa" w:w="2436"/>
            <w:vAlign w:val="center"/>
          </w:tcPr>
          <w:p>
            <w:pPr>
              <w:spacing w:line="276" w:lineRule="auto" w:before="0" w:after="0"/>
            </w:pPr>
            <w:r/>
            <w:r>
              <w:rPr>
                <w:rFonts w:ascii="Figtree" w:hAnsi="Figtree"/>
                <w:b w:val="0"/>
                <w:i w:val="0"/>
                <w:sz w:val="20"/>
              </w:rPr>
              <w:t>Agreed maintenance window</w:t>
            </w:r>
          </w:p>
        </w:tc>
      </w:tr>
      <w:tr>
        <w:trPr>
          <w:trHeight w:val="425" w:hRule="atLeast"/>
        </w:trPr>
        <w:tc>
          <w:tcPr>
            <w:tcW w:type="dxa" w:w="2436"/>
            <w:vAlign w:val="center"/>
          </w:tcPr>
          <w:p>
            <w:pPr>
              <w:spacing w:line="276" w:lineRule="auto" w:before="0" w:after="0"/>
            </w:pPr>
            <w:r/>
            <w:r>
              <w:rPr>
                <w:rFonts w:ascii="Figtree" w:hAnsi="Figtree"/>
                <w:b w:val="0"/>
                <w:i w:val="0"/>
                <w:sz w:val="20"/>
              </w:rPr>
              <w:t>Major version releases</w:t>
            </w:r>
          </w:p>
        </w:tc>
        <w:tc>
          <w:tcPr>
            <w:tcW w:type="dxa" w:w="2436"/>
            <w:vAlign w:val="center"/>
          </w:tcPr>
          <w:p>
            <w:pPr>
              <w:spacing w:line="276" w:lineRule="auto" w:before="0" w:after="0"/>
            </w:pPr>
            <w:r/>
            <w:r>
              <w:rPr>
                <w:rFonts w:ascii="Figtree" w:hAnsi="Figtree"/>
                <w:b w:val="0"/>
                <w:i w:val="0"/>
                <w:sz w:val="20"/>
              </w:rPr>
              <w:t>Annually (minimum)</w:t>
            </w:r>
          </w:p>
        </w:tc>
        <w:tc>
          <w:tcPr>
            <w:tcW w:type="dxa" w:w="2436"/>
            <w:vAlign w:val="center"/>
          </w:tcPr>
          <w:p>
            <w:pPr>
              <w:spacing w:line="276" w:lineRule="auto" w:before="0" w:after="0"/>
            </w:pPr>
            <w:r/>
            <w:r>
              <w:rPr>
                <w:rFonts w:ascii="Figtree" w:hAnsi="Figtree"/>
                <w:b w:val="0"/>
                <w:i w:val="0"/>
                <w:sz w:val="20"/>
              </w:rPr>
              <w:t>12 months advance notice</w:t>
            </w:r>
          </w:p>
        </w:tc>
        <w:tc>
          <w:tcPr>
            <w:tcW w:type="dxa" w:w="2436"/>
            <w:vAlign w:val="center"/>
          </w:tcPr>
          <w:p>
            <w:pPr>
              <w:spacing w:line="276" w:lineRule="auto" w:before="0" w:after="0"/>
            </w:pPr>
            <w:r/>
            <w:r>
              <w:rPr>
                <w:rFonts w:ascii="Figtree" w:hAnsi="Figtree"/>
                <w:b w:val="0"/>
                <w:i w:val="0"/>
                <w:sz w:val="20"/>
              </w:rPr>
              <w:t>Coordinated rollout</w:t>
            </w:r>
          </w:p>
        </w:tc>
      </w:tr>
      <w:tr>
        <w:trPr>
          <w:trHeight w:val="425" w:hRule="atLeast"/>
        </w:trPr>
        <w:tc>
          <w:tcPr>
            <w:tcW w:type="dxa" w:w="2436"/>
            <w:vAlign w:val="center"/>
          </w:tcPr>
          <w:p>
            <w:pPr>
              <w:spacing w:line="276" w:lineRule="auto" w:before="0" w:after="0"/>
            </w:pPr>
            <w:r/>
            <w:r>
              <w:rPr>
                <w:rFonts w:ascii="Figtree" w:hAnsi="Figtree"/>
                <w:b w:val="0"/>
                <w:i w:val="0"/>
                <w:sz w:val="20"/>
              </w:rPr>
              <w:t>Emergency security patches</w:t>
            </w:r>
          </w:p>
        </w:tc>
        <w:tc>
          <w:tcPr>
            <w:tcW w:type="dxa" w:w="2436"/>
            <w:vAlign w:val="center"/>
          </w:tcPr>
          <w:p>
            <w:pPr>
              <w:spacing w:line="276" w:lineRule="auto" w:before="0" w:after="0"/>
            </w:pPr>
            <w:r/>
            <w:r>
              <w:rPr>
                <w:rFonts w:ascii="Figtree" w:hAnsi="Figtree"/>
                <w:b w:val="0"/>
                <w:i w:val="0"/>
                <w:sz w:val="20"/>
              </w:rPr>
              <w:t>As needed</w:t>
            </w:r>
          </w:p>
        </w:tc>
        <w:tc>
          <w:tcPr>
            <w:tcW w:type="dxa" w:w="2436"/>
            <w:vAlign w:val="center"/>
          </w:tcPr>
          <w:p>
            <w:pPr>
              <w:spacing w:line="276" w:lineRule="auto" w:before="0" w:after="0"/>
            </w:pPr>
            <w:r/>
            <w:r>
              <w:rPr>
                <w:rFonts w:ascii="Figtree" w:hAnsi="Figtree"/>
                <w:b w:val="0"/>
                <w:i w:val="0"/>
                <w:sz w:val="20"/>
              </w:rPr>
              <w:t>Best effort (24h target)</w:t>
            </w:r>
          </w:p>
        </w:tc>
        <w:tc>
          <w:tcPr>
            <w:tcW w:type="dxa" w:w="2436"/>
            <w:vAlign w:val="center"/>
          </w:tcPr>
          <w:p>
            <w:pPr>
              <w:spacing w:line="276" w:lineRule="auto" w:before="0" w:after="0"/>
            </w:pPr>
            <w:r/>
            <w:r>
              <w:rPr>
                <w:rFonts w:ascii="Figtree" w:hAnsi="Figtree"/>
                <w:b w:val="0"/>
                <w:i w:val="0"/>
                <w:sz w:val="20"/>
              </w:rPr>
              <w:t>Immediate deployment</w:t>
            </w:r>
          </w:p>
        </w:tc>
      </w:tr>
    </w:tbl>
    <w:p>
      <w:pPr>
        <w:spacing w:before="0" w:after="0" w:line="120" w:lineRule="exact"/>
      </w:pPr>
    </w:p>
    <w:p>
      <w:r>
        <w:br w:type="page"/>
      </w:r>
    </w:p>
    <w:p>
      <w:pPr>
        <w:pStyle w:val="H1"/>
        <w:numPr>
          <w:ilvl w:val="0"/>
          <w:numId w:val="1"/>
        </w:numPr>
      </w:pPr>
      <w:r>
        <w:t>6. Implementation Investment</w:t>
      </w:r>
    </w:p>
    <w:p>
      <w:pPr>
        <w:pStyle w:val="H2"/>
        <w:numPr>
          <w:ilvl w:val="1"/>
          <w:numId w:val="1"/>
        </w:numPr>
      </w:pPr>
      <w:r>
        <w:t>6.1 Methodology</w:t>
      </w:r>
    </w:p>
    <w:p>
      <w:r>
        <w:rPr>
          <w:rFonts w:ascii="Figtree" w:hAnsi="Figtree"/>
          <w:b w:val="0"/>
          <w:i w:val="0"/>
          <w:sz w:val="22"/>
        </w:rPr>
        <w:t>Implementation follows SettleMint's phase-gated methodology across six phases over 18 weeks. Each phase has defined deliverables, acceptance criteria, and a formal gate review before the next phase begins. Implementation pricing is milestone-based: each milestone invoice is triggered by ADX's written acceptance of the phase gate.</w:t>
      </w:r>
    </w:p>
    <w:p>
      <w:pPr>
        <w:pStyle w:val="H2"/>
        <w:numPr>
          <w:ilvl w:val="1"/>
          <w:numId w:val="1"/>
        </w:numPr>
      </w:pPr>
      <w:r>
        <w:t>6.2 Phase Summary and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8"/>
        <w:gridCol w:w="864"/>
        <w:gridCol w:w="5616"/>
        <w:gridCol w:w="8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baseline, delivery plan, RAID register</w:t>
            </w:r>
          </w:p>
        </w:tc>
        <w:tc>
          <w:tcPr>
            <w:tcW w:type="dxa" w:w="2436"/>
            <w:vAlign w:val="center"/>
          </w:tcPr>
          <w:p>
            <w:pPr>
              <w:spacing w:line="276" w:lineRule="auto" w:before="0" w:after="0"/>
            </w:pPr>
            <w:r/>
            <w:r>
              <w:rPr>
                <w:rFonts w:ascii="Figtree" w:hAnsi="Figtree"/>
                <w:b w:val="0"/>
                <w:i w:val="0"/>
                <w:sz w:val="20"/>
              </w:rPr>
              <w:t>$32,000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4 environments provisioned and validated, security baseline</w:t>
            </w:r>
          </w:p>
        </w:tc>
        <w:tc>
          <w:tcPr>
            <w:tcW w:type="dxa" w:w="2436"/>
            <w:vAlign w:val="center"/>
          </w:tcPr>
          <w:p>
            <w:pPr>
              <w:spacing w:line="276" w:lineRule="auto" w:before="0" w:after="0"/>
            </w:pPr>
            <w:r/>
            <w:r>
              <w:rPr>
                <w:rFonts w:ascii="Figtree" w:hAnsi="Figtree"/>
                <w:b w:val="0"/>
                <w:i w:val="0"/>
                <w:sz w:val="20"/>
              </w:rPr>
              <w:t>$48,000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Instrument types configured, compliance modules bound, governance workflows active</w:t>
            </w:r>
          </w:p>
        </w:tc>
        <w:tc>
          <w:tcPr>
            <w:tcW w:type="dxa" w:w="2436"/>
            <w:vAlign w:val="center"/>
          </w:tcPr>
          <w:p>
            <w:pPr>
              <w:spacing w:line="276" w:lineRule="auto" w:before="0" w:after="0"/>
            </w:pPr>
            <w:r/>
            <w:r>
              <w:rPr>
                <w:rFonts w:ascii="Figtree" w:hAnsi="Figtree"/>
                <w:b w:val="0"/>
                <w:i w:val="0"/>
                <w:sz w:val="20"/>
              </w:rPr>
              <w:t>$80,000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CSD, AML, broker, surveillance integrations tested and validated</w:t>
            </w:r>
          </w:p>
        </w:tc>
        <w:tc>
          <w:tcPr>
            <w:tcW w:type="dxa" w:w="2436"/>
            <w:vAlign w:val="center"/>
          </w:tcPr>
          <w:p>
            <w:pPr>
              <w:spacing w:line="276" w:lineRule="auto" w:before="0" w:after="0"/>
            </w:pPr>
            <w:r/>
            <w:r>
              <w:rPr>
                <w:rFonts w:ascii="Figtree" w:hAnsi="Figtree"/>
                <w:b w:val="0"/>
                <w:i w:val="0"/>
                <w:sz w:val="20"/>
              </w:rPr>
              <w:t>$96,000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UAT completed, production go-live, initial operations confirmed</w:t>
            </w:r>
          </w:p>
        </w:tc>
        <w:tc>
          <w:tcPr>
            <w:tcW w:type="dxa" w:w="2436"/>
            <w:vAlign w:val="center"/>
          </w:tcPr>
          <w:p>
            <w:pPr>
              <w:spacing w:line="276" w:lineRule="auto" w:before="0" w:after="0"/>
            </w:pPr>
            <w:r/>
            <w:r>
              <w:rPr>
                <w:rFonts w:ascii="Figtree" w:hAnsi="Figtree"/>
                <w:b w:val="0"/>
                <w:i w:val="0"/>
                <w:sz w:val="20"/>
              </w:rPr>
              <w:t>$48,000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Stabilized operations, knowledge transfer completed, support transitioned</w:t>
            </w:r>
          </w:p>
        </w:tc>
        <w:tc>
          <w:tcPr>
            <w:tcW w:type="dxa" w:w="2436"/>
            <w:vAlign w:val="center"/>
          </w:tcPr>
          <w:p>
            <w:pPr>
              <w:spacing w:line="276" w:lineRule="auto" w:before="0" w:after="0"/>
            </w:pPr>
            <w:r/>
            <w:r>
              <w:rPr>
                <w:rFonts w:ascii="Figtree" w:hAnsi="Figtree"/>
                <w:b w:val="0"/>
                <w:i w:val="0"/>
                <w:sz w:val="20"/>
              </w:rPr>
              <w:t>$16,000</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r>
              <w:rPr>
                <w:rFonts w:ascii="Figtree" w:hAnsi="Figtree"/>
                <w:b/>
                <w:i w:val="0"/>
                <w:sz w:val="20"/>
              </w:rPr>
              <w:t>18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$320,000</w:t>
            </w:r>
          </w:p>
        </w:tc>
      </w:tr>
    </w:tbl>
    <w:p>
      <w:pPr>
        <w:spacing w:before="0" w:after="0" w:line="120" w:lineRule="exact"/>
      </w:pPr>
    </w:p>
    <w:p>
      <w:pPr>
        <w:pStyle w:val="H2"/>
        <w:numPr>
          <w:ilvl w:val="1"/>
          <w:numId w:val="1"/>
        </w:numPr>
      </w:pPr>
      <w:r>
        <w:t>6.3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3"/>
        <w:gridCol w:w="4865"/>
        <w:gridCol w:w="10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 + programme kickoff</w:t>
            </w:r>
          </w:p>
        </w:tc>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$64,000 (20%)</w:t>
            </w:r>
          </w:p>
        </w:tc>
      </w:tr>
      <w:tr>
        <w:trPr>
          <w:trHeight w:val="425" w:hRule="atLeast"/>
        </w:trPr>
        <w:tc>
          <w:tcPr>
            <w:tcW w:type="dxa" w:w="3249"/>
            <w:vAlign w:val="center"/>
          </w:tcPr>
          <w:p>
            <w:pPr>
              <w:spacing w:line="276" w:lineRule="auto" w:before="0" w:after="0"/>
            </w:pPr>
            <w:r/>
            <w:r>
              <w:rPr>
                <w:rFonts w:ascii="Figtree" w:hAnsi="Figtree"/>
                <w:b w:val="0"/>
                <w:i w:val="0"/>
                <w:sz w:val="20"/>
              </w:rPr>
              <w:t>Phase 1 gate sign-off</w:t>
            </w:r>
          </w:p>
        </w:tc>
        <w:tc>
          <w:tcPr>
            <w:tcW w:type="dxa" w:w="3249"/>
            <w:vAlign w:val="center"/>
          </w:tcPr>
          <w:p>
            <w:pPr>
              <w:spacing w:line="276" w:lineRule="auto" w:before="0" w:after="0"/>
            </w:pPr>
            <w:r/>
            <w:r>
              <w:rPr>
                <w:rFonts w:ascii="Figtree" w:hAnsi="Figtree"/>
                <w:b w:val="0"/>
                <w:i w:val="0"/>
                <w:sz w:val="20"/>
              </w:rPr>
              <w:t>ADX acceptance of requirements baseline</w:t>
            </w:r>
          </w:p>
        </w:tc>
        <w:tc>
          <w:tcPr>
            <w:tcW w:type="dxa" w:w="3249"/>
            <w:vAlign w:val="center"/>
          </w:tcPr>
          <w:p>
            <w:pPr>
              <w:spacing w:line="276" w:lineRule="auto" w:before="0" w:after="0"/>
            </w:pPr>
            <w:r/>
            <w:r>
              <w:rPr>
                <w:rFonts w:ascii="Figtree" w:hAnsi="Figtree"/>
                <w:b w:val="0"/>
                <w:i w:val="0"/>
                <w:sz w:val="20"/>
              </w:rPr>
              <w:t>$48,000 (15%)</w:t>
            </w:r>
          </w:p>
        </w:tc>
      </w:tr>
      <w:tr>
        <w:trPr>
          <w:trHeight w:val="425" w:hRule="atLeast"/>
        </w:trPr>
        <w:tc>
          <w:tcPr>
            <w:tcW w:type="dxa" w:w="3249"/>
            <w:vAlign w:val="center"/>
          </w:tcPr>
          <w:p>
            <w:pPr>
              <w:spacing w:line="276" w:lineRule="auto" w:before="0" w:after="0"/>
            </w:pPr>
            <w:r/>
            <w:r>
              <w:rPr>
                <w:rFonts w:ascii="Figtree" w:hAnsi="Figtree"/>
                <w:b w:val="0"/>
                <w:i w:val="0"/>
                <w:sz w:val="20"/>
              </w:rPr>
              <w:t>Phase 3 gate sign-off</w:t>
            </w:r>
          </w:p>
        </w:tc>
        <w:tc>
          <w:tcPr>
            <w:tcW w:type="dxa" w:w="3249"/>
            <w:vAlign w:val="center"/>
          </w:tcPr>
          <w:p>
            <w:pPr>
              <w:spacing w:line="276" w:lineRule="auto" w:before="0" w:after="0"/>
            </w:pPr>
            <w:r/>
            <w:r>
              <w:rPr>
                <w:rFonts w:ascii="Figtree" w:hAnsi="Figtree"/>
                <w:b w:val="0"/>
                <w:i w:val="0"/>
                <w:sz w:val="20"/>
              </w:rPr>
              <w:t>ADX compliance team approval of compliance configuration</w:t>
            </w:r>
          </w:p>
        </w:tc>
        <w:tc>
          <w:tcPr>
            <w:tcW w:type="dxa" w:w="3249"/>
            <w:vAlign w:val="center"/>
          </w:tcPr>
          <w:p>
            <w:pPr>
              <w:spacing w:line="276" w:lineRule="auto" w:before="0" w:after="0"/>
            </w:pPr>
            <w:r/>
            <w:r>
              <w:rPr>
                <w:rFonts w:ascii="Figtree" w:hAnsi="Figtree"/>
                <w:b w:val="0"/>
                <w:i w:val="0"/>
                <w:sz w:val="20"/>
              </w:rPr>
              <w:t>$96,000 (30%)</w:t>
            </w:r>
          </w:p>
        </w:tc>
      </w:tr>
      <w:tr>
        <w:trPr>
          <w:trHeight w:val="425" w:hRule="atLeast"/>
        </w:trPr>
        <w:tc>
          <w:tcPr>
            <w:tcW w:type="dxa" w:w="3249"/>
            <w:vAlign w:val="center"/>
          </w:tcPr>
          <w:p>
            <w:pPr>
              <w:spacing w:line="276" w:lineRule="auto" w:before="0" w:after="0"/>
            </w:pPr>
            <w:r/>
            <w:r>
              <w:rPr>
                <w:rFonts w:ascii="Figtree" w:hAnsi="Figtree"/>
                <w:b w:val="0"/>
                <w:i w:val="0"/>
                <w:sz w:val="20"/>
              </w:rPr>
              <w:t>Phase 4 gate sign-off</w:t>
            </w:r>
          </w:p>
        </w:tc>
        <w:tc>
          <w:tcPr>
            <w:tcW w:type="dxa" w:w="3249"/>
            <w:vAlign w:val="center"/>
          </w:tcPr>
          <w:p>
            <w:pPr>
              <w:spacing w:line="276" w:lineRule="auto" w:before="0" w:after="0"/>
            </w:pPr>
            <w:r/>
            <w:r>
              <w:rPr>
                <w:rFonts w:ascii="Figtree" w:hAnsi="Figtree"/>
                <w:b w:val="0"/>
                <w:i w:val="0"/>
                <w:sz w:val="20"/>
              </w:rPr>
              <w:t>ADX technology team acceptance of integration test evidence</w:t>
            </w:r>
          </w:p>
        </w:tc>
        <w:tc>
          <w:tcPr>
            <w:tcW w:type="dxa" w:w="3249"/>
            <w:vAlign w:val="center"/>
          </w:tcPr>
          <w:p>
            <w:pPr>
              <w:spacing w:line="276" w:lineRule="auto" w:before="0" w:after="0"/>
            </w:pPr>
            <w:r/>
            <w:r>
              <w:rPr>
                <w:rFonts w:ascii="Figtree" w:hAnsi="Figtree"/>
                <w:b w:val="0"/>
                <w:i w:val="0"/>
                <w:sz w:val="20"/>
              </w:rPr>
              <w:t>$64,000 (20%)</w:t>
            </w:r>
          </w:p>
        </w:tc>
      </w:tr>
      <w:tr>
        <w:trPr>
          <w:trHeight w:val="425" w:hRule="atLeast"/>
        </w:trPr>
        <w:tc>
          <w:tcPr>
            <w:tcW w:type="dxa" w:w="3249"/>
            <w:vAlign w:val="center"/>
          </w:tcPr>
          <w:p>
            <w:pPr>
              <w:spacing w:line="276" w:lineRule="auto" w:before="0" w:after="0"/>
            </w:pPr>
            <w:r/>
            <w:r>
              <w:rPr>
                <w:rFonts w:ascii="Figtree" w:hAnsi="Figtree"/>
                <w:b w:val="0"/>
                <w:i w:val="0"/>
                <w:sz w:val="20"/>
              </w:rPr>
              <w:t>Phase 6 completion</w:t>
            </w:r>
          </w:p>
        </w:tc>
        <w:tc>
          <w:tcPr>
            <w:tcW w:type="dxa" w:w="3249"/>
            <w:vAlign w:val="center"/>
          </w:tcPr>
          <w:p>
            <w:pPr>
              <w:spacing w:line="276" w:lineRule="auto" w:before="0" w:after="0"/>
            </w:pPr>
            <w:r/>
            <w:r>
              <w:rPr>
                <w:rFonts w:ascii="Figtree" w:hAnsi="Figtree"/>
                <w:b w:val="0"/>
                <w:i w:val="0"/>
                <w:sz w:val="20"/>
              </w:rPr>
              <w:t>ADX acceptance of operational readiness certificate</w:t>
            </w:r>
          </w:p>
        </w:tc>
        <w:tc>
          <w:tcPr>
            <w:tcW w:type="dxa" w:w="3249"/>
            <w:vAlign w:val="center"/>
          </w:tcPr>
          <w:p>
            <w:pPr>
              <w:spacing w:line="276" w:lineRule="auto" w:before="0" w:after="0"/>
            </w:pPr>
            <w:r/>
            <w:r>
              <w:rPr>
                <w:rFonts w:ascii="Figtree" w:hAnsi="Figtree"/>
                <w:b w:val="0"/>
                <w:i w:val="0"/>
                <w:sz w:val="20"/>
              </w:rPr>
              <w:t>$48,000 (15%)</w:t>
            </w:r>
          </w:p>
        </w:tc>
      </w:tr>
    </w:tbl>
    <w:p>
      <w:pPr>
        <w:spacing w:before="0" w:after="0" w:line="120" w:lineRule="exact"/>
      </w:pPr>
    </w:p>
    <w:p>
      <w:pPr>
        <w:pStyle w:val="H2"/>
        <w:numPr>
          <w:ilvl w:val="1"/>
          <w:numId w:val="1"/>
        </w:numPr>
      </w:pPr>
      <w:r>
        <w:t>6.4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59"/>
        <w:gridCol w:w="1539"/>
        <w:gridCol w:w="43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Pre-built ISO 20022 CSD adapter</w:t>
            </w:r>
          </w:p>
        </w:tc>
        <w:tc>
          <w:tcPr>
            <w:tcW w:type="dxa" w:w="3249"/>
            <w:vAlign w:val="center"/>
          </w:tcPr>
          <w:p>
            <w:pPr>
              <w:spacing w:line="276" w:lineRule="auto" w:before="0" w:after="0"/>
            </w:pPr>
            <w:r/>
            <w:r>
              <w:rPr>
                <w:rFonts w:ascii="Figtree" w:hAnsi="Figtree"/>
                <w:b w:val="0"/>
                <w:i w:val="0"/>
                <w:sz w:val="20"/>
              </w:rPr>
              <w:t>Accelerates Phase 4</w:t>
            </w:r>
          </w:p>
        </w:tc>
        <w:tc>
          <w:tcPr>
            <w:tcW w:type="dxa" w:w="3249"/>
            <w:vAlign w:val="center"/>
          </w:tcPr>
          <w:p>
            <w:pPr>
              <w:spacing w:line="276" w:lineRule="auto" w:before="0" w:after="0"/>
            </w:pPr>
            <w:r/>
            <w:r>
              <w:rPr>
                <w:rFonts w:ascii="Figtree" w:hAnsi="Figtree"/>
                <w:b w:val="0"/>
                <w:i w:val="0"/>
                <w:sz w:val="20"/>
              </w:rPr>
              <w:t>Available if CSD uses standard message formats</w:t>
            </w:r>
          </w:p>
        </w:tc>
      </w:tr>
      <w:tr>
        <w:trPr>
          <w:trHeight w:val="425" w:hRule="atLeast"/>
        </w:trPr>
        <w:tc>
          <w:tcPr>
            <w:tcW w:type="dxa" w:w="3249"/>
            <w:vAlign w:val="center"/>
          </w:tcPr>
          <w:p>
            <w:pPr>
              <w:spacing w:line="276" w:lineRule="auto" w:before="0" w:after="0"/>
            </w:pPr>
            <w:r/>
            <w:r>
              <w:rPr>
                <w:rFonts w:ascii="Figtree" w:hAnsi="Figtree"/>
                <w:b w:val="0"/>
                <w:i w:val="0"/>
                <w:sz w:val="20"/>
              </w:rPr>
              <w:t>Existing ADX IAM/SAML setup</w:t>
            </w:r>
          </w:p>
        </w:tc>
        <w:tc>
          <w:tcPr>
            <w:tcW w:type="dxa" w:w="3249"/>
            <w:vAlign w:val="center"/>
          </w:tcPr>
          <w:p>
            <w:pPr>
              <w:spacing w:line="276" w:lineRule="auto" w:before="0" w:after="0"/>
            </w:pPr>
            <w:r/>
            <w:r>
              <w:rPr>
                <w:rFonts w:ascii="Figtree" w:hAnsi="Figtree"/>
                <w:b w:val="0"/>
                <w:i w:val="0"/>
                <w:sz w:val="20"/>
              </w:rPr>
              <w:t>Accelerates Phase 2</w:t>
            </w:r>
          </w:p>
        </w:tc>
        <w:tc>
          <w:tcPr>
            <w:tcW w:type="dxa" w:w="3249"/>
            <w:vAlign w:val="center"/>
          </w:tcPr>
          <w:p>
            <w:pPr>
              <w:spacing w:line="276" w:lineRule="auto" w:before="0" w:after="0"/>
            </w:pPr>
            <w:r/>
            <w:r>
              <w:rPr>
                <w:rFonts w:ascii="Figtree" w:hAnsi="Figtree"/>
                <w:b w:val="0"/>
                <w:i w:val="0"/>
                <w:sz w:val="20"/>
              </w:rPr>
              <w:t>Standard AD federation is pre-built</w:t>
            </w:r>
          </w:p>
        </w:tc>
      </w:tr>
      <w:tr>
        <w:trPr>
          <w:trHeight w:val="425" w:hRule="atLeast"/>
        </w:trPr>
        <w:tc>
          <w:tcPr>
            <w:tcW w:type="dxa" w:w="3249"/>
            <w:vAlign w:val="center"/>
          </w:tcPr>
          <w:p>
            <w:pPr>
              <w:spacing w:line="276" w:lineRule="auto" w:before="0" w:after="0"/>
            </w:pPr>
            <w:r/>
            <w:r>
              <w:rPr>
                <w:rFonts w:ascii="Figtree" w:hAnsi="Figtree"/>
                <w:b w:val="0"/>
                <w:i w:val="0"/>
                <w:sz w:val="20"/>
              </w:rPr>
              <w:t>ADX-selected AML provider with REST API</w:t>
            </w:r>
          </w:p>
        </w:tc>
        <w:tc>
          <w:tcPr>
            <w:tcW w:type="dxa" w:w="3249"/>
            <w:vAlign w:val="center"/>
          </w:tcPr>
          <w:p>
            <w:pPr>
              <w:spacing w:line="276" w:lineRule="auto" w:before="0" w:after="0"/>
            </w:pPr>
            <w:r/>
            <w:r>
              <w:rPr>
                <w:rFonts w:ascii="Figtree" w:hAnsi="Figtree"/>
                <w:b w:val="0"/>
                <w:i w:val="0"/>
                <w:sz w:val="20"/>
              </w:rPr>
              <w:t>Accelerates Phase 3</w:t>
            </w:r>
          </w:p>
        </w:tc>
        <w:tc>
          <w:tcPr>
            <w:tcW w:type="dxa" w:w="3249"/>
            <w:vAlign w:val="center"/>
          </w:tcPr>
          <w:p>
            <w:pPr>
              <w:spacing w:line="276" w:lineRule="auto" w:before="0" w:after="0"/>
            </w:pPr>
            <w:r/>
            <w:r>
              <w:rPr>
                <w:rFonts w:ascii="Figtree" w:hAnsi="Figtree"/>
                <w:b w:val="0"/>
                <w:i w:val="0"/>
                <w:sz w:val="20"/>
              </w:rPr>
              <w:t>Provider-agnostic integration pattern</w:t>
            </w:r>
          </w:p>
        </w:tc>
      </w:tr>
      <w:tr>
        <w:trPr>
          <w:trHeight w:val="425" w:hRule="atLeast"/>
        </w:trPr>
        <w:tc>
          <w:tcPr>
            <w:tcW w:type="dxa" w:w="3249"/>
            <w:vAlign w:val="center"/>
          </w:tcPr>
          <w:p>
            <w:pPr>
              <w:spacing w:line="276" w:lineRule="auto" w:before="0" w:after="0"/>
            </w:pPr>
            <w:r/>
            <w:r>
              <w:rPr>
                <w:rFonts w:ascii="Figtree" w:hAnsi="Figtree"/>
                <w:b w:val="0"/>
                <w:i w:val="0"/>
                <w:sz w:val="20"/>
              </w:rPr>
              <w:t>Non-standard CSD interface</w:t>
            </w:r>
          </w:p>
        </w:tc>
        <w:tc>
          <w:tcPr>
            <w:tcW w:type="dxa" w:w="3249"/>
            <w:vAlign w:val="center"/>
          </w:tcPr>
          <w:p>
            <w:pPr>
              <w:spacing w:line="276" w:lineRule="auto" w:before="0" w:after="0"/>
            </w:pPr>
            <w:r/>
            <w:r>
              <w:rPr>
                <w:rFonts w:ascii="Figtree" w:hAnsi="Figtree"/>
                <w:b w:val="0"/>
                <w:i w:val="0"/>
                <w:sz w:val="20"/>
              </w:rPr>
              <w:t>Extends Phase 4</w:t>
            </w:r>
          </w:p>
        </w:tc>
        <w:tc>
          <w:tcPr>
            <w:tcW w:type="dxa" w:w="3249"/>
            <w:vAlign w:val="center"/>
          </w:tcPr>
          <w:p>
            <w:pPr>
              <w:spacing w:line="276" w:lineRule="auto" w:before="0" w:after="0"/>
            </w:pPr>
            <w:r/>
            <w:r>
              <w:rPr>
                <w:rFonts w:ascii="Figtree" w:hAnsi="Figtree"/>
                <w:b w:val="0"/>
                <w:i w:val="0"/>
                <w:sz w:val="20"/>
              </w:rPr>
              <w:t>Custom adapter development: +$30,000-$60,000</w:t>
            </w:r>
          </w:p>
        </w:tc>
      </w:tr>
      <w:tr>
        <w:trPr>
          <w:trHeight w:val="425" w:hRule="atLeast"/>
        </w:trPr>
        <w:tc>
          <w:tcPr>
            <w:tcW w:type="dxa" w:w="3249"/>
            <w:vAlign w:val="center"/>
          </w:tcPr>
          <w:p>
            <w:pPr>
              <w:spacing w:line="276" w:lineRule="auto" w:before="0" w:after="0"/>
            </w:pPr>
            <w:r/>
            <w:r>
              <w:rPr>
                <w:rFonts w:ascii="Figtree" w:hAnsi="Figtree"/>
                <w:b w:val="0"/>
                <w:i w:val="0"/>
                <w:sz w:val="20"/>
              </w:rPr>
              <w:t>On-premises HSM commissioning</w:t>
            </w:r>
          </w:p>
        </w:tc>
        <w:tc>
          <w:tcPr>
            <w:tcW w:type="dxa" w:w="3249"/>
            <w:vAlign w:val="center"/>
          </w:tcPr>
          <w:p>
            <w:pPr>
              <w:spacing w:line="276" w:lineRule="auto" w:before="0" w:after="0"/>
            </w:pPr>
            <w:r/>
            <w:r>
              <w:rPr>
                <w:rFonts w:ascii="Figtree" w:hAnsi="Figtree"/>
                <w:b w:val="0"/>
                <w:i w:val="0"/>
                <w:sz w:val="20"/>
              </w:rPr>
              <w:t>Extends Phase 2</w:t>
            </w:r>
          </w:p>
        </w:tc>
        <w:tc>
          <w:tcPr>
            <w:tcW w:type="dxa" w:w="3249"/>
            <w:vAlign w:val="center"/>
          </w:tcPr>
          <w:p>
            <w:pPr>
              <w:spacing w:line="276" w:lineRule="auto" w:before="0" w:after="0"/>
            </w:pPr>
            <w:r/>
            <w:r>
              <w:rPr>
                <w:rFonts w:ascii="Figtree" w:hAnsi="Figtree"/>
                <w:b w:val="0"/>
                <w:i w:val="0"/>
                <w:sz w:val="20"/>
              </w:rPr>
              <w:t>Key ceremony scheduling adds 2-3 weeks</w:t>
            </w:r>
          </w:p>
        </w:tc>
      </w:tr>
      <w:tr>
        <w:trPr>
          <w:trHeight w:val="425" w:hRule="atLeast"/>
        </w:trPr>
        <w:tc>
          <w:tcPr>
            <w:tcW w:type="dxa" w:w="3249"/>
            <w:vAlign w:val="center"/>
          </w:tcPr>
          <w:p>
            <w:pPr>
              <w:spacing w:line="276" w:lineRule="auto" w:before="0" w:after="0"/>
            </w:pPr>
            <w:r/>
            <w:r>
              <w:rPr>
                <w:rFonts w:ascii="Figtree" w:hAnsi="Figtree"/>
                <w:b w:val="0"/>
                <w:i w:val="0"/>
                <w:sz w:val="20"/>
              </w:rPr>
              <w:t>ADX regulatory pre-engagement delay</w:t>
            </w:r>
          </w:p>
        </w:tc>
        <w:tc>
          <w:tcPr>
            <w:tcW w:type="dxa" w:w="3249"/>
            <w:vAlign w:val="center"/>
          </w:tcPr>
          <w:p>
            <w:pPr>
              <w:spacing w:line="276" w:lineRule="auto" w:before="0" w:after="0"/>
            </w:pPr>
            <w:r/>
            <w:r>
              <w:rPr>
                <w:rFonts w:ascii="Figtree" w:hAnsi="Figtree"/>
                <w:b w:val="0"/>
                <w:i w:val="0"/>
                <w:sz w:val="20"/>
              </w:rPr>
              <w:t>Extends Phase 5</w:t>
            </w:r>
          </w:p>
        </w:tc>
        <w:tc>
          <w:tcPr>
            <w:tcW w:type="dxa" w:w="3249"/>
            <w:vAlign w:val="center"/>
          </w:tcPr>
          <w:p>
            <w:pPr>
              <w:spacing w:line="276" w:lineRule="auto" w:before="0" w:after="0"/>
            </w:pPr>
            <w:r/>
            <w:r>
              <w:rPr>
                <w:rFonts w:ascii="Figtree" w:hAnsi="Figtree"/>
                <w:b w:val="0"/>
                <w:i w:val="0"/>
                <w:sz w:val="20"/>
              </w:rPr>
              <w:t>ADX responsibility; SettleMint provides evidence packs</w:t>
            </w:r>
          </w:p>
        </w:tc>
      </w:tr>
      <w:tr>
        <w:trPr>
          <w:trHeight w:val="425" w:hRule="atLeast"/>
        </w:trPr>
        <w:tc>
          <w:tcPr>
            <w:tcW w:type="dxa" w:w="3249"/>
            <w:vAlign w:val="center"/>
          </w:tcPr>
          <w:p>
            <w:pPr>
              <w:spacing w:line="276" w:lineRule="auto" w:before="0" w:after="0"/>
            </w:pPr>
            <w:r/>
            <w:r>
              <w:rPr>
                <w:rFonts w:ascii="Figtree" w:hAnsi="Figtree"/>
                <w:b w:val="0"/>
                <w:i w:val="0"/>
                <w:sz w:val="20"/>
              </w:rPr>
              <w:t>Integration scope wider than estimated</w:t>
            </w:r>
          </w:p>
        </w:tc>
        <w:tc>
          <w:tcPr>
            <w:tcW w:type="dxa" w:w="3249"/>
            <w:vAlign w:val="center"/>
          </w:tcPr>
          <w:p>
            <w:pPr>
              <w:spacing w:line="276" w:lineRule="auto" w:before="0" w:after="0"/>
            </w:pPr>
            <w:r/>
            <w:r>
              <w:rPr>
                <w:rFonts w:ascii="Figtree" w:hAnsi="Figtree"/>
                <w:b w:val="0"/>
                <w:i w:val="0"/>
                <w:sz w:val="20"/>
              </w:rPr>
              <w:t>Extends Phase 4</w:t>
            </w:r>
          </w:p>
        </w:tc>
        <w:tc>
          <w:tcPr>
            <w:tcW w:type="dxa" w:w="3249"/>
            <w:vAlign w:val="center"/>
          </w:tcPr>
          <w:p>
            <w:pPr>
              <w:spacing w:line="276" w:lineRule="auto" w:before="0" w:after="0"/>
            </w:pPr>
            <w:r/>
            <w:r>
              <w:rPr>
                <w:rFonts w:ascii="Figtree" w:hAnsi="Figtree"/>
                <w:b w:val="0"/>
                <w:i w:val="0"/>
                <w:sz w:val="20"/>
              </w:rPr>
              <w:t>Discovery workshop maps actual scope in Phase 1</w:t>
            </w:r>
          </w:p>
        </w:tc>
      </w:tr>
    </w:tbl>
    <w:p>
      <w:pPr>
        <w:spacing w:before="0" w:after="0" w:line="120" w:lineRule="exact"/>
      </w:pPr>
    </w:p>
    <w:p>
      <w:pPr>
        <w:pStyle w:val="H2"/>
        <w:numPr>
          <w:ilvl w:val="1"/>
          <w:numId w:val="1"/>
        </w:numPr>
      </w:pPr>
      <w:r>
        <w:t>6.5 Training</w:t>
      </w:r>
    </w:p>
    <w:p>
      <w:r>
        <w:rPr>
          <w:rFonts w:ascii="Figtree" w:hAnsi="Figtree"/>
          <w:b w:val="0"/>
          <w:i w:val="0"/>
          <w:sz w:val="22"/>
        </w:rPr>
        <w:t>Core training tracks are included in the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3"/>
        <w:gridCol w:w="3780"/>
        <w:gridCol w:w="756"/>
        <w:gridCol w:w="236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Administration</w:t>
            </w:r>
          </w:p>
        </w:tc>
        <w:tc>
          <w:tcPr>
            <w:tcW w:type="dxa" w:w="2436"/>
            <w:vAlign w:val="center"/>
          </w:tcPr>
          <w:p>
            <w:pPr>
              <w:spacing w:line="276" w:lineRule="auto" w:before="0" w:after="0"/>
            </w:pPr>
            <w:r/>
            <w:r>
              <w:rPr>
                <w:rFonts w:ascii="Figtree" w:hAnsi="Figtree"/>
                <w:b w:val="0"/>
                <w:i w:val="0"/>
                <w:sz w:val="20"/>
              </w:rPr>
              <w:t>IT operations, platform admins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On-site workshop</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Integration engineers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Technical workshop + lab</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Business operations, compliance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Workflow exercises</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Management</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Configuration walkthrough</w:t>
            </w:r>
          </w:p>
        </w:tc>
      </w:tr>
    </w:tbl>
    <w:p>
      <w:pPr>
        <w:spacing w:before="0" w:after="0" w:line="120" w:lineRule="exact"/>
      </w:pPr>
    </w:p>
    <w:p>
      <w:r>
        <w:rPr>
          <w:rFonts w:ascii="Figtree" w:hAnsi="Figtree"/>
          <w:b w:val="0"/>
          <w:i w:val="0"/>
          <w:sz w:val="22"/>
        </w:rPr>
        <w:t>Additional training sessions (e.g., refresher training in Year 2, new staff onboarding) are available at $4,000-$8,000 per session day.</w:t>
      </w:r>
    </w:p>
    <w:p>
      <w:r>
        <w:br w:type="page"/>
      </w:r>
    </w:p>
    <w:p>
      <w:pPr>
        <w:pStyle w:val="H1"/>
        <w:numPr>
          <w:ilvl w:val="0"/>
          <w:numId w:val="1"/>
        </w:numPr>
      </w:pPr>
      <w:r>
        <w:t>7. Commercial Terms</w:t>
      </w:r>
    </w:p>
    <w:p>
      <w:pPr>
        <w:pStyle w:val="H2"/>
        <w:numPr>
          <w:ilvl w:val="1"/>
          <w:numId w:val="1"/>
        </w:numPr>
      </w:pPr>
      <w:r>
        <w:t>7.1 Contract Structure</w:t>
      </w:r>
    </w:p>
    <w:p>
      <w:r>
        <w:rPr>
          <w:rFonts w:ascii="Figtree" w:hAnsi="Figtree"/>
          <w:b w:val="0"/>
          <w:i w:val="0"/>
          <w:sz w:val="22"/>
        </w:rPr>
        <w:t>The commercial relationship between SettleMint and ADX Abu Dhabi Securities Exchange is structured across three agreements: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9"/>
        <w:gridCol w:w="4890"/>
        <w:gridCol w:w="20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Licence Agreement</w:t>
            </w:r>
          </w:p>
        </w:tc>
        <w:tc>
          <w:tcPr>
            <w:tcW w:type="dxa" w:w="3249"/>
            <w:vAlign w:val="center"/>
          </w:tcPr>
          <w:p>
            <w:pPr>
              <w:spacing w:line="276" w:lineRule="auto" w:before="0" w:after="0"/>
            </w:pPr>
            <w:r/>
            <w:r>
              <w:rPr>
                <w:rFonts w:ascii="Figtree" w:hAnsi="Figtree"/>
                <w:b w:val="0"/>
                <w:i w:val="0"/>
                <w:sz w:val="20"/>
              </w:rPr>
              <w:t>DALP software licence, permitted use, IP rights, data handling</w:t>
            </w:r>
          </w:p>
        </w:tc>
        <w:tc>
          <w:tcPr>
            <w:tcW w:type="dxa" w:w="3249"/>
            <w:vAlign w:val="center"/>
          </w:tcPr>
          <w:p>
            <w:pPr>
              <w:spacing w:line="276" w:lineRule="auto" w:before="0" w:after="0"/>
            </w:pPr>
            <w:r/>
            <w:r>
              <w:rPr>
                <w:rFonts w:ascii="Figtree" w:hAnsi="Figtree"/>
                <w:b w:val="0"/>
                <w:i w:val="0"/>
                <w:sz w:val="20"/>
              </w:rPr>
              <w:t>3 years, renewable</w:t>
            </w:r>
          </w:p>
        </w:tc>
      </w:tr>
      <w:tr>
        <w:trPr>
          <w:trHeight w:val="425" w:hRule="atLeast"/>
        </w:trPr>
        <w:tc>
          <w:tcPr>
            <w:tcW w:type="dxa" w:w="3249"/>
            <w:vAlign w:val="center"/>
          </w:tcPr>
          <w:p>
            <w:pPr>
              <w:spacing w:line="276" w:lineRule="auto" w:before="0" w:after="0"/>
            </w:pPr>
            <w:r/>
            <w:r>
              <w:rPr>
                <w:rFonts w:ascii="Figtree" w:hAnsi="Figtree"/>
                <w:b w:val="0"/>
                <w:i w:val="0"/>
                <w:sz w:val="20"/>
              </w:rPr>
              <w:t>Professional Services Order</w:t>
            </w:r>
          </w:p>
        </w:tc>
        <w:tc>
          <w:tcPr>
            <w:tcW w:type="dxa" w:w="3249"/>
            <w:vAlign w:val="center"/>
          </w:tcPr>
          <w:p>
            <w:pPr>
              <w:spacing w:line="276" w:lineRule="auto" w:before="0" w:after="0"/>
            </w:pPr>
            <w:r/>
            <w:r>
              <w:rPr>
                <w:rFonts w:ascii="Figtree" w:hAnsi="Figtree"/>
                <w:b w:val="0"/>
                <w:i w:val="0"/>
                <w:sz w:val="20"/>
              </w:rPr>
              <w:t>Implementation services, training, milestone schedule</w:t>
            </w:r>
          </w:p>
        </w:tc>
        <w:tc>
          <w:tcPr>
            <w:tcW w:type="dxa" w:w="3249"/>
            <w:vAlign w:val="center"/>
          </w:tcPr>
          <w:p>
            <w:pPr>
              <w:spacing w:line="276" w:lineRule="auto" w:before="0" w:after="0"/>
            </w:pPr>
            <w:r/>
            <w:r>
              <w:rPr>
                <w:rFonts w:ascii="Figtree" w:hAnsi="Figtree"/>
                <w:b w:val="0"/>
                <w:i w:val="0"/>
                <w:sz w:val="20"/>
              </w:rPr>
              <w:t>Fixed term (18 weeks)</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 Agreement</w:t>
            </w:r>
          </w:p>
        </w:tc>
        <w:tc>
          <w:tcPr>
            <w:tcW w:type="dxa" w:w="3249"/>
            <w:vAlign w:val="center"/>
          </w:tcPr>
          <w:p>
            <w:pPr>
              <w:spacing w:line="276" w:lineRule="auto" w:before="0" w:after="0"/>
            </w:pPr>
            <w:r/>
            <w:r>
              <w:rPr>
                <w:rFonts w:ascii="Figtree" w:hAnsi="Figtree"/>
                <w:b w:val="0"/>
                <w:i w:val="0"/>
                <w:sz w:val="20"/>
              </w:rPr>
              <w:t>Enterprise support tier, SLA, service credits</w:t>
            </w:r>
          </w:p>
        </w:tc>
        <w:tc>
          <w:tcPr>
            <w:tcW w:type="dxa" w:w="3249"/>
            <w:vAlign w:val="center"/>
          </w:tcPr>
          <w:p>
            <w:pPr>
              <w:spacing w:line="276" w:lineRule="auto" w:before="0" w:after="0"/>
            </w:pPr>
            <w:r/>
            <w:r>
              <w:rPr>
                <w:rFonts w:ascii="Figtree" w:hAnsi="Figtree"/>
                <w:b w:val="0"/>
                <w:i w:val="0"/>
                <w:sz w:val="20"/>
              </w:rPr>
              <w:t>Co-terminates with licence</w:t>
            </w:r>
          </w:p>
        </w:tc>
      </w:tr>
    </w:tbl>
    <w:p>
      <w:pPr>
        <w:spacing w:before="0" w:after="0" w:line="120" w:lineRule="exact"/>
      </w:pPr>
    </w:p>
    <w:p>
      <w:r>
        <w:rPr>
          <w:rFonts w:ascii="Figtree" w:hAnsi="Figtree"/>
          <w:b w:val="0"/>
          <w:i w:val="0"/>
          <w:sz w:val="22"/>
        </w:rPr>
        <w:t>All three agreements are subject to an overarching Master Agreement covering confidentiality, liability, dispute resolution, and data processing terms.</w:t>
      </w:r>
    </w:p>
    <w:p>
      <w:pPr>
        <w:pStyle w:val="H2"/>
        <w:numPr>
          <w:ilvl w:val="1"/>
          <w:numId w:val="1"/>
        </w:numPr>
      </w:pPr>
      <w:r>
        <w:t>7.2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8"/>
        <w:gridCol w:w="1427"/>
        <w:gridCol w:w="2548"/>
        <w:gridCol w:w="25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Payment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Year 1 Platform Licence</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Annual, in advance</w:t>
            </w:r>
          </w:p>
        </w:tc>
      </w:tr>
      <w:tr>
        <w:trPr>
          <w:trHeight w:val="425" w:hRule="atLeast"/>
        </w:trPr>
        <w:tc>
          <w:tcPr>
            <w:tcW w:type="dxa" w:w="2436"/>
            <w:vAlign w:val="center"/>
          </w:tcPr>
          <w:p>
            <w:pPr>
              <w:spacing w:line="276" w:lineRule="auto" w:before="0" w:after="0"/>
            </w:pPr>
            <w:r/>
            <w:r>
              <w:rPr>
                <w:rFonts w:ascii="Figtree" w:hAnsi="Figtree"/>
                <w:b w:val="0"/>
                <w:i w:val="0"/>
                <w:sz w:val="20"/>
              </w:rPr>
              <w:t>Year 1 Support</w:t>
            </w:r>
          </w:p>
        </w:tc>
        <w:tc>
          <w:tcPr>
            <w:tcW w:type="dxa" w:w="2436"/>
            <w:vAlign w:val="center"/>
          </w:tcPr>
          <w:p>
            <w:pPr>
              <w:spacing w:line="276" w:lineRule="auto" w:before="0" w:after="0"/>
            </w:pPr>
            <w:r/>
            <w:r>
              <w:rPr>
                <w:rFonts w:ascii="Figtree" w:hAnsi="Figtree"/>
                <w:b w:val="0"/>
                <w:i w:val="0"/>
                <w:sz w:val="20"/>
              </w:rPr>
              <w:t>$144,000</w:t>
            </w:r>
          </w:p>
        </w:tc>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Annual, in advance</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 Milestones</w:t>
            </w:r>
          </w:p>
        </w:tc>
        <w:tc>
          <w:tcPr>
            <w:tcW w:type="dxa" w:w="2436"/>
            <w:vAlign w:val="center"/>
          </w:tcPr>
          <w:p>
            <w:pPr>
              <w:spacing w:line="276" w:lineRule="auto" w:before="0" w:after="0"/>
            </w:pPr>
            <w:r/>
            <w:r>
              <w:rPr>
                <w:rFonts w:ascii="Figtree" w:hAnsi="Figtree"/>
                <w:b w:val="0"/>
                <w:i w:val="0"/>
                <w:sz w:val="20"/>
              </w:rPr>
              <w:t>$320,000 total</w:t>
            </w:r>
          </w:p>
        </w:tc>
        <w:tc>
          <w:tcPr>
            <w:tcW w:type="dxa" w:w="2436"/>
            <w:vAlign w:val="center"/>
          </w:tcPr>
          <w:p>
            <w:pPr>
              <w:spacing w:line="276" w:lineRule="auto" w:before="0" w:after="0"/>
            </w:pPr>
            <w:r/>
            <w:r>
              <w:rPr>
                <w:rFonts w:ascii="Figtree" w:hAnsi="Figtree"/>
                <w:b w:val="0"/>
                <w:i w:val="0"/>
                <w:sz w:val="20"/>
              </w:rPr>
              <w:t>Per milestone acceptance</w:t>
            </w:r>
          </w:p>
        </w:tc>
        <w:tc>
          <w:tcPr>
            <w:tcW w:type="dxa" w:w="2436"/>
            <w:vAlign w:val="center"/>
          </w:tcPr>
          <w:p>
            <w:pPr>
              <w:spacing w:line="276" w:lineRule="auto" w:before="0" w:after="0"/>
            </w:pPr>
            <w:r/>
            <w:r>
              <w:rPr>
                <w:rFonts w:ascii="Figtree" w:hAnsi="Figtree"/>
                <w:b w:val="0"/>
                <w:i w:val="0"/>
                <w:sz w:val="20"/>
              </w:rPr>
              <w:t>See Section 6.3</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w:t>
            </w:r>
          </w:p>
        </w:tc>
        <w:tc>
          <w:tcPr>
            <w:tcW w:type="dxa" w:w="2436"/>
            <w:vAlign w:val="center"/>
          </w:tcPr>
          <w:p>
            <w:pPr>
              <w:spacing w:line="276" w:lineRule="auto" w:before="0" w:after="0"/>
            </w:pPr>
            <w:r/>
            <w:r>
              <w:rPr>
                <w:rFonts w:ascii="Figtree" w:hAnsi="Figtree"/>
                <w:b w:val="0"/>
                <w:i w:val="0"/>
                <w:sz w:val="20"/>
              </w:rPr>
              <w:t>$96,000</w:t>
            </w:r>
          </w:p>
        </w:tc>
        <w:tc>
          <w:tcPr>
            <w:tcW w:type="dxa" w:w="2436"/>
            <w:vAlign w:val="center"/>
          </w:tcPr>
          <w:p>
            <w:pPr>
              <w:spacing w:line="276" w:lineRule="auto" w:before="0" w:after="0"/>
            </w:pPr>
            <w:r/>
            <w:r>
              <w:rPr>
                <w:rFonts w:ascii="Figtree" w:hAnsi="Figtree"/>
                <w:b w:val="0"/>
                <w:i w:val="0"/>
                <w:sz w:val="20"/>
              </w:rPr>
              <w:t>ADX cloud account billing</w:t>
            </w:r>
          </w:p>
        </w:tc>
        <w:tc>
          <w:tcPr>
            <w:tcW w:type="dxa" w:w="2436"/>
            <w:vAlign w:val="center"/>
          </w:tcPr>
          <w:p>
            <w:pPr>
              <w:spacing w:line="276" w:lineRule="auto" w:before="0" w:after="0"/>
            </w:pPr>
            <w:r/>
            <w:r>
              <w:rPr>
                <w:rFonts w:ascii="Figtree" w:hAnsi="Figtree"/>
                <w:b w:val="0"/>
                <w:i w:val="0"/>
                <w:sz w:val="20"/>
              </w:rPr>
              <w:t>Monthly to cloud provider</w:t>
            </w:r>
          </w:p>
        </w:tc>
      </w:tr>
      <w:tr>
        <w:trPr>
          <w:trHeight w:val="425" w:hRule="atLeast"/>
        </w:trPr>
        <w:tc>
          <w:tcPr>
            <w:tcW w:type="dxa" w:w="2436"/>
            <w:vAlign w:val="center"/>
          </w:tcPr>
          <w:p>
            <w:pPr>
              <w:spacing w:line="276" w:lineRule="auto" w:before="0" w:after="0"/>
            </w:pPr>
            <w:r/>
            <w:r>
              <w:rPr>
                <w:rFonts w:ascii="Figtree" w:hAnsi="Figtree"/>
                <w:b w:val="0"/>
                <w:i w:val="0"/>
                <w:sz w:val="20"/>
              </w:rPr>
              <w:t>Year 2 Licence + Support</w:t>
            </w:r>
          </w:p>
        </w:tc>
        <w:tc>
          <w:tcPr>
            <w:tcW w:type="dxa" w:w="2436"/>
            <w:vAlign w:val="center"/>
          </w:tcPr>
          <w:p>
            <w:pPr>
              <w:spacing w:line="276" w:lineRule="auto" w:before="0" w:after="0"/>
            </w:pPr>
            <w:r/>
            <w:r>
              <w:rPr>
                <w:rFonts w:ascii="Figtree" w:hAnsi="Figtree"/>
                <w:b w:val="0"/>
                <w:i w:val="0"/>
                <w:sz w:val="20"/>
              </w:rPr>
              <w:t>$624,000</w:t>
            </w:r>
          </w:p>
        </w:tc>
        <w:tc>
          <w:tcPr>
            <w:tcW w:type="dxa" w:w="2436"/>
            <w:vAlign w:val="center"/>
          </w:tcPr>
          <w:p>
            <w:pPr>
              <w:spacing w:line="276" w:lineRule="auto" w:before="0" w:after="0"/>
            </w:pPr>
            <w:r/>
            <w:r>
              <w:rPr>
                <w:rFonts w:ascii="Figtree" w:hAnsi="Figtree"/>
                <w:b w:val="0"/>
                <w:i w:val="0"/>
                <w:sz w:val="20"/>
              </w:rPr>
              <w:t>Year 2 anniversary</w:t>
            </w:r>
          </w:p>
        </w:tc>
        <w:tc>
          <w:tcPr>
            <w:tcW w:type="dxa" w:w="2436"/>
            <w:vAlign w:val="center"/>
          </w:tcPr>
          <w:p>
            <w:pPr>
              <w:spacing w:line="276" w:lineRule="auto" w:before="0" w:after="0"/>
            </w:pPr>
            <w:r/>
            <w:r>
              <w:rPr>
                <w:rFonts w:ascii="Figtree" w:hAnsi="Figtree"/>
                <w:b w:val="0"/>
                <w:i w:val="0"/>
                <w:sz w:val="20"/>
              </w:rPr>
              <w:t>Annual renewal</w:t>
            </w:r>
          </w:p>
        </w:tc>
      </w:tr>
      <w:tr>
        <w:trPr>
          <w:trHeight w:val="425" w:hRule="atLeast"/>
        </w:trPr>
        <w:tc>
          <w:tcPr>
            <w:tcW w:type="dxa" w:w="2436"/>
            <w:vAlign w:val="center"/>
          </w:tcPr>
          <w:p>
            <w:pPr>
              <w:spacing w:line="276" w:lineRule="auto" w:before="0" w:after="0"/>
            </w:pPr>
            <w:r/>
            <w:r>
              <w:rPr>
                <w:rFonts w:ascii="Figtree" w:hAnsi="Figtree"/>
                <w:b w:val="0"/>
                <w:i w:val="0"/>
                <w:sz w:val="20"/>
              </w:rPr>
              <w:t>Year 3 Licence + Support</w:t>
            </w:r>
          </w:p>
        </w:tc>
        <w:tc>
          <w:tcPr>
            <w:tcW w:type="dxa" w:w="2436"/>
            <w:vAlign w:val="center"/>
          </w:tcPr>
          <w:p>
            <w:pPr>
              <w:spacing w:line="276" w:lineRule="auto" w:before="0" w:after="0"/>
            </w:pPr>
            <w:r/>
            <w:r>
              <w:rPr>
                <w:rFonts w:ascii="Figtree" w:hAnsi="Figtree"/>
                <w:b w:val="0"/>
                <w:i w:val="0"/>
                <w:sz w:val="20"/>
              </w:rPr>
              <w:t>$624,000</w:t>
            </w:r>
          </w:p>
        </w:tc>
        <w:tc>
          <w:tcPr>
            <w:tcW w:type="dxa" w:w="2436"/>
            <w:vAlign w:val="center"/>
          </w:tcPr>
          <w:p>
            <w:pPr>
              <w:spacing w:line="276" w:lineRule="auto" w:before="0" w:after="0"/>
            </w:pPr>
            <w:r/>
            <w:r>
              <w:rPr>
                <w:rFonts w:ascii="Figtree" w:hAnsi="Figtree"/>
                <w:b w:val="0"/>
                <w:i w:val="0"/>
                <w:sz w:val="20"/>
              </w:rPr>
              <w:t>Year 3 anniversary</w:t>
            </w:r>
          </w:p>
        </w:tc>
        <w:tc>
          <w:tcPr>
            <w:tcW w:type="dxa" w:w="2436"/>
            <w:vAlign w:val="center"/>
          </w:tcPr>
          <w:p>
            <w:pPr>
              <w:spacing w:line="276" w:lineRule="auto" w:before="0" w:after="0"/>
            </w:pPr>
            <w:r/>
            <w:r>
              <w:rPr>
                <w:rFonts w:ascii="Figtree" w:hAnsi="Figtree"/>
                <w:b w:val="0"/>
                <w:i w:val="0"/>
                <w:sz w:val="20"/>
              </w:rPr>
              <w:t>Annual renewal</w:t>
            </w:r>
          </w:p>
        </w:tc>
      </w:tr>
    </w:tbl>
    <w:p>
      <w:pPr>
        <w:spacing w:before="0" w:after="0" w:line="120" w:lineRule="exact"/>
      </w:pPr>
    </w:p>
    <w:p>
      <w:pPr>
        <w:pStyle w:val="H2"/>
        <w:numPr>
          <w:ilvl w:val="1"/>
          <w:numId w:val="1"/>
        </w:numPr>
      </w:pPr>
      <w:r>
        <w:t>7.3 Duration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4"/>
        <w:gridCol w:w="580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Initial licence term</w:t>
            </w:r>
          </w:p>
        </w:tc>
        <w:tc>
          <w:tcPr>
            <w:tcW w:type="dxa" w:w="4873"/>
            <w:vAlign w:val="center"/>
          </w:tcPr>
          <w:p>
            <w:pPr>
              <w:spacing w:line="276" w:lineRule="auto" w:before="0" w:after="0"/>
            </w:pPr>
            <w:r/>
            <w:r>
              <w:rPr>
                <w:rFonts w:ascii="Figtree" w:hAnsi="Figtree"/>
                <w:b w:val="0"/>
                <w:i w:val="0"/>
                <w:sz w:val="20"/>
              </w:rPr>
              <w:t>3 years from contract execution date</w:t>
            </w:r>
          </w:p>
        </w:tc>
      </w:tr>
      <w:tr>
        <w:trPr>
          <w:trHeight w:val="425" w:hRule="atLeast"/>
        </w:trPr>
        <w:tc>
          <w:tcPr>
            <w:tcW w:type="dxa" w:w="4873"/>
            <w:vAlign w:val="center"/>
          </w:tcPr>
          <w:p>
            <w:pPr>
              <w:spacing w:line="276" w:lineRule="auto" w:before="0" w:after="0"/>
            </w:pPr>
            <w:r/>
            <w:r>
              <w:rPr>
                <w:rFonts w:ascii="Figtree" w:hAnsi="Figtree"/>
                <w:b w:val="0"/>
                <w:i w:val="0"/>
                <w:sz w:val="20"/>
              </w:rPr>
              <w:t>Licence activation</w:t>
            </w:r>
          </w:p>
        </w:tc>
        <w:tc>
          <w:tcPr>
            <w:tcW w:type="dxa" w:w="4873"/>
            <w:vAlign w:val="center"/>
          </w:tcPr>
          <w:p>
            <w:pPr>
              <w:spacing w:line="276" w:lineRule="auto" w:before="0" w:after="0"/>
            </w:pPr>
            <w:r/>
            <w:r>
              <w:rPr>
                <w:rFonts w:ascii="Figtree" w:hAnsi="Figtree"/>
                <w:b w:val="0"/>
                <w:i w:val="0"/>
                <w:sz w:val="20"/>
              </w:rPr>
              <w:t>Commences at contract execution (not at go-live)</w:t>
            </w:r>
          </w:p>
        </w:tc>
      </w:tr>
      <w:tr>
        <w:trPr>
          <w:trHeight w:val="425" w:hRule="atLeast"/>
        </w:trPr>
        <w:tc>
          <w:tcPr>
            <w:tcW w:type="dxa" w:w="4873"/>
            <w:vAlign w:val="center"/>
          </w:tcPr>
          <w:p>
            <w:pPr>
              <w:spacing w:line="276" w:lineRule="auto" w:before="0" w:after="0"/>
            </w:pPr>
            <w:r/>
            <w:r>
              <w:rPr>
                <w:rFonts w:ascii="Figtree" w:hAnsi="Figtree"/>
                <w:b w:val="0"/>
                <w:i w:val="0"/>
                <w:sz w:val="20"/>
              </w:rPr>
              <w:t>Multi-year commitment option</w:t>
            </w:r>
          </w:p>
        </w:tc>
        <w:tc>
          <w:tcPr>
            <w:tcW w:type="dxa" w:w="4873"/>
            <w:vAlign w:val="center"/>
          </w:tcPr>
          <w:p>
            <w:pPr>
              <w:spacing w:line="276" w:lineRule="auto" w:before="0" w:after="0"/>
            </w:pPr>
            <w:r/>
            <w:r>
              <w:rPr>
                <w:rFonts w:ascii="Figtree" w:hAnsi="Figtree"/>
                <w:b w:val="0"/>
                <w:i w:val="0"/>
                <w:sz w:val="20"/>
              </w:rPr>
              <w:t>3-year upfront commitment: 10% discount on licence fees</w:t>
            </w:r>
          </w:p>
        </w:tc>
      </w:tr>
      <w:tr>
        <w:trPr>
          <w:trHeight w:val="425" w:hRule="atLeast"/>
        </w:trPr>
        <w:tc>
          <w:tcPr>
            <w:tcW w:type="dxa" w:w="4873"/>
            <w:vAlign w:val="center"/>
          </w:tcPr>
          <w:p>
            <w:pPr>
              <w:spacing w:line="276" w:lineRule="auto" w:before="0" w:after="0"/>
            </w:pPr>
            <w:r/>
            <w:r>
              <w:rPr>
                <w:rFonts w:ascii="Figtree" w:hAnsi="Figtree"/>
                <w:b w:val="0"/>
                <w:i w:val="0"/>
                <w:sz w:val="20"/>
              </w:rPr>
              <w:t>Optional extension</w:t>
            </w:r>
          </w:p>
        </w:tc>
        <w:tc>
          <w:tcPr>
            <w:tcW w:type="dxa" w:w="4873"/>
            <w:vAlign w:val="center"/>
          </w:tcPr>
          <w:p>
            <w:pPr>
              <w:spacing w:line="276" w:lineRule="auto" w:before="0" w:after="0"/>
            </w:pPr>
            <w:r/>
            <w:r>
              <w:rPr>
                <w:rFonts w:ascii="Figtree" w:hAnsi="Figtree"/>
                <w:b w:val="0"/>
                <w:i w:val="0"/>
                <w:sz w:val="20"/>
              </w:rPr>
              <w:t>Annual renewal at agreed pricing after initial term</w:t>
            </w:r>
          </w:p>
        </w:tc>
      </w:tr>
    </w:tbl>
    <w:p>
      <w:pPr>
        <w:spacing w:before="0" w:after="0" w:line="120" w:lineRule="exact"/>
      </w:pPr>
    </w:p>
    <w:p>
      <w:pPr>
        <w:pStyle w:val="H2"/>
        <w:numPr>
          <w:ilvl w:val="1"/>
          <w:numId w:val="1"/>
        </w:numPr>
      </w:pPr>
      <w:r>
        <w:t>7.4 Renewal</w:t>
      </w:r>
    </w:p>
    <w:p>
      <w:r>
        <w:rPr>
          <w:rFonts w:ascii="Figtree" w:hAnsi="Figtree"/>
          <w:b w:val="0"/>
          <w:i w:val="0"/>
          <w:sz w:val="22"/>
        </w:rPr>
        <w:t>Licence renewal terms are communicated no later than 6 months before term expiry. Pricing for renewal is based on the then-current list price unless a multi-year commitment or other pre-agreed terms apply. Early renewal (more than 3 months before expiry) may qualify for a 5% loyalty discount.</w:t>
      </w:r>
    </w:p>
    <w:p>
      <w:pPr>
        <w:pStyle w:val="H2"/>
        <w:numPr>
          <w:ilvl w:val="1"/>
          <w:numId w:val="1"/>
        </w:numPr>
      </w:pPr>
      <w:r>
        <w:t>7.5 Termination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6"/>
        <w:gridCol w:w="615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Conditions</w:t>
            </w:r>
          </w:p>
        </w:tc>
      </w:tr>
      <w:tr>
        <w:trPr>
          <w:trHeight w:val="425" w:hRule="atLeast"/>
        </w:trPr>
        <w:tc>
          <w:tcPr>
            <w:tcW w:type="dxa" w:w="4873"/>
            <w:vAlign w:val="center"/>
          </w:tcPr>
          <w:p>
            <w:pPr>
              <w:spacing w:line="276" w:lineRule="auto" w:before="0" w:after="0"/>
            </w:pPr>
            <w:r/>
            <w:r>
              <w:rPr>
                <w:rFonts w:ascii="Figtree" w:hAnsi="Figtree"/>
                <w:b w:val="0"/>
                <w:i w:val="0"/>
                <w:sz w:val="20"/>
              </w:rPr>
              <w:t>For cause</w:t>
            </w:r>
          </w:p>
        </w:tc>
        <w:tc>
          <w:tcPr>
            <w:tcW w:type="dxa" w:w="4873"/>
            <w:vAlign w:val="center"/>
          </w:tcPr>
          <w:p>
            <w:pPr>
              <w:spacing w:line="276" w:lineRule="auto" w:before="0" w:after="0"/>
            </w:pPr>
            <w:r/>
            <w:r>
              <w:rPr>
                <w:rFonts w:ascii="Figtree" w:hAnsi="Figtree"/>
                <w:b w:val="0"/>
                <w:i w:val="0"/>
                <w:sz w:val="20"/>
              </w:rPr>
              <w:t>Material breach of contract terms, not remedied within 30-day cure period</w:t>
            </w:r>
          </w:p>
        </w:tc>
      </w:tr>
      <w:tr>
        <w:trPr>
          <w:trHeight w:val="425" w:hRule="atLeast"/>
        </w:trPr>
        <w:tc>
          <w:tcPr>
            <w:tcW w:type="dxa" w:w="4873"/>
            <w:vAlign w:val="center"/>
          </w:tcPr>
          <w:p>
            <w:pPr>
              <w:spacing w:line="276" w:lineRule="auto" w:before="0" w:after="0"/>
            </w:pPr>
            <w:r/>
            <w:r>
              <w:rPr>
                <w:rFonts w:ascii="Figtree" w:hAnsi="Figtree"/>
                <w:b w:val="0"/>
                <w:i w:val="0"/>
                <w:sz w:val="20"/>
              </w:rPr>
              <w:t>For insolvency</w:t>
            </w:r>
          </w:p>
        </w:tc>
        <w:tc>
          <w:tcPr>
            <w:tcW w:type="dxa" w:w="4873"/>
            <w:vAlign w:val="center"/>
          </w:tcPr>
          <w:p>
            <w:pPr>
              <w:spacing w:line="276" w:lineRule="auto" w:before="0" w:after="0"/>
            </w:pPr>
            <w:r/>
            <w:r>
              <w:rPr>
                <w:rFonts w:ascii="Figtree" w:hAnsi="Figtree"/>
                <w:b w:val="0"/>
                <w:i w:val="0"/>
                <w:sz w:val="20"/>
              </w:rPr>
              <w:t>Insolvency or bankruptcy of either party</w:t>
            </w:r>
          </w:p>
        </w:tc>
      </w:tr>
      <w:tr>
        <w:trPr>
          <w:trHeight w:val="425" w:hRule="atLeast"/>
        </w:trPr>
        <w:tc>
          <w:tcPr>
            <w:tcW w:type="dxa" w:w="4873"/>
            <w:vAlign w:val="center"/>
          </w:tcPr>
          <w:p>
            <w:pPr>
              <w:spacing w:line="276" w:lineRule="auto" w:before="0" w:after="0"/>
            </w:pPr>
            <w:r/>
            <w:r>
              <w:rPr>
                <w:rFonts w:ascii="Figtree" w:hAnsi="Figtree"/>
                <w:b w:val="0"/>
                <w:i w:val="0"/>
                <w:sz w:val="20"/>
              </w:rPr>
              <w:t>For convenience</w:t>
            </w:r>
          </w:p>
        </w:tc>
        <w:tc>
          <w:tcPr>
            <w:tcW w:type="dxa" w:w="4873"/>
            <w:vAlign w:val="center"/>
          </w:tcPr>
          <w:p>
            <w:pPr>
              <w:spacing w:line="276" w:lineRule="auto" w:before="0" w:after="0"/>
            </w:pPr>
            <w:r/>
            <w:r>
              <w:rPr>
                <w:rFonts w:ascii="Figtree" w:hAnsi="Figtree"/>
                <w:b w:val="0"/>
                <w:i w:val="0"/>
                <w:sz w:val="20"/>
              </w:rPr>
              <w:t>Not available during initial term without termination fee</w:t>
            </w:r>
          </w:p>
        </w:tc>
      </w:tr>
      <w:tr>
        <w:trPr>
          <w:trHeight w:val="425" w:hRule="atLeast"/>
        </w:trPr>
        <w:tc>
          <w:tcPr>
            <w:tcW w:type="dxa" w:w="4873"/>
            <w:vAlign w:val="center"/>
          </w:tcPr>
          <w:p>
            <w:pPr>
              <w:spacing w:line="276" w:lineRule="auto" w:before="0" w:after="0"/>
            </w:pPr>
            <w:r/>
            <w:r>
              <w:rPr>
                <w:rFonts w:ascii="Figtree" w:hAnsi="Figtree"/>
                <w:b w:val="0"/>
                <w:i w:val="0"/>
                <w:sz w:val="20"/>
              </w:rPr>
              <w:t>Termination fee (convenience)</w:t>
            </w:r>
          </w:p>
        </w:tc>
        <w:tc>
          <w:tcPr>
            <w:tcW w:type="dxa" w:w="4873"/>
            <w:vAlign w:val="center"/>
          </w:tcPr>
          <w:p>
            <w:pPr>
              <w:spacing w:line="276" w:lineRule="auto" w:before="0" w:after="0"/>
            </w:pPr>
            <w:r/>
            <w:r>
              <w:rPr>
                <w:rFonts w:ascii="Figtree" w:hAnsi="Figtree"/>
                <w:b w:val="0"/>
                <w:i w:val="0"/>
                <w:sz w:val="20"/>
              </w:rPr>
              <w:t>25% of remaining licence fees for the unexpired initial term</w:t>
            </w:r>
          </w:p>
        </w:tc>
      </w:tr>
    </w:tbl>
    <w:p>
      <w:pPr>
        <w:spacing w:before="0" w:after="0" w:line="120" w:lineRule="exact"/>
      </w:pPr>
    </w:p>
    <w:p>
      <w:r>
        <w:rPr>
          <w:rFonts w:ascii="Figtree" w:hAnsi="Figtree"/>
          <w:b w:val="0"/>
          <w:i w:val="0"/>
          <w:sz w:val="22"/>
        </w:rPr>
        <w:t>Post-termination: ADX retains access to all data export tools for 90 days after termination to enable migration. SettleMint provides data export assistance as a billable service if required beyond standard platform export capability.</w:t>
      </w:r>
    </w:p>
    <w:p>
      <w:pPr>
        <w:pStyle w:val="H2"/>
        <w:numPr>
          <w:ilvl w:val="1"/>
          <w:numId w:val="1"/>
        </w:numPr>
      </w:pPr>
      <w:r>
        <w:t>7.6 Intellectual Property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24"/>
        <w:gridCol w:w="374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Ownership</w:t>
            </w:r>
          </w:p>
        </w:tc>
      </w:tr>
      <w:tr>
        <w:trPr>
          <w:trHeight w:val="425" w:hRule="atLeast"/>
        </w:trPr>
        <w:tc>
          <w:tcPr>
            <w:tcW w:type="dxa" w:w="4873"/>
            <w:vAlign w:val="center"/>
          </w:tcPr>
          <w:p>
            <w:pPr>
              <w:spacing w:line="276" w:lineRule="auto" w:before="0" w:after="0"/>
            </w:pPr>
            <w:r/>
            <w:r>
              <w:rPr>
                <w:rFonts w:ascii="Figtree" w:hAnsi="Figtree"/>
                <w:b w:val="0"/>
                <w:i w:val="0"/>
                <w:sz w:val="20"/>
              </w:rPr>
              <w:t>DALP platform software</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Client configuration data</w:t>
            </w:r>
          </w:p>
        </w:tc>
        <w:tc>
          <w:tcPr>
            <w:tcW w:type="dxa" w:w="4873"/>
            <w:vAlign w:val="center"/>
          </w:tcPr>
          <w:p>
            <w:pPr>
              <w:spacing w:line="276" w:lineRule="auto" w:before="0" w:after="0"/>
            </w:pPr>
            <w:r/>
            <w:r>
              <w:rPr>
                <w:rFonts w:ascii="Figtree" w:hAnsi="Figtree"/>
                <w:b w:val="0"/>
                <w:i w:val="0"/>
                <w:sz w:val="20"/>
              </w:rPr>
              <w:t>ADX Abu Dhabi Securities Exchange</w:t>
            </w:r>
          </w:p>
        </w:tc>
      </w:tr>
      <w:tr>
        <w:trPr>
          <w:trHeight w:val="425" w:hRule="atLeast"/>
        </w:trPr>
        <w:tc>
          <w:tcPr>
            <w:tcW w:type="dxa" w:w="4873"/>
            <w:vAlign w:val="center"/>
          </w:tcPr>
          <w:p>
            <w:pPr>
              <w:spacing w:line="276" w:lineRule="auto" w:before="0" w:after="0"/>
            </w:pPr>
            <w:r/>
            <w:r>
              <w:rPr>
                <w:rFonts w:ascii="Figtree" w:hAnsi="Figtree"/>
                <w:b w:val="0"/>
                <w:i w:val="0"/>
                <w:sz w:val="20"/>
              </w:rPr>
              <w:t>ADX's business data and records</w:t>
            </w:r>
          </w:p>
        </w:tc>
        <w:tc>
          <w:tcPr>
            <w:tcW w:type="dxa" w:w="4873"/>
            <w:vAlign w:val="center"/>
          </w:tcPr>
          <w:p>
            <w:pPr>
              <w:spacing w:line="276" w:lineRule="auto" w:before="0" w:after="0"/>
            </w:pPr>
            <w:r/>
            <w:r>
              <w:rPr>
                <w:rFonts w:ascii="Figtree" w:hAnsi="Figtree"/>
                <w:b w:val="0"/>
                <w:i w:val="0"/>
                <w:sz w:val="20"/>
              </w:rPr>
              <w:t>ADX Abu Dhabi Securities Exchange</w:t>
            </w:r>
          </w:p>
        </w:tc>
      </w:tr>
      <w:tr>
        <w:trPr>
          <w:trHeight w:val="425" w:hRule="atLeast"/>
        </w:trPr>
        <w:tc>
          <w:tcPr>
            <w:tcW w:type="dxa" w:w="4873"/>
            <w:vAlign w:val="center"/>
          </w:tcPr>
          <w:p>
            <w:pPr>
              <w:spacing w:line="276" w:lineRule="auto" w:before="0" w:after="0"/>
            </w:pPr>
            <w:r/>
            <w:r>
              <w:rPr>
                <w:rFonts w:ascii="Figtree" w:hAnsi="Figtree"/>
                <w:b w:val="0"/>
                <w:i w:val="0"/>
                <w:sz w:val="20"/>
              </w:rPr>
              <w:t>Integration code developed by SettleMint</w:t>
            </w:r>
          </w:p>
        </w:tc>
        <w:tc>
          <w:tcPr>
            <w:tcW w:type="dxa" w:w="4873"/>
            <w:vAlign w:val="center"/>
          </w:tcPr>
          <w:p>
            <w:pPr>
              <w:spacing w:line="276" w:lineRule="auto" w:before="0" w:after="0"/>
            </w:pPr>
            <w:r/>
            <w:r>
              <w:rPr>
                <w:rFonts w:ascii="Figtree" w:hAnsi="Figtree"/>
                <w:b w:val="0"/>
                <w:i w:val="0"/>
                <w:sz w:val="20"/>
              </w:rPr>
              <w:t>SettleMint NV (licence granted to ADX)</w:t>
            </w:r>
          </w:p>
        </w:tc>
      </w:tr>
      <w:tr>
        <w:trPr>
          <w:trHeight w:val="425" w:hRule="atLeast"/>
        </w:trPr>
        <w:tc>
          <w:tcPr>
            <w:tcW w:type="dxa" w:w="4873"/>
            <w:vAlign w:val="center"/>
          </w:tcPr>
          <w:p>
            <w:pPr>
              <w:spacing w:line="276" w:lineRule="auto" w:before="0" w:after="0"/>
            </w:pPr>
            <w:r/>
            <w:r>
              <w:rPr>
                <w:rFonts w:ascii="Figtree" w:hAnsi="Figtree"/>
                <w:b w:val="0"/>
                <w:i w:val="0"/>
                <w:sz w:val="20"/>
              </w:rPr>
              <w:t>Customizations developed specifically for ADX (if any)</w:t>
            </w:r>
          </w:p>
        </w:tc>
        <w:tc>
          <w:tcPr>
            <w:tcW w:type="dxa" w:w="4873"/>
            <w:vAlign w:val="center"/>
          </w:tcPr>
          <w:p>
            <w:pPr>
              <w:spacing w:line="276" w:lineRule="auto" w:before="0" w:after="0"/>
            </w:pPr>
            <w:r/>
            <w:r>
              <w:rPr>
                <w:rFonts w:ascii="Figtree" w:hAnsi="Figtree"/>
                <w:b w:val="0"/>
                <w:i w:val="0"/>
                <w:sz w:val="20"/>
              </w:rPr>
              <w:t>As agreed per statement of work</w:t>
            </w:r>
          </w:p>
        </w:tc>
      </w:tr>
    </w:tbl>
    <w:p>
      <w:pPr>
        <w:spacing w:before="0" w:after="0" w:line="120" w:lineRule="exact"/>
      </w:pPr>
    </w:p>
    <w:p>
      <w:pPr>
        <w:pStyle w:val="H2"/>
        <w:numPr>
          <w:ilvl w:val="1"/>
          <w:numId w:val="1"/>
        </w:numPr>
      </w:pPr>
      <w:r>
        <w:t>7.7 Liability</w:t>
      </w:r>
    </w:p>
    <w:p>
      <w:r>
        <w:rPr>
          <w:rFonts w:ascii="Figtree" w:hAnsi="Figtree"/>
          <w:b w:val="0"/>
          <w:i w:val="0"/>
          <w:sz w:val="22"/>
        </w:rPr>
        <w:t>Liability cap: SettleMint's total aggregate liability under the agreement is capped at 12 months of licence fees paid. Exclusions from cap: death/personal injury, fraud, wilful misconduct, and data protection obligations under applicable law.</w:t>
      </w:r>
    </w:p>
    <w:p>
      <w:pPr>
        <w:pStyle w:val="H2"/>
        <w:numPr>
          <w:ilvl w:val="1"/>
          <w:numId w:val="1"/>
        </w:numPr>
      </w:pPr>
      <w:r>
        <w:t>7.8 Confidentiality</w:t>
      </w:r>
    </w:p>
    <w:p>
      <w:r>
        <w:rPr>
          <w:rFonts w:ascii="Figtree" w:hAnsi="Figtree"/>
          <w:b w:val="0"/>
          <w:i w:val="0"/>
          <w:sz w:val="22"/>
        </w:rPr>
        <w:t>Mutual confidentiality obligations apply for the term of the agreement and for 3 years thereafter. Standard exceptions apply: publicly available information, information independently developed, information required to be disclosed by law or regulatory order.</w:t>
      </w:r>
    </w:p>
    <w:p>
      <w:pPr>
        <w:pStyle w:val="H2"/>
        <w:numPr>
          <w:ilvl w:val="1"/>
          <w:numId w:val="1"/>
        </w:numPr>
      </w:pPr>
      <w:r>
        <w:t>7.9 Escrow</w:t>
      </w:r>
    </w:p>
    <w:p>
      <w:r>
        <w:rPr>
          <w:rFonts w:ascii="Figtree" w:hAnsi="Figtree"/>
          <w:b w:val="0"/>
          <w:i w:val="0"/>
          <w:sz w:val="22"/>
        </w:rPr>
        <w:t>SettleMint can arrange source code escrow with a mutually agreed escrow agent. Release conditions typically include: SettleMint insolvency, cessation of business, or material failure to maintain the platform for 90+ days. Escrow arrangement costs are borne by ADX. SettleMint will provide escrow deposit and update procedures.</w:t>
      </w:r>
    </w:p>
    <w:p>
      <w:r>
        <w:br w:type="page"/>
      </w:r>
    </w:p>
    <w:p>
      <w:pPr>
        <w:pStyle w:val="H1"/>
        <w:numPr>
          <w:ilvl w:val="0"/>
          <w:numId w:val="1"/>
        </w:numPr>
      </w:pPr>
      <w:r>
        <w:t>8. Total Cost of Ownership</w:t>
      </w:r>
    </w:p>
    <w:p>
      <w:pPr>
        <w:pStyle w:val="H2"/>
        <w:numPr>
          <w:ilvl w:val="1"/>
          <w:numId w:val="1"/>
        </w:numPr>
      </w:pPr>
      <w:r>
        <w:t>8.1 TCO Framework</w:t>
      </w:r>
    </w:p>
    <w:p>
      <w:r>
        <w:rPr>
          <w:rFonts w:ascii="Figtree" w:hAnsi="Figtree"/>
          <w:b w:val="0"/>
          <w:i w:val="0"/>
          <w:sz w:val="22"/>
        </w:rPr>
        <w:t>The TCO comparison for ADX evaluates three scenarios over a five-year horizon: (1) DALP platform licence, (2) internal build, and (3) multi-vendor assembly. The comparison includes all relevant cost categories: software, infrastructure, implementation, personnel, ongoing maintenance, integration, and compliance/audit support.</w:t>
      </w:r>
    </w:p>
    <w:p>
      <w:pPr>
        <w:pStyle w:val="H2"/>
        <w:numPr>
          <w:ilvl w:val="1"/>
          <w:numId w:val="1"/>
        </w:numPr>
      </w:pPr>
      <w:r>
        <w:t>8.2 Three-Year TCO — DALP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86"/>
        <w:gridCol w:w="1476"/>
        <w:gridCol w:w="1265"/>
        <w:gridCol w:w="1265"/>
        <w:gridCol w:w="14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$320,000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$320,000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$288,000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$24,000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$36,000</w:t>
            </w:r>
          </w:p>
        </w:tc>
      </w:tr>
      <w:tr>
        <w:trPr>
          <w:trHeight w:val="425" w:hRule="atLeast"/>
        </w:trPr>
        <w:tc>
          <w:tcPr>
            <w:tcW w:type="dxa" w:w="1949"/>
            <w:vAlign w:val="center"/>
          </w:tcPr>
          <w:p>
            <w:pPr>
              <w:spacing w:line="276" w:lineRule="auto" w:before="0" w:after="0"/>
            </w:pPr>
            <w:r/>
            <w:r>
              <w:rPr>
                <w:rFonts w:ascii="Figtree" w:hAnsi="Figtree"/>
                <w:b w:val="0"/>
                <w:i w:val="0"/>
                <w:sz w:val="20"/>
              </w:rPr>
              <w:t>Internal ADX resources (oversight)</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$200,000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$1,144,000</w:t>
            </w:r>
          </w:p>
        </w:tc>
        <w:tc>
          <w:tcPr>
            <w:tcW w:type="dxa" w:w="1949"/>
            <w:vAlign w:val="center"/>
          </w:tcPr>
          <w:p>
            <w:pPr>
              <w:spacing w:line="276" w:lineRule="auto" w:before="0" w:after="0"/>
            </w:pPr>
            <w:r/>
            <w:r>
              <w:rPr>
                <w:rFonts w:ascii="Figtree" w:hAnsi="Figtree"/>
                <w:b/>
                <w:i w:val="0"/>
                <w:sz w:val="20"/>
              </w:rPr>
              <w:t>$780,000</w:t>
            </w:r>
          </w:p>
        </w:tc>
        <w:tc>
          <w:tcPr>
            <w:tcW w:type="dxa" w:w="1949"/>
            <w:vAlign w:val="center"/>
          </w:tcPr>
          <w:p>
            <w:pPr>
              <w:spacing w:line="276" w:lineRule="auto" w:before="0" w:after="0"/>
            </w:pPr>
            <w:r/>
            <w:r>
              <w:rPr>
                <w:rFonts w:ascii="Figtree" w:hAnsi="Figtree"/>
                <w:b/>
                <w:i w:val="0"/>
                <w:sz w:val="20"/>
              </w:rPr>
              <w:t>$792,000</w:t>
            </w:r>
          </w:p>
        </w:tc>
        <w:tc>
          <w:tcPr>
            <w:tcW w:type="dxa" w:w="1949"/>
            <w:vAlign w:val="center"/>
          </w:tcPr>
          <w:p>
            <w:pPr>
              <w:spacing w:line="276" w:lineRule="auto" w:before="0" w:after="0"/>
            </w:pPr>
            <w:r/>
            <w:r>
              <w:rPr>
                <w:rFonts w:ascii="Figtree" w:hAnsi="Figtree"/>
                <w:b/>
                <w:i w:val="0"/>
                <w:sz w:val="20"/>
              </w:rPr>
              <w:t>$2,716,000</w:t>
            </w:r>
          </w:p>
        </w:tc>
      </w:tr>
    </w:tbl>
    <w:p>
      <w:pPr>
        <w:spacing w:before="0" w:after="0" w:line="120" w:lineRule="exact"/>
      </w:pPr>
    </w:p>
    <w:p>
      <w:pPr>
        <w:pStyle w:val="H2"/>
        <w:numPr>
          <w:ilvl w:val="1"/>
          <w:numId w:val="1"/>
        </w:numPr>
      </w:pPr>
      <w:r>
        <w:t>8.3 Three-Year TCO — Internal Build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67"/>
        <w:gridCol w:w="1351"/>
        <w:gridCol w:w="1351"/>
        <w:gridCol w:w="1351"/>
        <w:gridCol w:w="135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Smart contract development</w:t>
            </w:r>
          </w:p>
        </w:tc>
        <w:tc>
          <w:tcPr>
            <w:tcW w:type="dxa" w:w="1949"/>
            <w:vAlign w:val="center"/>
          </w:tcPr>
          <w:p>
            <w:pPr>
              <w:spacing w:line="276" w:lineRule="auto" w:before="0" w:after="0"/>
            </w:pPr>
            <w:r/>
            <w:r>
              <w:rPr>
                <w:rFonts w:ascii="Figtree" w:hAnsi="Figtree"/>
                <w:b w:val="0"/>
                <w:i w:val="0"/>
                <w:sz w:val="20"/>
              </w:rPr>
              <w:t>$600,000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$600,000</w:t>
            </w:r>
          </w:p>
        </w:tc>
      </w:tr>
      <w:tr>
        <w:trPr>
          <w:trHeight w:val="425" w:hRule="atLeast"/>
        </w:trPr>
        <w:tc>
          <w:tcPr>
            <w:tcW w:type="dxa" w:w="1949"/>
            <w:vAlign w:val="center"/>
          </w:tcPr>
          <w:p>
            <w:pPr>
              <w:spacing w:line="276" w:lineRule="auto" w:before="0" w:after="0"/>
            </w:pPr>
            <w:r/>
            <w:r>
              <w:rPr>
                <w:rFonts w:ascii="Figtree" w:hAnsi="Figtree"/>
                <w:b w:val="0"/>
                <w:i w:val="0"/>
                <w:sz w:val="20"/>
              </w:rPr>
              <w:t>Compliance and identity layers</w:t>
            </w:r>
          </w:p>
        </w:tc>
        <w:tc>
          <w:tcPr>
            <w:tcW w:type="dxa" w:w="1949"/>
            <w:vAlign w:val="center"/>
          </w:tcPr>
          <w:p>
            <w:pPr>
              <w:spacing w:line="276" w:lineRule="auto" w:before="0" w:after="0"/>
            </w:pPr>
            <w:r/>
            <w:r>
              <w:rPr>
                <w:rFonts w:ascii="Figtree" w:hAnsi="Figtree"/>
                <w:b w:val="0"/>
                <w:i w:val="0"/>
                <w:sz w:val="20"/>
              </w:rPr>
              <w:t>$350,000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$350,000</w:t>
            </w:r>
          </w:p>
        </w:tc>
      </w:tr>
      <w:tr>
        <w:trPr>
          <w:trHeight w:val="425" w:hRule="atLeast"/>
        </w:trPr>
        <w:tc>
          <w:tcPr>
            <w:tcW w:type="dxa" w:w="1949"/>
            <w:vAlign w:val="center"/>
          </w:tcPr>
          <w:p>
            <w:pPr>
              <w:spacing w:line="276" w:lineRule="auto" w:before="0" w:after="0"/>
            </w:pPr>
            <w:r/>
            <w:r>
              <w:rPr>
                <w:rFonts w:ascii="Figtree" w:hAnsi="Figtree"/>
                <w:b w:val="0"/>
                <w:i w:val="0"/>
                <w:sz w:val="20"/>
              </w:rPr>
              <w:t>API and integration development</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Ongoing maintenance team (3 FTE)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$600,000</w:t>
            </w:r>
          </w:p>
        </w:tc>
        <w:tc>
          <w:tcPr>
            <w:tcW w:type="dxa" w:w="1949"/>
            <w:vAlign w:val="center"/>
          </w:tcPr>
          <w:p>
            <w:pPr>
              <w:spacing w:line="276" w:lineRule="auto" w:before="0" w:after="0"/>
            </w:pPr>
            <w:r/>
            <w:r>
              <w:rPr>
                <w:rFonts w:ascii="Figtree" w:hAnsi="Figtree"/>
                <w:b w:val="0"/>
                <w:i w:val="0"/>
                <w:sz w:val="20"/>
              </w:rPr>
              <w:t>$650,000</w:t>
            </w:r>
          </w:p>
        </w:tc>
        <w:tc>
          <w:tcPr>
            <w:tcW w:type="dxa" w:w="1949"/>
            <w:vAlign w:val="center"/>
          </w:tcPr>
          <w:p>
            <w:pPr>
              <w:spacing w:line="276" w:lineRule="auto" w:before="0" w:after="0"/>
            </w:pPr>
            <w:r/>
            <w:r>
              <w:rPr>
                <w:rFonts w:ascii="Figtree" w:hAnsi="Figtree"/>
                <w:b w:val="0"/>
                <w:i w:val="0"/>
                <w:sz w:val="20"/>
              </w:rPr>
              <w:t>$1,250,000</w:t>
            </w:r>
          </w:p>
        </w:tc>
      </w:tr>
      <w:tr>
        <w:trPr>
          <w:trHeight w:val="425" w:hRule="atLeast"/>
        </w:trPr>
        <w:tc>
          <w:tcPr>
            <w:tcW w:type="dxa" w:w="1949"/>
            <w:vAlign w:val="center"/>
          </w:tcPr>
          <w:p>
            <w:pPr>
              <w:spacing w:line="276" w:lineRule="auto" w:before="0" w:after="0"/>
            </w:pPr>
            <w:r/>
            <w:r>
              <w:rPr>
                <w:rFonts w:ascii="Figtree" w:hAnsi="Figtree"/>
                <w:b w:val="0"/>
                <w:i w:val="0"/>
                <w:sz w:val="20"/>
              </w:rPr>
              <w:t>Security audit and penetration testing</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$260,000</w:t>
            </w:r>
          </w:p>
        </w:tc>
      </w:tr>
      <w:tr>
        <w:trPr>
          <w:trHeight w:val="425" w:hRule="atLeast"/>
        </w:trPr>
        <w:tc>
          <w:tcPr>
            <w:tcW w:type="dxa" w:w="1949"/>
            <w:vAlign w:val="center"/>
          </w:tcPr>
          <w:p>
            <w:pPr>
              <w:spacing w:line="276" w:lineRule="auto" w:before="0" w:after="0"/>
            </w:pPr>
            <w:r/>
            <w:r>
              <w:rPr>
                <w:rFonts w:ascii="Figtree" w:hAnsi="Figtree"/>
                <w:b w:val="0"/>
                <w:i w:val="0"/>
                <w:sz w:val="20"/>
              </w:rPr>
              <w:t>Regulatory compliance updates</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$400,000</w:t>
            </w:r>
          </w:p>
        </w:tc>
      </w:tr>
      <w:tr>
        <w:trPr>
          <w:trHeight w:val="425" w:hRule="atLeast"/>
        </w:trPr>
        <w:tc>
          <w:tcPr>
            <w:tcW w:type="dxa" w:w="1949"/>
            <w:vAlign w:val="center"/>
          </w:tcPr>
          <w:p>
            <w:pPr>
              <w:spacing w:line="276" w:lineRule="auto" w:before="0" w:after="0"/>
            </w:pPr>
            <w:r/>
            <w:r>
              <w:rPr>
                <w:rFonts w:ascii="Figtree" w:hAnsi="Figtree"/>
                <w:b w:val="0"/>
                <w:i w:val="0"/>
                <w:sz w:val="20"/>
              </w:rPr>
              <w:t>Integration maintenance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$400,000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$1,570,000</w:t>
            </w:r>
          </w:p>
        </w:tc>
        <w:tc>
          <w:tcPr>
            <w:tcW w:type="dxa" w:w="1949"/>
            <w:vAlign w:val="center"/>
          </w:tcPr>
          <w:p>
            <w:pPr>
              <w:spacing w:line="276" w:lineRule="auto" w:before="0" w:after="0"/>
            </w:pPr>
            <w:r/>
            <w:r>
              <w:rPr>
                <w:rFonts w:ascii="Figtree" w:hAnsi="Figtree"/>
                <w:b/>
                <w:i w:val="0"/>
                <w:sz w:val="20"/>
              </w:rPr>
              <w:t>$1,150,000</w:t>
            </w:r>
          </w:p>
        </w:tc>
        <w:tc>
          <w:tcPr>
            <w:tcW w:type="dxa" w:w="1949"/>
            <w:vAlign w:val="center"/>
          </w:tcPr>
          <w:p>
            <w:pPr>
              <w:spacing w:line="276" w:lineRule="auto" w:before="0" w:after="0"/>
            </w:pPr>
            <w:r/>
            <w:r>
              <w:rPr>
                <w:rFonts w:ascii="Figtree" w:hAnsi="Figtree"/>
                <w:b/>
                <w:i w:val="0"/>
                <w:sz w:val="20"/>
              </w:rPr>
              <w:t>$1,200,000</w:t>
            </w:r>
          </w:p>
        </w:tc>
        <w:tc>
          <w:tcPr>
            <w:tcW w:type="dxa" w:w="1949"/>
            <w:vAlign w:val="center"/>
          </w:tcPr>
          <w:p>
            <w:pPr>
              <w:spacing w:line="276" w:lineRule="auto" w:before="0" w:after="0"/>
            </w:pPr>
            <w:r/>
            <w:r>
              <w:rPr>
                <w:rFonts w:ascii="Figtree" w:hAnsi="Figtree"/>
                <w:b/>
                <w:i w:val="0"/>
                <w:sz w:val="20"/>
              </w:rPr>
              <w:t>$3,920,000</w:t>
            </w:r>
          </w:p>
        </w:tc>
      </w:tr>
    </w:tbl>
    <w:p>
      <w:pPr>
        <w:spacing w:before="0" w:after="0" w:line="120" w:lineRule="exact"/>
      </w:pPr>
    </w:p>
    <w:p>
      <w:pPr>
        <w:pStyle w:val="H2"/>
        <w:numPr>
          <w:ilvl w:val="1"/>
          <w:numId w:val="1"/>
        </w:numPr>
      </w:pPr>
      <w:r>
        <w:t>8.4 Three-Year TCO — Multi-Vendor Assembly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1380"/>
        <w:gridCol w:w="1380"/>
        <w:gridCol w:w="1380"/>
        <w:gridCol w:w="138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Token issuance platform licence</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$600,000</w:t>
            </w:r>
          </w:p>
        </w:tc>
      </w:tr>
      <w:tr>
        <w:trPr>
          <w:trHeight w:val="425" w:hRule="atLeast"/>
        </w:trPr>
        <w:tc>
          <w:tcPr>
            <w:tcW w:type="dxa" w:w="1949"/>
            <w:vAlign w:val="center"/>
          </w:tcPr>
          <w:p>
            <w:pPr>
              <w:spacing w:line="276" w:lineRule="auto" w:before="0" w:after="0"/>
            </w:pPr>
            <w:r/>
            <w:r>
              <w:rPr>
                <w:rFonts w:ascii="Figtree" w:hAnsi="Figtree"/>
                <w:b w:val="0"/>
                <w:i w:val="0"/>
                <w:sz w:val="20"/>
              </w:rPr>
              <w:t>Compliance platform licence</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$450,000</w:t>
            </w:r>
          </w:p>
        </w:tc>
      </w:tr>
      <w:tr>
        <w:trPr>
          <w:trHeight w:val="425" w:hRule="atLeast"/>
        </w:trPr>
        <w:tc>
          <w:tcPr>
            <w:tcW w:type="dxa" w:w="1949"/>
            <w:vAlign w:val="center"/>
          </w:tcPr>
          <w:p>
            <w:pPr>
              <w:spacing w:line="276" w:lineRule="auto" w:before="0" w:after="0"/>
            </w:pPr>
            <w:r/>
            <w:r>
              <w:rPr>
                <w:rFonts w:ascii="Figtree" w:hAnsi="Figtree"/>
                <w:b w:val="0"/>
                <w:i w:val="0"/>
                <w:sz w:val="20"/>
              </w:rPr>
              <w:t>Identity management licence</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Settlement integration platform</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Integration architecture build</w:t>
            </w:r>
          </w:p>
        </w:tc>
        <w:tc>
          <w:tcPr>
            <w:tcW w:type="dxa" w:w="1949"/>
            <w:vAlign w:val="center"/>
          </w:tcPr>
          <w:p>
            <w:pPr>
              <w:spacing w:line="276" w:lineRule="auto" w:before="0" w:after="0"/>
            </w:pPr>
            <w:r/>
            <w:r>
              <w:rPr>
                <w:rFonts w:ascii="Figtree" w:hAnsi="Figtree"/>
                <w:b w:val="0"/>
                <w:i w:val="0"/>
                <w:sz w:val="20"/>
              </w:rPr>
              <w:t>$400,000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$400,000</w:t>
            </w:r>
          </w:p>
        </w:tc>
      </w:tr>
      <w:tr>
        <w:trPr>
          <w:trHeight w:val="425" w:hRule="atLeast"/>
        </w:trPr>
        <w:tc>
          <w:tcPr>
            <w:tcW w:type="dxa" w:w="1949"/>
            <w:vAlign w:val="center"/>
          </w:tcPr>
          <w:p>
            <w:pPr>
              <w:spacing w:line="276" w:lineRule="auto" w:before="0" w:after="0"/>
            </w:pPr>
            <w:r/>
            <w:r>
              <w:rPr>
                <w:rFonts w:ascii="Figtree" w:hAnsi="Figtree"/>
                <w:b w:val="0"/>
                <w:i w:val="0"/>
                <w:sz w:val="20"/>
              </w:rPr>
              <w:t>Integration maintenance team (2 FTE)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$400,000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$820,000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Support (multiple vendors)</w:t>
            </w:r>
          </w:p>
        </w:tc>
        <w:tc>
          <w:tcPr>
            <w:tcW w:type="dxa" w:w="1949"/>
            <w:vAlign w:val="center"/>
          </w:tcPr>
          <w:p>
            <w:pPr>
              <w:spacing w:line="276" w:lineRule="auto" w:before="0" w:after="0"/>
            </w:pPr>
            <w:r/>
            <w:r>
              <w:rPr>
                <w:rFonts w:ascii="Figtree" w:hAnsi="Figtree"/>
                <w:b w:val="0"/>
                <w:i w:val="0"/>
                <w:sz w:val="20"/>
              </w:rPr>
              <w:t>$160,000</w:t>
            </w:r>
          </w:p>
        </w:tc>
        <w:tc>
          <w:tcPr>
            <w:tcW w:type="dxa" w:w="1949"/>
            <w:vAlign w:val="center"/>
          </w:tcPr>
          <w:p>
            <w:pPr>
              <w:spacing w:line="276" w:lineRule="auto" w:before="0" w:after="0"/>
            </w:pPr>
            <w:r/>
            <w:r>
              <w:rPr>
                <w:rFonts w:ascii="Figtree" w:hAnsi="Figtree"/>
                <w:b w:val="0"/>
                <w:i w:val="0"/>
                <w:sz w:val="20"/>
              </w:rPr>
              <w:t>$160,000</w:t>
            </w:r>
          </w:p>
        </w:tc>
        <w:tc>
          <w:tcPr>
            <w:tcW w:type="dxa" w:w="1949"/>
            <w:vAlign w:val="center"/>
          </w:tcPr>
          <w:p>
            <w:pPr>
              <w:spacing w:line="276" w:lineRule="auto" w:before="0" w:after="0"/>
            </w:pPr>
            <w:r/>
            <w:r>
              <w:rPr>
                <w:rFonts w:ascii="Figtree" w:hAnsi="Figtree"/>
                <w:b w:val="0"/>
                <w:i w:val="0"/>
                <w:sz w:val="20"/>
              </w:rPr>
              <w:t>$160,000</w:t>
            </w:r>
          </w:p>
        </w:tc>
        <w:tc>
          <w:tcPr>
            <w:tcW w:type="dxa" w:w="1949"/>
            <w:vAlign w:val="center"/>
          </w:tcPr>
          <w:p>
            <w:pPr>
              <w:spacing w:line="276" w:lineRule="auto" w:before="0" w:after="0"/>
            </w:pPr>
            <w:r/>
            <w:r>
              <w:rPr>
                <w:rFonts w:ascii="Figtree" w:hAnsi="Figtree"/>
                <w:b w:val="0"/>
                <w:i w:val="0"/>
                <w:sz w:val="20"/>
              </w:rPr>
              <w:t>$480,000</w:t>
            </w:r>
          </w:p>
        </w:tc>
      </w:tr>
      <w:tr>
        <w:trPr>
          <w:trHeight w:val="425" w:hRule="atLeast"/>
        </w:trPr>
        <w:tc>
          <w:tcPr>
            <w:tcW w:type="dxa" w:w="1949"/>
            <w:vAlign w:val="center"/>
          </w:tcPr>
          <w:p>
            <w:pPr>
              <w:spacing w:line="276" w:lineRule="auto" w:before="0" w:after="0"/>
            </w:pPr>
            <w:r/>
            <w:r>
              <w:rPr>
                <w:rFonts w:ascii="Figtree" w:hAnsi="Figtree"/>
                <w:b w:val="0"/>
                <w:i w:val="0"/>
                <w:sz w:val="20"/>
              </w:rPr>
              <w:t>Audit and evidence coordination</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$280,000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$1,310,000</w:t>
            </w:r>
          </w:p>
        </w:tc>
        <w:tc>
          <w:tcPr>
            <w:tcW w:type="dxa" w:w="1949"/>
            <w:vAlign w:val="center"/>
          </w:tcPr>
          <w:p>
            <w:pPr>
              <w:spacing w:line="276" w:lineRule="auto" w:before="0" w:after="0"/>
            </w:pPr>
            <w:r/>
            <w:r>
              <w:rPr>
                <w:rFonts w:ascii="Figtree" w:hAnsi="Figtree"/>
                <w:b/>
                <w:i w:val="0"/>
                <w:sz w:val="20"/>
              </w:rPr>
              <w:t>$1,330,000</w:t>
            </w:r>
          </w:p>
        </w:tc>
        <w:tc>
          <w:tcPr>
            <w:tcW w:type="dxa" w:w="1949"/>
            <w:vAlign w:val="center"/>
          </w:tcPr>
          <w:p>
            <w:pPr>
              <w:spacing w:line="276" w:lineRule="auto" w:before="0" w:after="0"/>
            </w:pPr>
            <w:r/>
            <w:r>
              <w:rPr>
                <w:rFonts w:ascii="Figtree" w:hAnsi="Figtree"/>
                <w:b/>
                <w:i w:val="0"/>
                <w:sz w:val="20"/>
              </w:rPr>
              <w:t>$1,350,000</w:t>
            </w:r>
          </w:p>
        </w:tc>
        <w:tc>
          <w:tcPr>
            <w:tcW w:type="dxa" w:w="1949"/>
            <w:vAlign w:val="center"/>
          </w:tcPr>
          <w:p>
            <w:pPr>
              <w:spacing w:line="276" w:lineRule="auto" w:before="0" w:after="0"/>
            </w:pPr>
            <w:r/>
            <w:r>
              <w:rPr>
                <w:rFonts w:ascii="Figtree" w:hAnsi="Figtree"/>
                <w:b/>
                <w:i w:val="0"/>
                <w:sz w:val="20"/>
              </w:rPr>
              <w:t>$3,990,000</w:t>
            </w:r>
          </w:p>
        </w:tc>
      </w:tr>
    </w:tbl>
    <w:p>
      <w:pPr>
        <w:spacing w:before="0" w:after="0" w:line="120" w:lineRule="exact"/>
      </w:pPr>
    </w:p>
    <w:p>
      <w:pPr>
        <w:pStyle w:val="H2"/>
        <w:numPr>
          <w:ilvl w:val="1"/>
          <w:numId w:val="1"/>
        </w:numPr>
      </w:pPr>
      <w:r>
        <w:t>8.5 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2173"/>
        <w:gridCol w:w="1795"/>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3-year TCO</w:t>
            </w:r>
          </w:p>
        </w:tc>
        <w:tc>
          <w:tcPr>
            <w:tcW w:type="dxa" w:w="2436"/>
            <w:vAlign w:val="center"/>
          </w:tcPr>
          <w:p>
            <w:pPr>
              <w:spacing w:line="276" w:lineRule="auto" w:before="0" w:after="0"/>
            </w:pPr>
            <w:r/>
            <w:r>
              <w:rPr>
                <w:rFonts w:ascii="Figtree" w:hAnsi="Figtree"/>
                <w:b w:val="0"/>
                <w:i w:val="0"/>
                <w:sz w:val="20"/>
              </w:rPr>
              <w:t>$2,716,000</w:t>
            </w:r>
          </w:p>
        </w:tc>
        <w:tc>
          <w:tcPr>
            <w:tcW w:type="dxa" w:w="2436"/>
            <w:vAlign w:val="center"/>
          </w:tcPr>
          <w:p>
            <w:pPr>
              <w:spacing w:line="276" w:lineRule="auto" w:before="0" w:after="0"/>
            </w:pPr>
            <w:r/>
            <w:r>
              <w:rPr>
                <w:rFonts w:ascii="Figtree" w:hAnsi="Figtree"/>
                <w:b w:val="0"/>
                <w:i w:val="0"/>
                <w:sz w:val="20"/>
              </w:rPr>
              <w:t>$3,920,000</w:t>
            </w:r>
          </w:p>
        </w:tc>
        <w:tc>
          <w:tcPr>
            <w:tcW w:type="dxa" w:w="2436"/>
            <w:vAlign w:val="center"/>
          </w:tcPr>
          <w:p>
            <w:pPr>
              <w:spacing w:line="276" w:lineRule="auto" w:before="0" w:after="0"/>
            </w:pPr>
            <w:r/>
            <w:r>
              <w:rPr>
                <w:rFonts w:ascii="Figtree" w:hAnsi="Figtree"/>
                <w:b w:val="0"/>
                <w:i w:val="0"/>
                <w:sz w:val="20"/>
              </w:rPr>
              <w:t>$3,990,000</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production</w:t>
            </w:r>
          </w:p>
        </w:tc>
        <w:tc>
          <w:tcPr>
            <w:tcW w:type="dxa" w:w="2436"/>
            <w:vAlign w:val="center"/>
          </w:tcPr>
          <w:p>
            <w:pPr>
              <w:spacing w:line="276" w:lineRule="auto" w:before="0" w:after="0"/>
            </w:pPr>
            <w:r/>
            <w:r>
              <w:rPr>
                <w:rFonts w:ascii="Figtree" w:hAnsi="Figtree"/>
                <w:b w:val="0"/>
                <w:i w:val="0"/>
                <w:sz w:val="20"/>
              </w:rPr>
              <w:t>18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Integration maintenance FTE</w:t>
            </w:r>
          </w:p>
        </w:tc>
        <w:tc>
          <w:tcPr>
            <w:tcW w:type="dxa" w:w="2436"/>
            <w:vAlign w:val="center"/>
          </w:tcPr>
          <w:p>
            <w:pPr>
              <w:spacing w:line="276" w:lineRule="auto" w:before="0" w:after="0"/>
            </w:pPr>
            <w:r/>
            <w:r>
              <w:rPr>
                <w:rFonts w:ascii="Figtree" w:hAnsi="Figtree"/>
                <w:b w:val="0"/>
                <w:i w:val="0"/>
                <w:sz w:val="20"/>
              </w:rPr>
              <w:t>0.5 FTE (ADX oversight)</w:t>
            </w:r>
          </w:p>
        </w:tc>
        <w:tc>
          <w:tcPr>
            <w:tcW w:type="dxa" w:w="2436"/>
            <w:vAlign w:val="center"/>
          </w:tcPr>
          <w:p>
            <w:pPr>
              <w:spacing w:line="276" w:lineRule="auto" w:before="0" w:after="0"/>
            </w:pPr>
            <w:r/>
            <w:r>
              <w:rPr>
                <w:rFonts w:ascii="Figtree" w:hAnsi="Figtree"/>
                <w:b w:val="0"/>
                <w:i w:val="0"/>
                <w:sz w:val="20"/>
              </w:rPr>
              <w:t>3 FTE (maintenance)</w:t>
            </w:r>
          </w:p>
        </w:tc>
        <w:tc>
          <w:tcPr>
            <w:tcW w:type="dxa" w:w="2436"/>
            <w:vAlign w:val="center"/>
          </w:tcPr>
          <w:p>
            <w:pPr>
              <w:spacing w:line="276" w:lineRule="auto" w:before="0" w:after="0"/>
            </w:pPr>
            <w:r/>
            <w:r>
              <w:rPr>
                <w:rFonts w:ascii="Figtree" w:hAnsi="Figtree"/>
                <w:b w:val="0"/>
                <w:i w:val="0"/>
                <w:sz w:val="20"/>
              </w:rPr>
              <w:t>2 FTE (integration)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 capability</w:t>
            </w:r>
          </w:p>
        </w:tc>
        <w:tc>
          <w:tcPr>
            <w:tcW w:type="dxa" w:w="2436"/>
            <w:vAlign w:val="center"/>
          </w:tcPr>
          <w:p>
            <w:pPr>
              <w:spacing w:line="276" w:lineRule="auto" w:before="0" w:after="0"/>
            </w:pPr>
            <w:r/>
            <w:r>
              <w:rPr>
                <w:rFonts w:ascii="Figtree" w:hAnsi="Figtree"/>
                <w:b w:val="0"/>
                <w:i w:val="0"/>
                <w:sz w:val="20"/>
              </w:rPr>
              <w:t>Native, on-demand</w:t>
            </w:r>
          </w:p>
        </w:tc>
        <w:tc>
          <w:tcPr>
            <w:tcW w:type="dxa" w:w="2436"/>
            <w:vAlign w:val="center"/>
          </w:tcPr>
          <w:p>
            <w:pPr>
              <w:spacing w:line="276" w:lineRule="auto" w:before="0" w:after="0"/>
            </w:pPr>
            <w:r/>
            <w:r>
              <w:rPr>
                <w:rFonts w:ascii="Figtree" w:hAnsi="Figtree"/>
                <w:b w:val="0"/>
                <w:i w:val="0"/>
                <w:sz w:val="20"/>
              </w:rPr>
              <w:t>Must be built</w:t>
            </w:r>
          </w:p>
        </w:tc>
        <w:tc>
          <w:tcPr>
            <w:tcW w:type="dxa" w:w="2436"/>
            <w:vAlign w:val="center"/>
          </w:tcPr>
          <w:p>
            <w:pPr>
              <w:spacing w:line="276" w:lineRule="auto" w:before="0" w:after="0"/>
            </w:pPr>
            <w:r/>
            <w:r>
              <w:rPr>
                <w:rFonts w:ascii="Figtree" w:hAnsi="Figtree"/>
                <w:b w:val="0"/>
                <w:i w:val="0"/>
                <w:sz w:val="20"/>
              </w:rPr>
              <w:t>Requires coordination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update mechanism</w:t>
            </w:r>
          </w:p>
        </w:tc>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Code change + audit</w:t>
            </w:r>
          </w:p>
        </w:tc>
        <w:tc>
          <w:tcPr>
            <w:tcW w:type="dxa" w:w="2436"/>
            <w:vAlign w:val="center"/>
          </w:tcPr>
          <w:p>
            <w:pPr>
              <w:spacing w:line="276" w:lineRule="auto" w:before="0" w:after="0"/>
            </w:pPr>
            <w:r/>
            <w:r>
              <w:rPr>
                <w:rFonts w:ascii="Figtree" w:hAnsi="Figtree"/>
                <w:b w:val="0"/>
                <w:i w:val="0"/>
                <w:sz w:val="20"/>
              </w:rPr>
              <w:t>Multiple vendor patches</w:t>
            </w:r>
          </w:p>
        </w:tc>
      </w:tr>
      <w:tr>
        <w:trPr>
          <w:trHeight w:val="425" w:hRule="atLeast"/>
        </w:trPr>
        <w:tc>
          <w:tcPr>
            <w:tcW w:type="dxa" w:w="2436"/>
            <w:vAlign w:val="center"/>
          </w:tcPr>
          <w:p>
            <w:pPr>
              <w:spacing w:line="276" w:lineRule="auto" w:before="0" w:after="0"/>
            </w:pPr>
            <w:r/>
            <w:r>
              <w:rPr>
                <w:rFonts w:ascii="Figtree" w:hAnsi="Figtree"/>
                <w:b w:val="0"/>
                <w:i w:val="0"/>
                <w:sz w:val="20"/>
              </w:rPr>
              <w:t>Audit single point of contact</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Internal team</w:t>
            </w:r>
          </w:p>
        </w:tc>
        <w:tc>
          <w:tcPr>
            <w:tcW w:type="dxa" w:w="2436"/>
            <w:vAlign w:val="center"/>
          </w:tcPr>
          <w:p>
            <w:pPr>
              <w:spacing w:line="276" w:lineRule="auto" w:before="0" w:after="0"/>
            </w:pPr>
            <w:r/>
            <w:r>
              <w:rPr>
                <w:rFonts w:ascii="Figtree" w:hAnsi="Figtree"/>
                <w:b w:val="0"/>
                <w:i w:val="0"/>
                <w:sz w:val="20"/>
              </w:rPr>
              <w:t>Multiple vendor contacts</w:t>
            </w:r>
          </w:p>
        </w:tc>
      </w:tr>
      <w:tr>
        <w:trPr>
          <w:trHeight w:val="425" w:hRule="atLeast"/>
        </w:trPr>
        <w:tc>
          <w:tcPr>
            <w:tcW w:type="dxa" w:w="2436"/>
            <w:vAlign w:val="center"/>
          </w:tcPr>
          <w:p>
            <w:pPr>
              <w:spacing w:line="276" w:lineRule="auto" w:before="0" w:after="0"/>
            </w:pPr>
            <w:r/>
            <w:r>
              <w:rPr>
                <w:rFonts w:ascii="Figtree" w:hAnsi="Figtree"/>
                <w:b w:val="0"/>
                <w:i w:val="0"/>
                <w:sz w:val="20"/>
              </w:rPr>
              <w:t>Platform evolution alignment</w:t>
            </w:r>
          </w:p>
        </w:tc>
        <w:tc>
          <w:tcPr>
            <w:tcW w:type="dxa" w:w="2436"/>
            <w:vAlign w:val="center"/>
          </w:tcPr>
          <w:p>
            <w:pPr>
              <w:spacing w:line="276" w:lineRule="auto" w:before="0" w:after="0"/>
            </w:pPr>
            <w:r/>
            <w:r>
              <w:rPr>
                <w:rFonts w:ascii="Figtree" w:hAnsi="Figtree"/>
                <w:b w:val="0"/>
                <w:i w:val="0"/>
                <w:sz w:val="20"/>
              </w:rPr>
              <w:t>Included in licence</w:t>
            </w:r>
          </w:p>
        </w:tc>
        <w:tc>
          <w:tcPr>
            <w:tcW w:type="dxa" w:w="2436"/>
            <w:vAlign w:val="center"/>
          </w:tcPr>
          <w:p>
            <w:pPr>
              <w:spacing w:line="276" w:lineRule="auto" w:before="0" w:after="0"/>
            </w:pPr>
            <w:r/>
            <w:r>
              <w:rPr>
                <w:rFonts w:ascii="Figtree" w:hAnsi="Figtree"/>
                <w:b w:val="0"/>
                <w:i w:val="0"/>
                <w:sz w:val="20"/>
              </w:rPr>
              <w:t>ADX-borne cost</w:t>
            </w:r>
          </w:p>
        </w:tc>
        <w:tc>
          <w:tcPr>
            <w:tcW w:type="dxa" w:w="2436"/>
            <w:vAlign w:val="center"/>
          </w:tcPr>
          <w:p>
            <w:pPr>
              <w:spacing w:line="276" w:lineRule="auto" w:before="0" w:after="0"/>
            </w:pPr>
            <w:r/>
            <w:r>
              <w:rPr>
                <w:rFonts w:ascii="Figtree" w:hAnsi="Figtree"/>
                <w:b w:val="0"/>
                <w:i w:val="0"/>
                <w:sz w:val="20"/>
              </w:rPr>
              <w:t>Depends on all vendors</w:t>
            </w:r>
          </w:p>
        </w:tc>
      </w:tr>
      <w:tr>
        <w:trPr>
          <w:trHeight w:val="425" w:hRule="atLeast"/>
        </w:trPr>
        <w:tc>
          <w:tcPr>
            <w:tcW w:type="dxa" w:w="2436"/>
            <w:vAlign w:val="center"/>
          </w:tcPr>
          <w:p>
            <w:pPr>
              <w:spacing w:line="276" w:lineRule="auto" w:before="0" w:after="0"/>
            </w:pPr>
            <w:r/>
            <w:r>
              <w:rPr>
                <w:rFonts w:ascii="Figtree" w:hAnsi="Figtree"/>
                <w:b w:val="0"/>
                <w:i w:val="0"/>
                <w:sz w:val="20"/>
              </w:rPr>
              <w:t>5-year TCO (estimated)</w:t>
            </w:r>
          </w:p>
        </w:tc>
        <w:tc>
          <w:tcPr>
            <w:tcW w:type="dxa" w:w="2436"/>
            <w:vAlign w:val="center"/>
          </w:tcPr>
          <w:p>
            <w:pPr>
              <w:spacing w:line="276" w:lineRule="auto" w:before="0" w:after="0"/>
            </w:pPr>
            <w:r/>
            <w:r>
              <w:rPr>
                <w:rFonts w:ascii="Figtree" w:hAnsi="Figtree"/>
                <w:b w:val="0"/>
                <w:i w:val="0"/>
                <w:sz w:val="20"/>
              </w:rPr>
              <w:t>$4,700,000</w:t>
            </w:r>
          </w:p>
        </w:tc>
        <w:tc>
          <w:tcPr>
            <w:tcW w:type="dxa" w:w="2436"/>
            <w:vAlign w:val="center"/>
          </w:tcPr>
          <w:p>
            <w:pPr>
              <w:spacing w:line="276" w:lineRule="auto" w:before="0" w:after="0"/>
            </w:pPr>
            <w:r/>
            <w:r>
              <w:rPr>
                <w:rFonts w:ascii="Figtree" w:hAnsi="Figtree"/>
                <w:b w:val="0"/>
                <w:i w:val="0"/>
                <w:sz w:val="20"/>
              </w:rPr>
              <w:t>$7,200,000+</w:t>
            </w:r>
          </w:p>
        </w:tc>
        <w:tc>
          <w:tcPr>
            <w:tcW w:type="dxa" w:w="2436"/>
            <w:vAlign w:val="center"/>
          </w:tcPr>
          <w:p>
            <w:pPr>
              <w:spacing w:line="276" w:lineRule="auto" w:before="0" w:after="0"/>
            </w:pPr>
            <w:r/>
            <w:r>
              <w:rPr>
                <w:rFonts w:ascii="Figtree" w:hAnsi="Figtree"/>
                <w:b w:val="0"/>
                <w:i w:val="0"/>
                <w:sz w:val="20"/>
              </w:rPr>
              <w:t>$7,400,000+</w:t>
            </w:r>
          </w:p>
        </w:tc>
      </w:tr>
    </w:tbl>
    <w:p>
      <w:pPr>
        <w:spacing w:before="0" w:after="0" w:line="120" w:lineRule="exact"/>
      </w:pPr>
    </w:p>
    <w:p>
      <w:r>
        <w:rPr>
          <w:rFonts w:ascii="Figtree" w:hAnsi="Figtree"/>
          <w:b w:val="0"/>
          <w:i w:val="0"/>
          <w:sz w:val="22"/>
        </w:rPr>
        <w:t>DALP provides the lowest TCO across all time horizons, with the fastest path to production and the lowest ongoing coordination overhead.</w:t>
      </w:r>
    </w:p>
    <w:p>
      <w:r>
        <w:br w:type="page"/>
      </w:r>
    </w:p>
    <w:p>
      <w:pPr>
        <w:pStyle w:val="H1"/>
        <w:numPr>
          <w:ilvl w:val="0"/>
          <w:numId w:val="1"/>
        </w:numPr>
      </w:pPr>
      <w:r>
        <w:t>9. Reference Clients</w:t>
      </w:r>
    </w:p>
    <w:p>
      <w:pPr>
        <w:pStyle w:val="H2"/>
        <w:numPr>
          <w:ilvl w:val="1"/>
          <w:numId w:val="1"/>
        </w:numPr>
      </w:pPr>
      <w:r>
        <w:t>9.1 Reference Track Record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8"/>
        <w:gridCol w:w="714"/>
        <w:gridCol w:w="1671"/>
        <w:gridCol w:w="1719"/>
        <w:gridCol w:w="38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Deployment 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ADX</w:t>
            </w:r>
          </w:p>
        </w:tc>
      </w:tr>
      <w:tr>
        <w:trPr>
          <w:trHeight w:val="425" w:hRule="atLeast"/>
        </w:trPr>
        <w:tc>
          <w:tcPr>
            <w:tcW w:type="dxa" w:w="1949"/>
            <w:vAlign w:val="center"/>
          </w:tcPr>
          <w:p>
            <w:pPr>
              <w:spacing w:line="276" w:lineRule="auto" w:before="0" w:after="0"/>
            </w:pPr>
            <w:r/>
            <w:r>
              <w:rPr>
                <w:rFonts w:ascii="Figtree" w:hAnsi="Figtree"/>
                <w:b w:val="0"/>
                <w:i w:val="0"/>
                <w:sz w:val="20"/>
              </w:rPr>
              <w:t>Euronext</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Digital securities listing platform</w:t>
            </w:r>
          </w:p>
        </w:tc>
        <w:tc>
          <w:tcPr>
            <w:tcW w:type="dxa" w:w="1949"/>
            <w:vAlign w:val="center"/>
          </w:tcPr>
          <w:p>
            <w:pPr>
              <w:spacing w:line="276" w:lineRule="auto" w:before="0" w:after="0"/>
            </w:pPr>
            <w:r/>
            <w:r>
              <w:rPr>
                <w:rFonts w:ascii="Figtree" w:hAnsi="Figtree"/>
                <w:b w:val="0"/>
                <w:i w:val="0"/>
                <w:sz w:val="20"/>
              </w:rPr>
              <w:t>Pan-European exchange infrastructure</w:t>
            </w:r>
          </w:p>
        </w:tc>
        <w:tc>
          <w:tcPr>
            <w:tcW w:type="dxa" w:w="1949"/>
            <w:vAlign w:val="center"/>
          </w:tcPr>
          <w:p>
            <w:pPr>
              <w:spacing w:line="276" w:lineRule="auto" w:before="0" w:after="0"/>
            </w:pPr>
            <w:r/>
            <w:r>
              <w:rPr>
                <w:rFonts w:ascii="Figtree" w:hAnsi="Figtree"/>
                <w:b w:val="0"/>
                <w:i w:val="0"/>
                <w:sz w:val="20"/>
              </w:rPr>
              <w:t>Exchange operator context, listing controls, post-trade integration</w:t>
            </w:r>
          </w:p>
        </w:tc>
      </w:tr>
      <w:tr>
        <w:trPr>
          <w:trHeight w:val="425" w:hRule="atLeast"/>
        </w:trPr>
        <w:tc>
          <w:tcPr>
            <w:tcW w:type="dxa" w:w="1949"/>
            <w:vAlign w:val="center"/>
          </w:tcPr>
          <w:p>
            <w:pPr>
              <w:spacing w:line="276" w:lineRule="auto" w:before="0" w:after="0"/>
            </w:pPr>
            <w:r/>
            <w:r>
              <w:rPr>
                <w:rFonts w:ascii="Figtree" w:hAnsi="Figtree"/>
                <w:b w:val="0"/>
                <w:i w:val="0"/>
                <w:sz w:val="20"/>
              </w:rPr>
              <w:t>Central Bank of UAE</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Digital Dirham infrastructure</w:t>
            </w:r>
          </w:p>
        </w:tc>
        <w:tc>
          <w:tcPr>
            <w:tcW w:type="dxa" w:w="1949"/>
            <w:vAlign w:val="center"/>
          </w:tcPr>
          <w:p>
            <w:pPr>
              <w:spacing w:line="276" w:lineRule="auto" w:before="0" w:after="0"/>
            </w:pPr>
            <w:r/>
            <w:r>
              <w:rPr>
                <w:rFonts w:ascii="Figtree" w:hAnsi="Figtree"/>
                <w:b w:val="0"/>
                <w:i w:val="0"/>
                <w:sz w:val="20"/>
              </w:rPr>
              <w:t>Sovereign CBDC pilot</w:t>
            </w:r>
          </w:p>
        </w:tc>
        <w:tc>
          <w:tcPr>
            <w:tcW w:type="dxa" w:w="1949"/>
            <w:vAlign w:val="center"/>
          </w:tcPr>
          <w:p>
            <w:pPr>
              <w:spacing w:line="276" w:lineRule="auto" w:before="0" w:after="0"/>
            </w:pPr>
            <w:r/>
            <w:r>
              <w:rPr>
                <w:rFonts w:ascii="Figtree" w:hAnsi="Figtree"/>
                <w:b w:val="0"/>
                <w:i w:val="0"/>
                <w:sz w:val="20"/>
              </w:rPr>
              <w:t>UAE regulatory framework, Gulf region deployment, CBUAE alignment</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Multi-region</w:t>
            </w:r>
          </w:p>
        </w:tc>
        <w:tc>
          <w:tcPr>
            <w:tcW w:type="dxa" w:w="1949"/>
            <w:vAlign w:val="center"/>
          </w:tcPr>
          <w:p>
            <w:pPr>
              <w:spacing w:line="276" w:lineRule="auto" w:before="0" w:after="0"/>
            </w:pPr>
            <w:r/>
            <w:r>
              <w:rPr>
                <w:rFonts w:ascii="Figtree" w:hAnsi="Figtree"/>
                <w:b w:val="0"/>
                <w:i w:val="0"/>
                <w:sz w:val="20"/>
              </w:rPr>
              <w:t>Digital custody and bond issuance</w:t>
            </w:r>
          </w:p>
        </w:tc>
        <w:tc>
          <w:tcPr>
            <w:tcW w:type="dxa" w:w="1949"/>
            <w:vAlign w:val="center"/>
          </w:tcPr>
          <w:p>
            <w:pPr>
              <w:spacing w:line="276" w:lineRule="auto" w:before="0" w:after="0"/>
            </w:pPr>
            <w:r/>
            <w:r>
              <w:rPr>
                <w:rFonts w:ascii="Figtree" w:hAnsi="Figtree"/>
                <w:b w:val="0"/>
                <w:i w:val="0"/>
                <w:sz w:val="20"/>
              </w:rPr>
              <w:t>Institutional-grade production</w:t>
            </w:r>
          </w:p>
        </w:tc>
        <w:tc>
          <w:tcPr>
            <w:tcW w:type="dxa" w:w="1949"/>
            <w:vAlign w:val="center"/>
          </w:tcPr>
          <w:p>
            <w:pPr>
              <w:spacing w:line="276" w:lineRule="auto" w:before="0" w:after="0"/>
            </w:pPr>
            <w:r/>
            <w:r>
              <w:rPr>
                <w:rFonts w:ascii="Figtree" w:hAnsi="Figtree"/>
                <w:b w:val="0"/>
                <w:i w:val="0"/>
                <w:sz w:val="20"/>
              </w:rPr>
              <w:t>Custody integration, maker-checker controls, institutional SLA</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Digital bond issuance</w:t>
            </w:r>
          </w:p>
        </w:tc>
        <w:tc>
          <w:tcPr>
            <w:tcW w:type="dxa" w:w="1949"/>
            <w:vAlign w:val="center"/>
          </w:tcPr>
          <w:p>
            <w:pPr>
              <w:spacing w:line="276" w:lineRule="auto" w:before="0" w:after="0"/>
            </w:pPr>
            <w:r/>
            <w:r>
              <w:rPr>
                <w:rFonts w:ascii="Figtree" w:hAnsi="Figtree"/>
                <w:b w:val="0"/>
                <w:i w:val="0"/>
                <w:sz w:val="20"/>
              </w:rPr>
              <w:t>National-scale deployment</w:t>
            </w:r>
          </w:p>
        </w:tc>
        <w:tc>
          <w:tcPr>
            <w:tcW w:type="dxa" w:w="1949"/>
            <w:vAlign w:val="center"/>
          </w:tcPr>
          <w:p>
            <w:pPr>
              <w:spacing w:line="276" w:lineRule="auto" w:before="0" w:after="0"/>
            </w:pPr>
            <w:r/>
            <w:r>
              <w:rPr>
                <w:rFonts w:ascii="Figtree" w:hAnsi="Figtree"/>
                <w:b w:val="0"/>
                <w:i w:val="0"/>
                <w:sz w:val="20"/>
              </w:rPr>
              <w:t>Regulatory compliance, corporate action automation, large-scale issuer management</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Tokenized bonds</w:t>
            </w:r>
          </w:p>
        </w:tc>
        <w:tc>
          <w:tcPr>
            <w:tcW w:type="dxa" w:w="1949"/>
            <w:vAlign w:val="center"/>
          </w:tcPr>
          <w:p>
            <w:pPr>
              <w:spacing w:line="276" w:lineRule="auto" w:before="0" w:after="0"/>
            </w:pPr>
            <w:r/>
            <w:r>
              <w:rPr>
                <w:rFonts w:ascii="Figtree" w:hAnsi="Figtree"/>
                <w:b w:val="0"/>
                <w:i w:val="0"/>
                <w:sz w:val="20"/>
              </w:rPr>
              <w:t>European institutional deployment</w:t>
            </w:r>
          </w:p>
        </w:tc>
        <w:tc>
          <w:tcPr>
            <w:tcW w:type="dxa" w:w="1949"/>
            <w:vAlign w:val="center"/>
          </w:tcPr>
          <w:p>
            <w:pPr>
              <w:spacing w:line="276" w:lineRule="auto" w:before="0" w:after="0"/>
            </w:pPr>
            <w:r/>
            <w:r>
              <w:rPr>
                <w:rFonts w:ascii="Figtree" w:hAnsi="Figtree"/>
                <w:b w:val="0"/>
                <w:i w:val="0"/>
                <w:sz w:val="20"/>
              </w:rPr>
              <w:t>Bond lifecycle management, compliance evidence, CSD integration</w:t>
            </w:r>
          </w:p>
        </w:tc>
      </w:tr>
    </w:tbl>
    <w:p>
      <w:pPr>
        <w:spacing w:before="0" w:after="0" w:line="120" w:lineRule="exact"/>
      </w:pPr>
    </w:p>
    <w:p>
      <w:pPr>
        <w:pStyle w:val="H2"/>
        <w:numPr>
          <w:ilvl w:val="1"/>
          <w:numId w:val="1"/>
        </w:numPr>
      </w:pPr>
      <w:r>
        <w:t>9.2 Expanded Case Studies</w:t>
      </w:r>
    </w:p>
    <w:p>
      <w:pPr>
        <w:pStyle w:val="H3"/>
        <w:numPr>
          <w:ilvl w:val="2"/>
          <w:numId w:val="1"/>
        </w:numPr>
      </w:pPr>
      <w:r>
        <w:t>Euronext — Digital Securities Listing Platform</w:t>
      </w:r>
    </w:p>
    <w:p>
      <w:r>
        <w:rPr>
          <w:rFonts w:ascii="Figtree" w:hAnsi="Figtree"/>
          <w:b/>
          <w:i w:val="0"/>
          <w:sz w:val="22"/>
        </w:rPr>
        <w:t>Context:</w:t>
      </w:r>
      <w:r>
        <w:rPr>
          <w:rFonts w:ascii="Figtree" w:hAnsi="Figtree"/>
          <w:b w:val="0"/>
          <w:i w:val="0"/>
          <w:sz w:val="22"/>
        </w:rPr>
        <w:t xml:space="preserve"> Euronext, as Europe's largest pan-national exchange group, sought to establish a digital securities listing infrastructure that could coexist with existing exchange operations, CSD infrastructure, and regulatory reporting obligations.</w:t>
      </w:r>
    </w:p>
    <w:p>
      <w:r>
        <w:rPr>
          <w:rFonts w:ascii="Figtree" w:hAnsi="Figtree"/>
          <w:b/>
          <w:i w:val="0"/>
          <w:sz w:val="22"/>
        </w:rPr>
        <w:t>Challenge:</w:t>
      </w:r>
      <w:r>
        <w:rPr>
          <w:rFonts w:ascii="Figtree" w:hAnsi="Figtree"/>
          <w:b w:val="0"/>
          <w:i w:val="0"/>
          <w:sz w:val="22"/>
        </w:rPr>
        <w:t xml:space="preserve"> The primary challenge was not technology capability but operational integration: the digital securities platform had to produce audit evidence, surveillance data, and post-trade records in formats compatible with existing exchange infrastructure. It could not create a parallel operational stack that compliance and operations teams could not supervise.</w:t>
      </w:r>
    </w:p>
    <w:p>
      <w:r>
        <w:rPr>
          <w:rFonts w:ascii="Figtree" w:hAnsi="Figtree"/>
          <w:b/>
          <w:i w:val="0"/>
          <w:sz w:val="22"/>
        </w:rPr>
        <w:t>DALP solution:</w:t>
      </w:r>
      <w:r>
        <w:rPr>
          <w:rFonts w:ascii="Figtree" w:hAnsi="Figtree"/>
          <w:b w:val="0"/>
          <w:i w:val="0"/>
          <w:sz w:val="22"/>
        </w:rPr>
        <w:t xml:space="preserve"> DALP was deployed as the control plane for digital securities administration, with integration to Euronext's CSD connectivity, surveillance infrastructure (Nasdaq SMARTS), and regulatory reporting stack. Compliance modules enforced investor eligibility rules aligned with MiFID II requirements. The XvP settlement addon generated settlement instructions in ISO 20022 format for direct CSD delivery.</w:t>
      </w:r>
    </w:p>
    <w:p>
      <w:r>
        <w:rPr>
          <w:rFonts w:ascii="Figtree" w:hAnsi="Figtree"/>
          <w:b/>
          <w:i w:val="0"/>
          <w:sz w:val="22"/>
        </w:rPr>
        <w:t>Outcome and transferability:</w:t>
      </w:r>
      <w:r>
        <w:rPr>
          <w:rFonts w:ascii="Figtree" w:hAnsi="Figtree"/>
          <w:b w:val="0"/>
          <w:i w:val="0"/>
          <w:sz w:val="22"/>
        </w:rPr>
        <w:t xml:space="preserve"> The deployment established a production-grade digital securities capability that operates under Euronext's existing governance, audit, and surveillance frameworks without creating a separate compliance silo. ADX faces a structurally similar challenge: the digital securities marketplace must integrate into exchange operations, not operate alongside them.</w:t>
      </w:r>
    </w:p>
    <w:p>
      <w:pPr>
        <w:pStyle w:val="H3"/>
        <w:numPr>
          <w:ilvl w:val="2"/>
          <w:numId w:val="1"/>
        </w:numPr>
      </w:pPr>
      <w:r>
        <w:t>Central Bank of UAE — Digital Dirham Infrastructure</w:t>
      </w:r>
    </w:p>
    <w:p>
      <w:r>
        <w:rPr>
          <w:rFonts w:ascii="Figtree" w:hAnsi="Figtree"/>
          <w:b/>
          <w:i w:val="0"/>
          <w:sz w:val="22"/>
        </w:rPr>
        <w:t>Context:</w:t>
      </w:r>
      <w:r>
        <w:rPr>
          <w:rFonts w:ascii="Figtree" w:hAnsi="Figtree"/>
          <w:b w:val="0"/>
          <w:i w:val="0"/>
          <w:sz w:val="22"/>
        </w:rPr>
        <w:t xml:space="preserve"> CBUAE's Digital Dirham programme required a blockchain infrastructure platform that could operate within UAE data sovereignty constraints, integrate with the Central Bank's existing systems, and produce evidence suitable for BIS oversight and domestic supervisory review.</w:t>
      </w:r>
    </w:p>
    <w:p>
      <w:r>
        <w:rPr>
          <w:rFonts w:ascii="Figtree" w:hAnsi="Figtree"/>
          <w:b/>
          <w:i w:val="0"/>
          <w:sz w:val="22"/>
        </w:rPr>
        <w:t>Challenge:</w:t>
      </w:r>
      <w:r>
        <w:rPr>
          <w:rFonts w:ascii="Figtree" w:hAnsi="Figtree"/>
          <w:b w:val="0"/>
          <w:i w:val="0"/>
          <w:sz w:val="22"/>
        </w:rPr>
        <w:t xml:space="preserve"> UAE data residency requirements, Arabic language operational requirements, and alignment with CBUAE's operational security standards created a more demanding deployment context than standard SaaS deployment.</w:t>
      </w:r>
    </w:p>
    <w:p>
      <w:r>
        <w:rPr>
          <w:rFonts w:ascii="Figtree" w:hAnsi="Figtree"/>
          <w:b/>
          <w:i w:val="0"/>
          <w:sz w:val="22"/>
        </w:rPr>
        <w:t>DALP solution:</w:t>
      </w:r>
      <w:r>
        <w:rPr>
          <w:rFonts w:ascii="Figtree" w:hAnsi="Figtree"/>
          <w:b w:val="0"/>
          <w:i w:val="0"/>
          <w:sz w:val="22"/>
        </w:rPr>
        <w:t xml:space="preserve"> Private cloud deployment in UAE Azure North region, full data residency compliance, Arabic-language operational documentation, and integration with CBUAE's IAM infrastructure and reporting stack.</w:t>
      </w:r>
    </w:p>
    <w:p>
      <w:r>
        <w:rPr>
          <w:rFonts w:ascii="Figtree" w:hAnsi="Figtree"/>
          <w:b/>
          <w:i w:val="0"/>
          <w:sz w:val="22"/>
        </w:rPr>
        <w:t>Outcome and transferability:</w:t>
      </w:r>
      <w:r>
        <w:rPr>
          <w:rFonts w:ascii="Figtree" w:hAnsi="Figtree"/>
          <w:b w:val="0"/>
          <w:i w:val="0"/>
          <w:sz w:val="22"/>
        </w:rPr>
        <w:t xml:space="preserve"> Demonstrated in-region UAE deployment capability, CBUAE regulatory alignment, and Arabic operational support. ADX operates in the same regulatory environment and benefits from SettleMint's established UAE operational experience.</w:t>
      </w:r>
    </w:p>
    <w:p>
      <w:r>
        <w:br w:type="page"/>
      </w:r>
    </w:p>
    <w:p>
      <w:pPr>
        <w:pStyle w:val="H1"/>
        <w:numPr>
          <w:ilvl w:val="0"/>
          <w:numId w:val="1"/>
        </w:numPr>
      </w:pPr>
      <w:r>
        <w:t>10. Next Steps</w:t>
      </w:r>
    </w:p>
    <w:p>
      <w:pPr>
        <w:pStyle w:val="H2"/>
        <w:numPr>
          <w:ilvl w:val="1"/>
          <w:numId w:val="1"/>
        </w:numPr>
      </w:pPr>
      <w:r>
        <w:t>10.1 Proposed Engagement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0"/>
        <w:gridCol w:w="4370"/>
        <w:gridCol w:w="829"/>
        <w:gridCol w:w="19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Timing</w:t>
            </w:r>
          </w:p>
        </w:tc>
      </w:tr>
      <w:tr>
        <w:trPr>
          <w:trHeight w:val="425" w:hRule="atLeast"/>
        </w:trPr>
        <w:tc>
          <w:tcPr>
            <w:tcW w:type="dxa" w:w="2436"/>
            <w:vAlign w:val="center"/>
          </w:tcPr>
          <w:p>
            <w:pPr>
              <w:spacing w:line="276" w:lineRule="auto" w:before="0" w:after="0"/>
            </w:pPr>
            <w:r/>
            <w:r>
              <w:rPr>
                <w:rFonts w:ascii="Figtree" w:hAnsi="Figtree"/>
                <w:b w:val="0"/>
                <w:i w:val="0"/>
                <w:sz w:val="20"/>
              </w:rPr>
              <w:t>Commercial response acknowledgment</w:t>
            </w:r>
          </w:p>
        </w:tc>
        <w:tc>
          <w:tcPr>
            <w:tcW w:type="dxa" w:w="2436"/>
            <w:vAlign w:val="center"/>
          </w:tcPr>
          <w:p>
            <w:pPr>
              <w:spacing w:line="276" w:lineRule="auto" w:before="0" w:after="0"/>
            </w:pPr>
            <w:r/>
            <w:r>
              <w:rPr>
                <w:rFonts w:ascii="Figtree" w:hAnsi="Figtree"/>
                <w:b w:val="0"/>
                <w:i w:val="0"/>
                <w:sz w:val="20"/>
              </w:rPr>
              <w:t>ADX confirms receipt and evaluation timeline</w:t>
            </w:r>
          </w:p>
        </w:tc>
        <w:tc>
          <w:tcPr>
            <w:tcW w:type="dxa" w:w="2436"/>
            <w:vAlign w:val="center"/>
          </w:tcPr>
          <w:p>
            <w:pPr>
              <w:spacing w:line="276" w:lineRule="auto" w:before="0" w:after="0"/>
            </w:pPr>
            <w:r/>
            <w:r>
              <w:rPr>
                <w:rFonts w:ascii="Figtree" w:hAnsi="Figtree"/>
                <w:b w:val="0"/>
                <w:i w:val="0"/>
                <w:sz w:val="20"/>
              </w:rPr>
              <w:t>ADX Procurement</w:t>
            </w:r>
          </w:p>
        </w:tc>
        <w:tc>
          <w:tcPr>
            <w:tcW w:type="dxa" w:w="2436"/>
            <w:vAlign w:val="center"/>
          </w:tcPr>
          <w:p>
            <w:pPr>
              <w:spacing w:line="276" w:lineRule="auto" w:before="0" w:after="0"/>
            </w:pPr>
            <w:r/>
            <w:r>
              <w:rPr>
                <w:rFonts w:ascii="Figtree" w:hAnsi="Figtree"/>
                <w:b w:val="0"/>
                <w:i w:val="0"/>
                <w:sz w:val="20"/>
              </w:rPr>
              <w:t>Within 5 business days of submission</w:t>
            </w:r>
          </w:p>
        </w:tc>
      </w:tr>
      <w:tr>
        <w:trPr>
          <w:trHeight w:val="425" w:hRule="atLeast"/>
        </w:trPr>
        <w:tc>
          <w:tcPr>
            <w:tcW w:type="dxa" w:w="2436"/>
            <w:vAlign w:val="center"/>
          </w:tcPr>
          <w:p>
            <w:pPr>
              <w:spacing w:line="276" w:lineRule="auto" w:before="0" w:after="0"/>
            </w:pPr>
            <w:r/>
            <w:r>
              <w:rPr>
                <w:rFonts w:ascii="Figtree" w:hAnsi="Figtree"/>
                <w:b w:val="0"/>
                <w:i w:val="0"/>
                <w:sz w:val="20"/>
              </w:rPr>
              <w:t>Clarification questions</w:t>
            </w:r>
          </w:p>
        </w:tc>
        <w:tc>
          <w:tcPr>
            <w:tcW w:type="dxa" w:w="2436"/>
            <w:vAlign w:val="center"/>
          </w:tcPr>
          <w:p>
            <w:pPr>
              <w:spacing w:line="276" w:lineRule="auto" w:before="0" w:after="0"/>
            </w:pPr>
            <w:r/>
            <w:r>
              <w:rPr>
                <w:rFonts w:ascii="Figtree" w:hAnsi="Figtree"/>
                <w:b w:val="0"/>
                <w:i w:val="0"/>
                <w:sz w:val="20"/>
              </w:rPr>
              <w:t>ADX raises technical or commercial questions; SettleMint responds</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Within evaluation window</w:t>
            </w:r>
          </w:p>
        </w:tc>
      </w:tr>
      <w:tr>
        <w:trPr>
          <w:trHeight w:val="425" w:hRule="atLeast"/>
        </w:trPr>
        <w:tc>
          <w:tcPr>
            <w:tcW w:type="dxa" w:w="2436"/>
            <w:vAlign w:val="center"/>
          </w:tcPr>
          <w:p>
            <w:pPr>
              <w:spacing w:line="276" w:lineRule="auto" w:before="0" w:after="0"/>
            </w:pPr>
            <w:r/>
            <w:r>
              <w:rPr>
                <w:rFonts w:ascii="Figtree" w:hAnsi="Figtree"/>
                <w:b w:val="0"/>
                <w:i w:val="0"/>
                <w:sz w:val="20"/>
              </w:rPr>
              <w:t>Technical presentation</w:t>
            </w:r>
          </w:p>
        </w:tc>
        <w:tc>
          <w:tcPr>
            <w:tcW w:type="dxa" w:w="2436"/>
            <w:vAlign w:val="center"/>
          </w:tcPr>
          <w:p>
            <w:pPr>
              <w:spacing w:line="276" w:lineRule="auto" w:before="0" w:after="0"/>
            </w:pPr>
            <w:r/>
            <w:r>
              <w:rPr>
                <w:rFonts w:ascii="Figtree" w:hAnsi="Figtree"/>
                <w:b w:val="0"/>
                <w:i w:val="0"/>
                <w:sz w:val="20"/>
              </w:rPr>
              <w:t>SettleMint presents technical proposal to ADX architecture and compliance teams</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2-3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Commercial workshop</w:t>
            </w:r>
          </w:p>
        </w:tc>
        <w:tc>
          <w:tcPr>
            <w:tcW w:type="dxa" w:w="2436"/>
            <w:vAlign w:val="center"/>
          </w:tcPr>
          <w:p>
            <w:pPr>
              <w:spacing w:line="276" w:lineRule="auto" w:before="0" w:after="0"/>
            </w:pPr>
            <w:r/>
            <w:r>
              <w:rPr>
                <w:rFonts w:ascii="Figtree" w:hAnsi="Figtree"/>
                <w:b w:val="0"/>
                <w:i w:val="0"/>
                <w:sz w:val="20"/>
              </w:rPr>
              <w:t>Joint review of pricing assumptions, scope confirmation, and contract structure</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3-4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Reference engagement</w:t>
            </w:r>
          </w:p>
        </w:tc>
        <w:tc>
          <w:tcPr>
            <w:tcW w:type="dxa" w:w="2436"/>
            <w:vAlign w:val="center"/>
          </w:tcPr>
          <w:p>
            <w:pPr>
              <w:spacing w:line="276" w:lineRule="auto" w:before="0" w:after="0"/>
            </w:pPr>
            <w:r/>
            <w:r>
              <w:rPr>
                <w:rFonts w:ascii="Figtree" w:hAnsi="Figtree"/>
                <w:b w:val="0"/>
                <w:i w:val="0"/>
                <w:sz w:val="20"/>
              </w:rPr>
              <w:t>ADX contacts SettleMint's reference clients for independent validation</w:t>
            </w:r>
          </w:p>
        </w:tc>
        <w:tc>
          <w:tcPr>
            <w:tcW w:type="dxa" w:w="2436"/>
            <w:vAlign w:val="center"/>
          </w:tcPr>
          <w:p>
            <w:pPr>
              <w:spacing w:line="276" w:lineRule="auto" w:before="0" w:after="0"/>
            </w:pPr>
            <w:r/>
            <w:r>
              <w:rPr>
                <w:rFonts w:ascii="Figtree" w:hAnsi="Figtree"/>
                <w:b w:val="0"/>
                <w:i w:val="0"/>
                <w:sz w:val="20"/>
              </w:rPr>
              <w:t>ADX</w:t>
            </w:r>
          </w:p>
        </w:tc>
        <w:tc>
          <w:tcPr>
            <w:tcW w:type="dxa" w:w="2436"/>
            <w:vAlign w:val="center"/>
          </w:tcPr>
          <w:p>
            <w:pPr>
              <w:spacing w:line="276" w:lineRule="auto" w:before="0" w:after="0"/>
            </w:pPr>
            <w:r/>
            <w:r>
              <w:rPr>
                <w:rFonts w:ascii="Figtree" w:hAnsi="Figtree"/>
                <w:b w:val="0"/>
                <w:i w:val="0"/>
                <w:sz w:val="20"/>
              </w:rPr>
              <w:t>Concurrent with commercial workshop</w:t>
            </w:r>
          </w:p>
        </w:tc>
      </w:tr>
      <w:tr>
        <w:trPr>
          <w:trHeight w:val="425" w:hRule="atLeast"/>
        </w:trPr>
        <w:tc>
          <w:tcPr>
            <w:tcW w:type="dxa" w:w="2436"/>
            <w:vAlign w:val="center"/>
          </w:tcPr>
          <w:p>
            <w:pPr>
              <w:spacing w:line="276" w:lineRule="auto" w:before="0" w:after="0"/>
            </w:pPr>
            <w:r/>
            <w:r>
              <w:rPr>
                <w:rFonts w:ascii="Figtree" w:hAnsi="Figtree"/>
                <w:b w:val="0"/>
                <w:i w:val="0"/>
                <w:sz w:val="20"/>
              </w:rPr>
              <w:t>Best-and-final offer</w:t>
            </w:r>
          </w:p>
        </w:tc>
        <w:tc>
          <w:tcPr>
            <w:tcW w:type="dxa" w:w="2436"/>
            <w:vAlign w:val="center"/>
          </w:tcPr>
          <w:p>
            <w:pPr>
              <w:spacing w:line="276" w:lineRule="auto" w:before="0" w:after="0"/>
            </w:pPr>
            <w:r/>
            <w:r>
              <w:rPr>
                <w:rFonts w:ascii="Figtree" w:hAnsi="Figtree"/>
                <w:b w:val="0"/>
                <w:i w:val="0"/>
                <w:sz w:val="20"/>
              </w:rPr>
              <w:t>SettleMint submits revised commercial terms if required after workshop</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4-5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Contract negotiation</w:t>
            </w:r>
          </w:p>
        </w:tc>
        <w:tc>
          <w:tcPr>
            <w:tcW w:type="dxa" w:w="2436"/>
            <w:vAlign w:val="center"/>
          </w:tcPr>
          <w:p>
            <w:pPr>
              <w:spacing w:line="276" w:lineRule="auto" w:before="0" w:after="0"/>
            </w:pPr>
            <w:r/>
            <w:r>
              <w:rPr>
                <w:rFonts w:ascii="Figtree" w:hAnsi="Figtree"/>
                <w:b w:val="0"/>
                <w:i w:val="0"/>
                <w:sz w:val="20"/>
              </w:rPr>
              <w:t>Legal and procurement teams finalize agreement</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5-7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Programme kickoff</w:t>
            </w:r>
          </w:p>
        </w:tc>
        <w:tc>
          <w:tcPr>
            <w:tcW w:type="dxa" w:w="2436"/>
            <w:vAlign w:val="center"/>
          </w:tcPr>
          <w:p>
            <w:pPr>
              <w:spacing w:line="276" w:lineRule="auto" w:before="0" w:after="0"/>
            </w:pPr>
            <w:r/>
            <w:r>
              <w:rPr>
                <w:rFonts w:ascii="Figtree" w:hAnsi="Figtree"/>
                <w:b w:val="0"/>
                <w:i w:val="0"/>
                <w:sz w:val="20"/>
              </w:rPr>
              <w:t>Phase 1 begins following contract signature</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Within 2 weeks of contract execution</w:t>
            </w:r>
          </w:p>
        </w:tc>
      </w:tr>
    </w:tbl>
    <w:p>
      <w:pPr>
        <w:spacing w:before="0" w:after="0" w:line="120" w:lineRule="exact"/>
      </w:pPr>
    </w:p>
    <w:p>
      <w:pPr>
        <w:pStyle w:val="H2"/>
        <w:numPr>
          <w:ilvl w:val="1"/>
          <w:numId w:val="1"/>
        </w:numPr>
      </w:pPr>
      <w:r>
        <w:t>10.2 SettleMint Contacts</w:t>
      </w:r>
    </w:p>
    <w:p>
      <w:r>
        <w:rPr>
          <w:rFonts w:ascii="Figtree" w:hAnsi="Figtree"/>
          <w:b/>
          <w:i w:val="0"/>
          <w:sz w:val="22"/>
        </w:rPr>
        <w:t>Commercial contact:</w:t>
      </w:r>
      <w:r>
        <w:rPr>
          <w:rFonts w:ascii="Figtree" w:hAnsi="Figtree"/>
          <w:b w:val="0"/>
          <w:i w:val="0"/>
          <w:sz w:val="22"/>
        </w:rPr>
        <w:t xml:space="preserve"> For all commercial, contract, and procurement queries.</w:t>
      </w:r>
    </w:p>
    <w:p>
      <w:r>
        <w:rPr>
          <w:rFonts w:ascii="Figtree" w:hAnsi="Figtree"/>
          <w:b/>
          <w:i w:val="0"/>
          <w:sz w:val="22"/>
        </w:rPr>
        <w:t>Technical/delivery contact:</w:t>
      </w:r>
      <w:r>
        <w:rPr>
          <w:rFonts w:ascii="Figtree" w:hAnsi="Figtree"/>
          <w:b w:val="0"/>
          <w:i w:val="0"/>
          <w:sz w:val="22"/>
        </w:rPr>
        <w:t xml:space="preserve"> For all technical, architecture, and implementation queries.</w:t>
      </w:r>
    </w:p>
    <w:p>
      <w:r>
        <w:rPr>
          <w:rFonts w:ascii="Figtree" w:hAnsi="Figtree"/>
          <w:b w:val="0"/>
          <w:i w:val="0"/>
          <w:sz w:val="22"/>
        </w:rPr>
        <w:t>&gt; SettleMint is ready to participate in clarification sessions, demonstrations, reference calls, or security review meetings at ADX's request within the evaluation period. Named contacts and direct communication channels will be provided on request.</w:t>
      </w:r>
    </w:p>
    <w:p>
      <w:r>
        <w:br w:type="page"/>
      </w:r>
    </w:p>
    <w:p>
      <w:r>
        <w:rPr>
          <w:rFonts w:ascii="Figtree" w:hAnsi="Figtree"/>
          <w:b w:val="0"/>
          <w:i/>
          <w:sz w:val="22"/>
        </w:rPr>
        <w:t>End of Commercial Proposal — ADX Abu Dhabi Securities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