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DIFC Digital Asset Regulatory Sandbox Platform</w:t>
          </w:r>
          <w:r>
            <w:tab/>
          </w:r>
          <w:r>
            <w:t xml:space="preserve">3</w:t>
          </w:r>
        </w:p>
        <w:p>
          <w:pPr>
            <w:pStyle w:val="TOC1"/>
            <w:tabs>
              <w:tab w:val="right" w:leader="dot" w:pos="9072"/>
            </w:tabs>
          </w:pPr>
          <w:r>
            <w:t xml:space="preserve">Table of Contents</w:t>
          </w:r>
          <w:r>
            <w:tab/>
          </w:r>
          <w:r>
            <w:t xml:space="preserve">4</w:t>
          </w:r>
        </w:p>
        <w:p>
          <w:pPr>
            <w:pStyle w:val="TOC1"/>
            <w:tabs>
              <w:tab w:val="right" w:leader="dot" w:pos="9072"/>
            </w:tabs>
          </w:pPr>
          <w:r>
            <w:t xml:space="preserve">1. Executive Summary</w:t>
          </w:r>
          <w:r>
            <w:tab/>
          </w:r>
          <w:r>
            <w:t xml:space="preserve">5</w:t>
          </w:r>
        </w:p>
        <w:p>
          <w:pPr>
            <w:pStyle w:val="TOC2"/>
            <w:tabs>
              <w:tab w:val="right" w:leader="dot" w:pos="9072"/>
            </w:tabs>
          </w:pPr>
          <w:r>
            <w:t xml:space="preserve">1.1 Strategic Context</w:t>
          </w:r>
          <w:r>
            <w:tab/>
          </w:r>
          <w:r>
            <w:t xml:space="preserve">6</w:t>
          </w:r>
        </w:p>
        <w:p>
          <w:pPr>
            <w:pStyle w:val="TOC2"/>
            <w:tabs>
              <w:tab w:val="right" w:leader="dot" w:pos="9072"/>
            </w:tabs>
          </w:pPr>
          <w:r>
            <w:t xml:space="preserve">1.2 Investment Summary</w:t>
          </w:r>
          <w:r>
            <w:tab/>
          </w:r>
          <w:r>
            <w:t xml:space="preserve">7</w:t>
          </w:r>
        </w:p>
        <w:p>
          <w:pPr>
            <w:pStyle w:val="TOC1"/>
            <w:tabs>
              <w:tab w:val="right" w:leader="dot" w:pos="9072"/>
            </w:tabs>
          </w:pPr>
          <w:r>
            <w:t xml:space="preserve">2. Commercial Overview</w:t>
          </w:r>
          <w:r>
            <w:tab/>
          </w:r>
          <w:r>
            <w:t xml:space="preserve">8</w:t>
          </w:r>
        </w:p>
        <w:p>
          <w:pPr>
            <w:pStyle w:val="TOC2"/>
            <w:tabs>
              <w:tab w:val="right" w:leader="dot" w:pos="9072"/>
            </w:tabs>
          </w:pPr>
          <w:r>
            <w:t xml:space="preserve">2.1 Engagement Model</w:t>
          </w:r>
          <w:r>
            <w:tab/>
          </w:r>
          <w:r>
            <w:t xml:space="preserve">9</w:t>
          </w:r>
        </w:p>
        <w:p>
          <w:pPr>
            <w:pStyle w:val="TOC2"/>
            <w:tabs>
              <w:tab w:val="right" w:leader="dot" w:pos="9072"/>
            </w:tabs>
          </w:pPr>
          <w:r>
            <w:t xml:space="preserve">2.2 Commercial Principles</w:t>
          </w:r>
          <w:r>
            <w:tab/>
          </w:r>
          <w:r>
            <w:t xml:space="preserve">10</w:t>
          </w:r>
        </w:p>
        <w:p>
          <w:pPr>
            <w:pStyle w:val="TOC1"/>
            <w:tabs>
              <w:tab w:val="right" w:leader="dot" w:pos="9072"/>
            </w:tabs>
          </w:pPr>
          <w:r>
            <w:t xml:space="preserve">3. Pricing Structure</w:t>
          </w:r>
          <w:r>
            <w:tab/>
          </w:r>
          <w:r>
            <w:t xml:space="preserve">11</w:t>
          </w:r>
        </w:p>
        <w:p>
          <w:pPr>
            <w:pStyle w:val="TOC2"/>
            <w:tabs>
              <w:tab w:val="right" w:leader="dot" w:pos="9072"/>
            </w:tabs>
          </w:pPr>
          <w:r>
            <w:t xml:space="preserve">3.1 Platform Licensing</w:t>
          </w:r>
          <w:r>
            <w:tab/>
          </w:r>
          <w:r>
            <w:t xml:space="preserve">12</w:t>
          </w:r>
        </w:p>
        <w:p>
          <w:pPr>
            <w:pStyle w:val="TOC2"/>
            <w:tabs>
              <w:tab w:val="right" w:leader="dot" w:pos="9072"/>
            </w:tabs>
          </w:pPr>
          <w:r>
            <w:t xml:space="preserve">3.2 License Inclusions</w:t>
          </w:r>
          <w:r>
            <w:tab/>
          </w:r>
          <w:r>
            <w:t xml:space="preserve">13</w:t>
          </w:r>
        </w:p>
        <w:p>
          <w:pPr>
            <w:pStyle w:val="TOC2"/>
            <w:tabs>
              <w:tab w:val="right" w:leader="dot" w:pos="9072"/>
            </w:tabs>
          </w:pPr>
          <w:r>
            <w:t xml:space="preserve">3.3 Expansion Options</w:t>
          </w:r>
          <w:r>
            <w:tab/>
          </w:r>
          <w:r>
            <w:t xml:space="preserve">14</w:t>
          </w:r>
        </w:p>
        <w:p>
          <w:pPr>
            <w:pStyle w:val="TOC1"/>
            <w:tabs>
              <w:tab w:val="right" w:leader="dot" w:pos="9072"/>
            </w:tabs>
          </w:pPr>
          <w:r>
            <w:t xml:space="preserve">4. Implementation Costs</w:t>
          </w:r>
          <w:r>
            <w:tab/>
          </w:r>
          <w:r>
            <w:t xml:space="preserve">15</w:t>
          </w:r>
        </w:p>
        <w:p>
          <w:pPr>
            <w:pStyle w:val="TOC2"/>
            <w:tabs>
              <w:tab w:val="right" w:leader="dot" w:pos="9072"/>
            </w:tabs>
          </w:pPr>
          <w:r>
            <w:t xml:space="preserve">4.1 Professional Services Scope</w:t>
          </w:r>
          <w:r>
            <w:tab/>
          </w:r>
          <w:r>
            <w:t xml:space="preserve">16</w:t>
          </w:r>
        </w:p>
        <w:p>
          <w:pPr>
            <w:pStyle w:val="TOC2"/>
            <w:tabs>
              <w:tab w:val="right" w:leader="dot" w:pos="9072"/>
            </w:tabs>
          </w:pPr>
          <w:r>
            <w:t xml:space="preserve">4.2 Implementation Cost Breakdown</w:t>
          </w:r>
          <w:r>
            <w:tab/>
          </w:r>
          <w:r>
            <w:t xml:space="preserve">17</w:t>
          </w:r>
        </w:p>
        <w:p>
          <w:pPr>
            <w:pStyle w:val="TOC2"/>
            <w:tabs>
              <w:tab w:val="right" w:leader="dot" w:pos="9072"/>
            </w:tabs>
          </w:pPr>
          <w:r>
            <w:t xml:space="preserve">4.3 Implementation Assumptions</w:t>
          </w:r>
          <w:r>
            <w:tab/>
          </w:r>
          <w:r>
            <w:t xml:space="preserve">18</w:t>
          </w:r>
        </w:p>
        <w:p>
          <w:pPr>
            <w:pStyle w:val="TOC1"/>
            <w:tabs>
              <w:tab w:val="right" w:leader="dot" w:pos="9072"/>
            </w:tabs>
          </w:pPr>
          <w:r>
            <w:t xml:space="preserve">5. Ongoing Operational Costs</w:t>
          </w:r>
          <w:r>
            <w:tab/>
          </w:r>
          <w:r>
            <w:t xml:space="preserve">19</w:t>
          </w:r>
        </w:p>
        <w:p>
          <w:pPr>
            <w:pStyle w:val="TOC2"/>
            <w:tabs>
              <w:tab w:val="right" w:leader="dot" w:pos="9072"/>
            </w:tabs>
          </w:pPr>
          <w:r>
            <w:t xml:space="preserve">5.1 Annual Operational Costs</w:t>
          </w:r>
          <w:r>
            <w:tab/>
          </w:r>
          <w:r>
            <w:t xml:space="preserve">20</w:t>
          </w:r>
        </w:p>
        <w:p>
          <w:pPr>
            <w:pStyle w:val="TOC2"/>
            <w:tabs>
              <w:tab w:val="right" w:leader="dot" w:pos="9072"/>
            </w:tabs>
          </w:pPr>
          <w:r>
            <w:t xml:space="preserve">5.2 Support and Maintenance</w:t>
          </w:r>
          <w:r>
            <w:tab/>
          </w:r>
          <w:r>
            <w:t xml:space="preserve">21</w:t>
          </w:r>
        </w:p>
        <w:p>
          <w:pPr>
            <w:pStyle w:val="TOC2"/>
            <w:tabs>
              <w:tab w:val="right" w:leader="dot" w:pos="9072"/>
            </w:tabs>
          </w:pPr>
          <w:r>
            <w:t xml:space="preserve">5.3 Optional Services</w:t>
          </w:r>
          <w:r>
            <w:tab/>
          </w:r>
          <w:r>
            <w:t xml:space="preserve">22</w:t>
          </w:r>
        </w:p>
        <w:p>
          <w:pPr>
            <w:pStyle w:val="TOC1"/>
            <w:tabs>
              <w:tab w:val="right" w:leader="dot" w:pos="9072"/>
            </w:tabs>
          </w:pPr>
          <w:r>
            <w:t xml:space="preserve">6. Commercial Terms</w:t>
          </w:r>
          <w:r>
            <w:tab/>
          </w:r>
          <w:r>
            <w:t xml:space="preserve">23</w:t>
          </w:r>
        </w:p>
        <w:p>
          <w:pPr>
            <w:pStyle w:val="TOC2"/>
            <w:tabs>
              <w:tab w:val="right" w:leader="dot" w:pos="9072"/>
            </w:tabs>
          </w:pPr>
          <w:r>
            <w:t xml:space="preserve">6.1 Term and Termination</w:t>
          </w:r>
          <w:r>
            <w:tab/>
          </w:r>
          <w:r>
            <w:t xml:space="preserve">24</w:t>
          </w:r>
        </w:p>
        <w:p>
          <w:pPr>
            <w:pStyle w:val="TOC2"/>
            <w:tabs>
              <w:tab w:val="right" w:leader="dot" w:pos="9072"/>
            </w:tabs>
          </w:pPr>
          <w:r>
            <w:t xml:space="preserve">6.2 Service Level Agreement</w:t>
          </w:r>
          <w:r>
            <w:tab/>
          </w:r>
          <w:r>
            <w:t xml:space="preserve">25</w:t>
          </w:r>
        </w:p>
        <w:p>
          <w:pPr>
            <w:pStyle w:val="TOC2"/>
            <w:tabs>
              <w:tab w:val="right" w:leader="dot" w:pos="9072"/>
            </w:tabs>
          </w:pPr>
          <w:r>
            <w:t xml:space="preserve">6.3 Data and Intellectual Property</w:t>
          </w:r>
          <w:r>
            <w:tab/>
          </w:r>
          <w:r>
            <w:t xml:space="preserve">26</w:t>
          </w:r>
        </w:p>
        <w:p>
          <w:pPr>
            <w:pStyle w:val="TOC1"/>
            <w:tabs>
              <w:tab w:val="right" w:leader="dot" w:pos="9072"/>
            </w:tabs>
          </w:pPr>
          <w:r>
            <w:t xml:space="preserve">7. Investment Summary</w:t>
          </w:r>
          <w:r>
            <w:tab/>
          </w:r>
          <w:r>
            <w:t xml:space="preserve">27</w:t>
          </w:r>
        </w:p>
        <w:p>
          <w:pPr>
            <w:pStyle w:val="TOC2"/>
            <w:tabs>
              <w:tab w:val="right" w:leader="dot" w:pos="9072"/>
            </w:tabs>
          </w:pPr>
          <w:r>
            <w:t xml:space="preserve">7.1 Total Cost of Ownership</w:t>
          </w:r>
          <w:r>
            <w:tab/>
          </w:r>
          <w:r>
            <w:t xml:space="preserve">28</w:t>
          </w:r>
        </w:p>
        <w:p>
          <w:pPr>
            <w:pStyle w:val="TOC2"/>
            <w:tabs>
              <w:tab w:val="right" w:leader="dot" w:pos="9072"/>
            </w:tabs>
          </w:pPr>
          <w:r>
            <w:t xml:space="preserve">7.2 Return on Investment Considerations</w:t>
          </w:r>
          <w:r>
            <w:tab/>
          </w:r>
          <w:r>
            <w:t xml:space="preserve">29</w:t>
          </w:r>
        </w:p>
        <w:p>
          <w:pPr>
            <w:pStyle w:val="TOC2"/>
            <w:tabs>
              <w:tab w:val="right" w:leader="dot" w:pos="9072"/>
            </w:tabs>
          </w:pPr>
          <w:r>
            <w:t xml:space="preserve">7.3 Payment Schedule</w:t>
          </w:r>
          <w:r>
            <w:tab/>
          </w:r>
          <w:r>
            <w:t xml:space="preserve">30</w:t>
          </w:r>
        </w:p>
        <w:p>
          <w:pPr>
            <w:pStyle w:val="TOC1"/>
            <w:tabs>
              <w:tab w:val="right" w:leader="dot" w:pos="9072"/>
            </w:tabs>
          </w:pPr>
          <w:r>
            <w:t xml:space="preserve">8. Payment Terms</w:t>
          </w:r>
          <w:r>
            <w:tab/>
          </w:r>
          <w:r>
            <w:t xml:space="preserve">31</w:t>
          </w:r>
        </w:p>
        <w:p>
          <w:pPr>
            <w:pStyle w:val="TOC2"/>
            <w:tabs>
              <w:tab w:val="right" w:leader="dot" w:pos="9072"/>
            </w:tabs>
          </w:pPr>
          <w:r>
            <w:t xml:space="preserve">8.1 Invoice Schedule</w:t>
          </w:r>
          <w:r>
            <w:tab/>
          </w:r>
          <w:r>
            <w:t xml:space="preserve">32</w:t>
          </w:r>
        </w:p>
        <w:p>
          <w:pPr>
            <w:pStyle w:val="TOC2"/>
            <w:tabs>
              <w:tab w:val="right" w:leader="dot" w:pos="9072"/>
            </w:tabs>
          </w:pPr>
          <w:r>
            <w:t xml:space="preserve">8.2 Payment Terms</w:t>
          </w:r>
          <w:r>
            <w:tab/>
          </w:r>
          <w:r>
            <w:t xml:space="preserve">33</w:t>
          </w:r>
        </w:p>
        <w:p>
          <w:pPr>
            <w:pStyle w:val="TOC1"/>
            <w:tabs>
              <w:tab w:val="right" w:leader="dot" w:pos="9072"/>
            </w:tabs>
          </w:pPr>
          <w:r>
            <w:t xml:space="preserve">9. Assumptions and Dependencies</w:t>
          </w:r>
          <w:r>
            <w:tab/>
          </w:r>
          <w:r>
            <w:t xml:space="preserve">34</w:t>
          </w:r>
        </w:p>
        <w:p>
          <w:pPr>
            <w:pStyle w:val="TOC2"/>
            <w:tabs>
              <w:tab w:val="right" w:leader="dot" w:pos="9072"/>
            </w:tabs>
          </w:pPr>
          <w:r>
            <w:t xml:space="preserve">9.1 Assumptions</w:t>
          </w:r>
          <w:r>
            <w:tab/>
          </w:r>
          <w:r>
            <w:t xml:space="preserve">35</w:t>
          </w:r>
        </w:p>
        <w:p>
          <w:pPr>
            <w:pStyle w:val="TOC2"/>
            <w:tabs>
              <w:tab w:val="right" w:leader="dot" w:pos="9072"/>
            </w:tabs>
          </w:pPr>
          <w:r>
            <w:t xml:space="preserve">9.2 Dependencies</w:t>
          </w:r>
          <w:r>
            <w:tab/>
          </w:r>
          <w:r>
            <w:t xml:space="preserve">36</w:t>
          </w:r>
        </w:p>
        <w:p>
          <w:pPr>
            <w:pStyle w:val="TOC2"/>
            <w:tabs>
              <w:tab w:val="right" w:leader="dot" w:pos="9072"/>
            </w:tabs>
          </w:pPr>
          <w:r>
            <w:t xml:space="preserve">9.3 Exclusions</w:t>
          </w:r>
          <w:r>
            <w:tab/>
          </w:r>
          <w:r>
            <w:t xml:space="preserve">37</w:t>
          </w:r>
        </w:p>
        <w:p>
          <w:pPr>
            <w:pStyle w:val="TOC1"/>
            <w:tabs>
              <w:tab w:val="right" w:leader="dot" w:pos="9072"/>
            </w:tabs>
          </w:pPr>
          <w:r>
            <w:t xml:space="preserve">10. Value Proposition</w:t>
          </w:r>
          <w:r>
            <w:tab/>
          </w:r>
          <w:r>
            <w:t xml:space="preserve">38</w:t>
          </w:r>
        </w:p>
        <w:p>
          <w:pPr>
            <w:pStyle w:val="TOC2"/>
            <w:tabs>
              <w:tab w:val="right" w:leader="dot" w:pos="9072"/>
            </w:tabs>
          </w:pPr>
          <w:r>
            <w:t xml:space="preserve">10.1 Why This Investment Makes Sense</w:t>
          </w:r>
          <w:r>
            <w:tab/>
          </w:r>
          <w:r>
            <w:t xml:space="preserve">39</w:t>
          </w:r>
        </w:p>
        <w:p>
          <w:pPr>
            <w:pStyle w:val="TOC2"/>
            <w:tabs>
              <w:tab w:val="right" w:leader="dot" w:pos="9072"/>
            </w:tabs>
          </w:pPr>
          <w:r>
            <w:t xml:space="preserve">10.2 Competitive Advantages</w:t>
          </w:r>
          <w:r>
            <w:tab/>
          </w:r>
          <w:r>
            <w:t xml:space="preserve">40</w:t>
          </w:r>
        </w:p>
        <w:p>
          <w:pPr>
            <w:pStyle w:val="TOC2"/>
            <w:tabs>
              <w:tab w:val="right" w:leader="dot" w:pos="9072"/>
            </w:tabs>
          </w:pPr>
          <w:r>
            <w:t xml:space="preserve">10.3 Next Steps</w:t>
          </w:r>
          <w:r>
            <w:tab/>
          </w:r>
          <w:r>
            <w:t xml:space="preserve">41</w:t>
          </w:r>
        </w:p>
        <w:p>
          <w:pPr>
            <w:pStyle w:val="TOC1"/>
            <w:tabs>
              <w:tab w:val="right" w:leader="dot" w:pos="9072"/>
            </w:tabs>
          </w:pPr>
          <w:r>
            <w:t xml:space="preserve">Contact Information</w:t>
          </w:r>
          <w:r>
            <w:tab/>
          </w:r>
          <w:r>
            <w:t xml:space="preserve">42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DIFC Digital Asset Regulatory Sandbox Platform</w:t>
      </w:r>
    </w:p>
    <w:p>
      <w:r>
        <w:rPr>
          <w:rFonts w:ascii="Figtree" w:hAnsi="Figtree"/>
          <w:b/>
          <w:i w:val="0"/>
          <w:sz w:val="22"/>
        </w:rPr>
        <w:t>Document Title:</w:t>
      </w:r>
      <w:r>
        <w:rPr>
          <w:rFonts w:ascii="Figtree" w:hAnsi="Figtree"/>
          <w:b w:val="0"/>
          <w:i w:val="0"/>
          <w:sz w:val="22"/>
        </w:rPr>
        <w:t xml:space="preserve"> Commercial Proposal for DIFC Digital Asset Regulatory Sandbox Platform</w:t>
      </w:r>
    </w:p>
    <w:p>
      <w:r>
        <w:rPr>
          <w:rFonts w:ascii="Figtree" w:hAnsi="Figtree"/>
          <w:b/>
          <w:i w:val="0"/>
          <w:sz w:val="22"/>
        </w:rPr>
        <w:t>Client:</w:t>
      </w:r>
      <w:r>
        <w:rPr>
          <w:rFonts w:ascii="Figtree" w:hAnsi="Figtree"/>
          <w:b w:val="0"/>
          <w:i w:val="0"/>
          <w:sz w:val="22"/>
        </w:rPr>
        <w:t xml:space="preserve"> DIFC (Dubai International Financial Centre)</w:t>
      </w:r>
    </w:p>
    <w:p>
      <w:r>
        <w:rPr>
          <w:rFonts w:ascii="Figtree" w:hAnsi="Figtree"/>
          <w:b/>
          <w:i w:val="0"/>
          <w:sz w:val="22"/>
        </w:rPr>
        <w:t>Date:</w:t>
      </w:r>
      <w:r>
        <w:rPr>
          <w:rFonts w:ascii="Figtree" w:hAnsi="Figtree"/>
          <w:b w:val="0"/>
          <w:i w:val="0"/>
          <w:sz w:val="22"/>
        </w:rPr>
        <w:t xml:space="preserve"> 2026-03-17</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Classification:</w:t>
      </w:r>
      <w:r>
        <w:rPr>
          <w:rFonts w:ascii="Figtree" w:hAnsi="Figtree"/>
          <w:b w:val="0"/>
          <w:i w:val="0"/>
          <w:sz w:val="22"/>
        </w:rPr>
        <w:t xml:space="preserve"> Confidential</w:t>
      </w:r>
    </w:p>
    <w:p>
      <w:r>
        <w:br w:type="page"/>
      </w:r>
    </w:p>
    <w:p>
      <w:r>
        <w:rPr>
          <w:rFonts w:ascii="Figtree" w:hAnsi="Figtree"/>
          <w:b w:val="0"/>
          <w:i/>
          <w:sz w:val="22"/>
        </w:rPr>
        <w:t>This document contains confidential and proprietary information of SettleMint NV. Unauthorized disclosure, reproduction, or distribution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Commercial Overview</w:t>
      </w:r>
    </w:p>
    <w:p>
      <w:pPr>
        <w:pStyle w:val="ListParagraph"/>
        <w:numPr>
          <w:ilvl w:val="0"/>
          <w:numId w:val="6"/>
        </w:numPr>
      </w:pPr>
      <w:r>
        <w:rPr>
          <w:rFonts w:ascii="Figtree" w:hAnsi="Figtree"/>
          <w:b w:val="0"/>
          <w:i w:val="0"/>
          <w:sz w:val="22"/>
        </w:rPr>
        <w:t>Pricing Structure</w:t>
      </w:r>
    </w:p>
    <w:p>
      <w:pPr>
        <w:pStyle w:val="ListParagraph"/>
        <w:numPr>
          <w:ilvl w:val="0"/>
          <w:numId w:val="6"/>
        </w:numPr>
      </w:pPr>
      <w:r>
        <w:rPr>
          <w:rFonts w:ascii="Figtree" w:hAnsi="Figtree"/>
          <w:b w:val="0"/>
          <w:i w:val="0"/>
          <w:sz w:val="22"/>
        </w:rPr>
        <w:t>Implementation Costs</w:t>
      </w:r>
    </w:p>
    <w:p>
      <w:pPr>
        <w:pStyle w:val="ListParagraph"/>
        <w:numPr>
          <w:ilvl w:val="0"/>
          <w:numId w:val="6"/>
        </w:numPr>
      </w:pPr>
      <w:r>
        <w:rPr>
          <w:rFonts w:ascii="Figtree" w:hAnsi="Figtree"/>
          <w:b w:val="0"/>
          <w:i w:val="0"/>
          <w:sz w:val="22"/>
        </w:rPr>
        <w:t>Ongoing Operational Costs</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Investment Summary</w:t>
      </w:r>
    </w:p>
    <w:p>
      <w:pPr>
        <w:pStyle w:val="ListParagraph"/>
        <w:numPr>
          <w:ilvl w:val="0"/>
          <w:numId w:val="6"/>
        </w:numPr>
      </w:pPr>
      <w:r>
        <w:rPr>
          <w:rFonts w:ascii="Figtree" w:hAnsi="Figtree"/>
          <w:b w:val="0"/>
          <w:i w:val="0"/>
          <w:sz w:val="22"/>
        </w:rPr>
        <w:t>Payment Terms</w:t>
      </w:r>
    </w:p>
    <w:p>
      <w:pPr>
        <w:pStyle w:val="ListParagraph"/>
        <w:numPr>
          <w:ilvl w:val="0"/>
          <w:numId w:val="6"/>
        </w:numPr>
      </w:pPr>
      <w:r>
        <w:rPr>
          <w:rFonts w:ascii="Figtree" w:hAnsi="Figtree"/>
          <w:b w:val="0"/>
          <w:i w:val="0"/>
          <w:sz w:val="22"/>
        </w:rPr>
        <w:t>Assumptions and Dependencies</w:t>
      </w:r>
    </w:p>
    <w:p>
      <w:pPr>
        <w:pStyle w:val="ListParagraph"/>
        <w:numPr>
          <w:ilvl w:val="0"/>
          <w:numId w:val="6"/>
        </w:numPr>
      </w:pPr>
      <w:r>
        <w:rPr>
          <w:rFonts w:ascii="Figtree" w:hAnsi="Figtree"/>
          <w:b w:val="0"/>
          <w:i w:val="0"/>
          <w:sz w:val="22"/>
        </w:rPr>
        <w:t>Value Proposition</w:t>
      </w:r>
    </w:p>
    <w:p>
      <w:r>
        <w:br w:type="page"/>
      </w:r>
    </w:p>
    <w:p>
      <w:pPr>
        <w:pStyle w:val="H1"/>
        <w:numPr>
          <w:ilvl w:val="0"/>
          <w:numId w:val="1"/>
        </w:numPr>
      </w:pPr>
      <w:r>
        <w:t>1. Executive Summary</w:t>
      </w:r>
    </w:p>
    <w:p>
      <w:pPr>
        <w:pStyle w:val="H2"/>
        <w:numPr>
          <w:ilvl w:val="1"/>
          <w:numId w:val="1"/>
        </w:numPr>
      </w:pPr>
      <w:r>
        <w:t>1.1 Strategic Context</w:t>
      </w:r>
    </w:p>
    <w:p>
      <w:r>
        <w:rPr>
          <w:rFonts w:ascii="Figtree" w:hAnsi="Figtree"/>
          <w:b w:val="0"/>
          <w:i w:val="0"/>
          <w:sz w:val="22"/>
        </w:rPr>
        <w:t>The DIFC Digital Asset Regulatory Sandbox Platform represents a strategic investment in Dubai's position as a global centre for digital asset innovation. This commercial proposal outlines the investment required to deploy and operate DALP (Digital Asset Lifecycle Platform) as the foundational infrastructure for the sandbox.</w:t>
      </w:r>
    </w:p>
    <w:p>
      <w:r>
        <w:rPr>
          <w:rFonts w:ascii="Figtree" w:hAnsi="Figtree"/>
          <w:b w:val="0"/>
          <w:i w:val="0"/>
          <w:sz w:val="22"/>
        </w:rPr>
        <w:t>The investment case rests on three pillars. First, the platform enables DIFC to attract financial institutions and fintech companies seeking a regulated environment for digital asset innovation. Second, the sandbox creates a pathway from testing to production, reducing friction for successful participants. Third, the platform generates operational revenue through participant licensing fees.</w:t>
      </w:r>
    </w:p>
    <w:p>
      <w:pPr>
        <w:pStyle w:val="H2"/>
        <w:numPr>
          <w:ilvl w:val="1"/>
          <w:numId w:val="1"/>
        </w:numPr>
      </w:pPr>
      <w:r>
        <w:t>1.2 Investment Summary</w:t>
      </w:r>
    </w:p>
    <w:p>
      <w:r>
        <w:rPr>
          <w:rFonts w:ascii="Figtree" w:hAnsi="Figtree"/>
          <w:b w:val="0"/>
          <w:i w:val="0"/>
          <w:sz w:val="22"/>
        </w:rPr>
        <w:t>The total investment over a three-year period comprises the following: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43"/>
        <w:gridCol w:w="1489"/>
        <w:gridCol w:w="1489"/>
        <w:gridCol w:w="1489"/>
        <w:gridCol w:w="176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485,000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485,000</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Licensing</w:t>
            </w:r>
          </w:p>
        </w:tc>
        <w:tc>
          <w:tcPr>
            <w:tcW w:type="dxa" w:w="1949"/>
            <w:vAlign w:val="center"/>
          </w:tcPr>
          <w:p>
            <w:pPr>
              <w:spacing w:line="276" w:lineRule="auto" w:before="0" w:after="0"/>
            </w:pPr>
            <w:r/>
            <w:r>
              <w:rPr>
                <w:rFonts w:ascii="Figtree" w:hAnsi="Figtree"/>
                <w:b w:val="0"/>
                <w:i w:val="0"/>
                <w:sz w:val="20"/>
              </w:rPr>
              <w:t>180,000</w:t>
            </w:r>
          </w:p>
        </w:tc>
        <w:tc>
          <w:tcPr>
            <w:tcW w:type="dxa" w:w="1949"/>
            <w:vAlign w:val="center"/>
          </w:tcPr>
          <w:p>
            <w:pPr>
              <w:spacing w:line="276" w:lineRule="auto" w:before="0" w:after="0"/>
            </w:pPr>
            <w:r/>
            <w:r>
              <w:rPr>
                <w:rFonts w:ascii="Figtree" w:hAnsi="Figtree"/>
                <w:b w:val="0"/>
                <w:i w:val="0"/>
                <w:sz w:val="20"/>
              </w:rPr>
              <w:t>180,000</w:t>
            </w:r>
          </w:p>
        </w:tc>
        <w:tc>
          <w:tcPr>
            <w:tcW w:type="dxa" w:w="1949"/>
            <w:vAlign w:val="center"/>
          </w:tcPr>
          <w:p>
            <w:pPr>
              <w:spacing w:line="276" w:lineRule="auto" w:before="0" w:after="0"/>
            </w:pPr>
            <w:r/>
            <w:r>
              <w:rPr>
                <w:rFonts w:ascii="Figtree" w:hAnsi="Figtree"/>
                <w:b w:val="0"/>
                <w:i w:val="0"/>
                <w:sz w:val="20"/>
              </w:rPr>
              <w:t>180,000</w:t>
            </w:r>
          </w:p>
        </w:tc>
        <w:tc>
          <w:tcPr>
            <w:tcW w:type="dxa" w:w="1949"/>
            <w:vAlign w:val="center"/>
          </w:tcPr>
          <w:p>
            <w:pPr>
              <w:spacing w:line="276" w:lineRule="auto" w:before="0" w:after="0"/>
            </w:pPr>
            <w:r/>
            <w:r>
              <w:rPr>
                <w:rFonts w:ascii="Figtree" w:hAnsi="Figtree"/>
                <w:b w:val="0"/>
                <w:i w:val="0"/>
                <w:sz w:val="20"/>
              </w:rPr>
              <w:t>540,000</w:t>
            </w:r>
          </w:p>
        </w:tc>
      </w:tr>
      <w:tr>
        <w:trPr>
          <w:trHeight w:val="425" w:hRule="atLeast"/>
        </w:trPr>
        <w:tc>
          <w:tcPr>
            <w:tcW w:type="dxa" w:w="1949"/>
            <w:vAlign w:val="center"/>
          </w:tcPr>
          <w:p>
            <w:pPr>
              <w:spacing w:line="276" w:lineRule="auto" w:before="0" w:after="0"/>
            </w:pPr>
            <w:r/>
            <w:r>
              <w:rPr>
                <w:rFonts w:ascii="Figtree" w:hAnsi="Figtree"/>
                <w:b w:val="0"/>
                <w:i w:val="0"/>
                <w:sz w:val="20"/>
              </w:rPr>
              <w:t>Support &amp; Maintenance</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216,000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737,000</w:t>
            </w:r>
          </w:p>
        </w:tc>
        <w:tc>
          <w:tcPr>
            <w:tcW w:type="dxa" w:w="1949"/>
            <w:vAlign w:val="center"/>
          </w:tcPr>
          <w:p>
            <w:pPr>
              <w:spacing w:line="276" w:lineRule="auto" w:before="0" w:after="0"/>
            </w:pPr>
            <w:r/>
            <w:r>
              <w:rPr>
                <w:rFonts w:ascii="Figtree" w:hAnsi="Figtree"/>
                <w:b/>
                <w:i w:val="0"/>
                <w:sz w:val="20"/>
              </w:rPr>
              <w:t>252,000</w:t>
            </w:r>
          </w:p>
        </w:tc>
        <w:tc>
          <w:tcPr>
            <w:tcW w:type="dxa" w:w="1949"/>
            <w:vAlign w:val="center"/>
          </w:tcPr>
          <w:p>
            <w:pPr>
              <w:spacing w:line="276" w:lineRule="auto" w:before="0" w:after="0"/>
            </w:pPr>
            <w:r/>
            <w:r>
              <w:rPr>
                <w:rFonts w:ascii="Figtree" w:hAnsi="Figtree"/>
                <w:b/>
                <w:i w:val="0"/>
                <w:sz w:val="20"/>
              </w:rPr>
              <w:t>252,000</w:t>
            </w:r>
          </w:p>
        </w:tc>
        <w:tc>
          <w:tcPr>
            <w:tcW w:type="dxa" w:w="1949"/>
            <w:vAlign w:val="center"/>
          </w:tcPr>
          <w:p>
            <w:pPr>
              <w:spacing w:line="276" w:lineRule="auto" w:before="0" w:after="0"/>
            </w:pPr>
            <w:r/>
            <w:r>
              <w:rPr>
                <w:rFonts w:ascii="Figtree" w:hAnsi="Figtree"/>
                <w:b/>
                <w:i w:val="0"/>
                <w:sz w:val="20"/>
              </w:rPr>
              <w:t>1,241,000</w:t>
            </w:r>
          </w:p>
        </w:tc>
      </w:tr>
    </w:tbl>
    <w:p>
      <w:pPr>
        <w:spacing w:before="0" w:after="0" w:line="120" w:lineRule="exact"/>
      </w:pPr>
    </w:p>
    <w:p>
      <w:r>
        <w:rPr>
          <w:rFonts w:ascii="Figtree" w:hAnsi="Figtree"/>
          <w:b w:val="0"/>
          <w:i w:val="0"/>
          <w:sz w:val="22"/>
        </w:rPr>
        <w:t>All amounts are in EUR.</w:t>
      </w:r>
    </w:p>
    <w:p>
      <w:r>
        <w:br w:type="page"/>
      </w:r>
    </w:p>
    <w:p>
      <w:pPr>
        <w:pStyle w:val="H1"/>
        <w:numPr>
          <w:ilvl w:val="0"/>
          <w:numId w:val="1"/>
        </w:numPr>
      </w:pPr>
      <w:r>
        <w:t>2. Commercial Overview</w:t>
      </w:r>
    </w:p>
    <w:p>
      <w:pPr>
        <w:pStyle w:val="H2"/>
        <w:numPr>
          <w:ilvl w:val="1"/>
          <w:numId w:val="1"/>
        </w:numPr>
      </w:pPr>
      <w:r>
        <w:t>2.1 Engagement Model</w:t>
      </w:r>
    </w:p>
    <w:p>
      <w:r>
        <w:rPr>
          <w:rFonts w:ascii="Figtree" w:hAnsi="Figtree"/>
          <w:b w:val="0"/>
          <w:i w:val="0"/>
          <w:sz w:val="22"/>
        </w:rPr>
        <w:t>SettleMint proposes a platform licensing engagement with professional services for implementation. This model provides:</w:t>
      </w:r>
    </w:p>
    <w:p>
      <w:pPr>
        <w:pStyle w:val="ListParagraph"/>
        <w:numPr>
          <w:ilvl w:val="0"/>
          <w:numId w:val="4"/>
        </w:numPr>
      </w:pPr>
      <w:r>
        <w:rPr>
          <w:rFonts w:ascii="Figtree" w:hAnsi="Figtree"/>
          <w:b/>
          <w:i w:val="0"/>
          <w:sz w:val="22"/>
        </w:rPr>
        <w:t>Predictable costs</w:t>
      </w:r>
      <w:r>
        <w:rPr>
          <w:rFonts w:ascii="Figtree" w:hAnsi="Figtree"/>
          <w:b w:val="0"/>
          <w:i w:val="0"/>
          <w:sz w:val="22"/>
        </w:rPr>
        <w:t>: Annual licensing fees enable budget planning</w:t>
      </w:r>
    </w:p>
    <w:p>
      <w:pPr>
        <w:pStyle w:val="ListParagraph"/>
        <w:numPr>
          <w:ilvl w:val="0"/>
          <w:numId w:val="4"/>
        </w:numPr>
      </w:pPr>
      <w:r>
        <w:rPr>
          <w:rFonts w:ascii="Figtree" w:hAnsi="Figtree"/>
          <w:b/>
          <w:i w:val="0"/>
          <w:sz w:val="22"/>
        </w:rPr>
        <w:t>Clear scope</w:t>
      </w:r>
      <w:r>
        <w:rPr>
          <w:rFonts w:ascii="Figtree" w:hAnsi="Figtree"/>
          <w:b w:val="0"/>
          <w:i w:val="0"/>
          <w:sz w:val="22"/>
        </w:rPr>
        <w:t>: Implementation services defined in scope</w:t>
      </w:r>
    </w:p>
    <w:p>
      <w:pPr>
        <w:pStyle w:val="ListParagraph"/>
        <w:numPr>
          <w:ilvl w:val="0"/>
          <w:numId w:val="4"/>
        </w:numPr>
      </w:pPr>
      <w:r>
        <w:rPr>
          <w:rFonts w:ascii="Figtree" w:hAnsi="Figtree"/>
          <w:b/>
          <w:i w:val="0"/>
          <w:sz w:val="22"/>
        </w:rPr>
        <w:t>Operational flexibility</w:t>
      </w:r>
      <w:r>
        <w:rPr>
          <w:rFonts w:ascii="Figtree" w:hAnsi="Figtree"/>
          <w:b w:val="0"/>
          <w:i w:val="0"/>
          <w:sz w:val="22"/>
        </w:rPr>
        <w:t>: Rolling annual terms with appropriate notice periods</w:t>
      </w:r>
    </w:p>
    <w:p>
      <w:pPr>
        <w:pStyle w:val="ListParagraph"/>
        <w:numPr>
          <w:ilvl w:val="0"/>
          <w:numId w:val="4"/>
        </w:numPr>
      </w:pPr>
      <w:r>
        <w:rPr>
          <w:rFonts w:ascii="Figtree" w:hAnsi="Figtree"/>
          <w:b/>
          <w:i w:val="0"/>
          <w:sz w:val="22"/>
        </w:rPr>
        <w:t>Shared success</w:t>
      </w:r>
      <w:r>
        <w:rPr>
          <w:rFonts w:ascii="Figtree" w:hAnsi="Figtree"/>
          <w:b w:val="0"/>
          <w:i w:val="0"/>
          <w:sz w:val="22"/>
        </w:rPr>
        <w:t>: DALP licensing model aligns SettleMint's interests with DIFC's sandbox success</w:t>
      </w:r>
    </w:p>
    <w:p>
      <w:pPr>
        <w:pStyle w:val="H2"/>
        <w:numPr>
          <w:ilvl w:val="1"/>
          <w:numId w:val="1"/>
        </w:numPr>
      </w:pPr>
      <w:r>
        <w:t>2.2 Commercial Principles</w:t>
      </w:r>
    </w:p>
    <w:p>
      <w:r>
        <w:rPr>
          <w:rFonts w:ascii="Figtree" w:hAnsi="Figtree"/>
          <w:b w:val="0"/>
          <w:i w:val="0"/>
          <w:sz w:val="22"/>
        </w:rPr>
        <w:t>Our commercial approach is guided by three principles:</w:t>
      </w:r>
    </w:p>
    <w:p>
      <w:r>
        <w:rPr>
          <w:rFonts w:ascii="Figtree" w:hAnsi="Figtree"/>
          <w:b/>
          <w:i w:val="0"/>
          <w:sz w:val="22"/>
        </w:rPr>
        <w:t>Transparency</w:t>
      </w:r>
      <w:r>
        <w:rPr>
          <w:rFonts w:ascii="Figtree" w:hAnsi="Figtree"/>
          <w:b w:val="0"/>
          <w:i w:val="0"/>
          <w:sz w:val="22"/>
        </w:rPr>
        <w:t>: All costs are clearly stated with no hidden fees. Implementation includes all activities required to achieve sandbox go-live.</w:t>
      </w:r>
    </w:p>
    <w:p>
      <w:r>
        <w:rPr>
          <w:rFonts w:ascii="Figtree" w:hAnsi="Figtree"/>
          <w:b/>
          <w:i w:val="0"/>
          <w:sz w:val="22"/>
        </w:rPr>
        <w:t>Flexibility</w:t>
      </w:r>
      <w:r>
        <w:rPr>
          <w:rFonts w:ascii="Figtree" w:hAnsi="Figtree"/>
          <w:b w:val="0"/>
          <w:i w:val="0"/>
          <w:sz w:val="22"/>
        </w:rPr>
        <w:t>: Annual licensing terms provide operational flexibility. Expansion options enable scaling as the sandbox grows.</w:t>
      </w:r>
    </w:p>
    <w:p>
      <w:r>
        <w:rPr>
          <w:rFonts w:ascii="Figtree" w:hAnsi="Figtree"/>
          <w:b/>
          <w:i w:val="0"/>
          <w:sz w:val="22"/>
        </w:rPr>
        <w:t>Partnership</w:t>
      </w:r>
      <w:r>
        <w:rPr>
          <w:rFonts w:ascii="Figtree" w:hAnsi="Figtree"/>
          <w:b w:val="0"/>
          <w:i w:val="0"/>
          <w:sz w:val="22"/>
        </w:rPr>
        <w:t>: We view this engagement as a partnership in building Dubai's digital asset ecosystem. Successful sandbox participants create long-term value for both parties.</w:t>
      </w:r>
    </w:p>
    <w:p>
      <w:r>
        <w:br w:type="page"/>
      </w:r>
    </w:p>
    <w:p>
      <w:pPr>
        <w:pStyle w:val="H1"/>
        <w:numPr>
          <w:ilvl w:val="0"/>
          <w:numId w:val="1"/>
        </w:numPr>
      </w:pPr>
      <w:r>
        <w:t>3. Pricing Structure</w:t>
      </w:r>
    </w:p>
    <w:p>
      <w:pPr>
        <w:pStyle w:val="H2"/>
        <w:numPr>
          <w:ilvl w:val="1"/>
          <w:numId w:val="1"/>
        </w:numPr>
      </w:pPr>
      <w:r>
        <w:t>3.1 Platform Licensing</w:t>
      </w:r>
    </w:p>
    <w:p>
      <w:r>
        <w:rPr>
          <w:rFonts w:ascii="Figtree" w:hAnsi="Figtree"/>
          <w:b w:val="0"/>
          <w:i w:val="0"/>
          <w:sz w:val="22"/>
        </w:rPr>
        <w:t>The platform licensing provides access to DALP software with all capabilities required for sandbox operations: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55"/>
        <w:gridCol w:w="3944"/>
        <w:gridCol w:w="19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w:t>
            </w:r>
          </w:p>
        </w:tc>
      </w:tr>
      <w:tr>
        <w:trPr>
          <w:trHeight w:val="425" w:hRule="atLeast"/>
        </w:trPr>
        <w:tc>
          <w:tcPr>
            <w:tcW w:type="dxa" w:w="3249"/>
            <w:vAlign w:val="center"/>
          </w:tcPr>
          <w:p>
            <w:pPr>
              <w:spacing w:line="276" w:lineRule="auto" w:before="0" w:after="0"/>
            </w:pPr>
            <w:r/>
            <w:r>
              <w:rPr>
                <w:rFonts w:ascii="Figtree" w:hAnsi="Figtree"/>
                <w:b w:val="0"/>
                <w:i w:val="0"/>
                <w:sz w:val="20"/>
              </w:rPr>
              <w:t>DALP Platform</w:t>
            </w:r>
          </w:p>
        </w:tc>
        <w:tc>
          <w:tcPr>
            <w:tcW w:type="dxa" w:w="3249"/>
            <w:vAlign w:val="center"/>
          </w:tcPr>
          <w:p>
            <w:pPr>
              <w:spacing w:line="276" w:lineRule="auto" w:before="0" w:after="0"/>
            </w:pPr>
            <w:r/>
            <w:r>
              <w:rPr>
                <w:rFonts w:ascii="Figtree" w:hAnsi="Figtree"/>
                <w:b w:val="0"/>
                <w:i w:val="0"/>
                <w:sz w:val="20"/>
              </w:rPr>
              <w:t>Full platform access</w:t>
            </w:r>
          </w:p>
        </w:tc>
        <w:tc>
          <w:tcPr>
            <w:tcW w:type="dxa" w:w="3249"/>
            <w:vAlign w:val="center"/>
          </w:tcPr>
          <w:p>
            <w:pPr>
              <w:spacing w:line="276" w:lineRule="auto" w:before="0" w:after="0"/>
            </w:pPr>
            <w:r/>
            <w:r>
              <w:rPr>
                <w:rFonts w:ascii="Figtree" w:hAnsi="Figtree"/>
                <w:b w:val="0"/>
                <w:i w:val="0"/>
                <w:sz w:val="20"/>
              </w:rPr>
              <w:t>150,000 EUR</w:t>
            </w:r>
          </w:p>
        </w:tc>
      </w:tr>
      <w:tr>
        <w:trPr>
          <w:trHeight w:val="425" w:hRule="atLeast"/>
        </w:trPr>
        <w:tc>
          <w:tcPr>
            <w:tcW w:type="dxa" w:w="3249"/>
            <w:vAlign w:val="center"/>
          </w:tcPr>
          <w:p>
            <w:pPr>
              <w:spacing w:line="276" w:lineRule="auto" w:before="0" w:after="0"/>
            </w:pPr>
            <w:r/>
            <w:r>
              <w:rPr>
                <w:rFonts w:ascii="Figtree" w:hAnsi="Figtree"/>
                <w:b w:val="0"/>
                <w:i w:val="0"/>
                <w:sz w:val="20"/>
              </w:rPr>
              <w:t>Compliance Templates</w:t>
            </w:r>
          </w:p>
        </w:tc>
        <w:tc>
          <w:tcPr>
            <w:tcW w:type="dxa" w:w="3249"/>
            <w:vAlign w:val="center"/>
          </w:tcPr>
          <w:p>
            <w:pPr>
              <w:spacing w:line="276" w:lineRule="auto" w:before="0" w:after="0"/>
            </w:pPr>
            <w:r/>
            <w:r>
              <w:rPr>
                <w:rFonts w:ascii="Figtree" w:hAnsi="Figtree"/>
                <w:b w:val="0"/>
                <w:i w:val="0"/>
                <w:sz w:val="20"/>
              </w:rPr>
              <w:t>Pre-built regulatory templates</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API Access</w:t>
            </w:r>
          </w:p>
        </w:tc>
        <w:tc>
          <w:tcPr>
            <w:tcW w:type="dxa" w:w="3249"/>
            <w:vAlign w:val="center"/>
          </w:tcPr>
          <w:p>
            <w:pPr>
              <w:spacing w:line="276" w:lineRule="auto" w:before="0" w:after="0"/>
            </w:pPr>
            <w:r/>
            <w:r>
              <w:rPr>
                <w:rFonts w:ascii="Figtree" w:hAnsi="Figtree"/>
                <w:b w:val="0"/>
                <w:i w:val="0"/>
                <w:sz w:val="20"/>
              </w:rPr>
              <w:t>REST API and SDK</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Support</w:t>
            </w:r>
          </w:p>
        </w:tc>
        <w:tc>
          <w:tcPr>
            <w:tcW w:type="dxa" w:w="3249"/>
            <w:vAlign w:val="center"/>
          </w:tcPr>
          <w:p>
            <w:pPr>
              <w:spacing w:line="276" w:lineRule="auto" w:before="0" w:after="0"/>
            </w:pPr>
            <w:r/>
            <w:r>
              <w:rPr>
                <w:rFonts w:ascii="Figtree" w:hAnsi="Figtree"/>
                <w:b w:val="0"/>
                <w:i w:val="0"/>
                <w:sz w:val="20"/>
              </w:rPr>
              <w:t>Standard support package</w:t>
            </w:r>
          </w:p>
        </w:tc>
        <w:tc>
          <w:tcPr>
            <w:tcW w:type="dxa" w:w="3249"/>
            <w:vAlign w:val="center"/>
          </w:tcPr>
          <w:p>
            <w:pPr>
              <w:spacing w:line="276" w:lineRule="auto" w:before="0" w:after="0"/>
            </w:pPr>
            <w:r/>
            <w:r>
              <w:rPr>
                <w:rFonts w:ascii="Figtree" w:hAnsi="Figtree"/>
                <w:b w:val="0"/>
                <w:i w:val="0"/>
                <w:sz w:val="20"/>
              </w:rPr>
              <w:t>30,000 EUR</w:t>
            </w:r>
          </w:p>
        </w:tc>
      </w:tr>
      <w:tr>
        <w:trPr>
          <w:trHeight w:val="425" w:hRule="atLeast"/>
        </w:trPr>
        <w:tc>
          <w:tcPr>
            <w:tcW w:type="dxa" w:w="3249"/>
            <w:vAlign w:val="center"/>
          </w:tcPr>
          <w:p>
            <w:pPr>
              <w:spacing w:line="276" w:lineRule="auto" w:before="0" w:after="0"/>
            </w:pPr>
            <w:r/>
            <w:r>
              <w:rPr>
                <w:rFonts w:ascii="Figtree" w:hAnsi="Figtree"/>
                <w:b/>
                <w:i w:val="0"/>
                <w:sz w:val="20"/>
              </w:rPr>
              <w:t>Total Annual License</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180,000 EUR</w:t>
            </w:r>
          </w:p>
        </w:tc>
      </w:tr>
    </w:tbl>
    <w:p>
      <w:pPr>
        <w:spacing w:before="0" w:after="0" w:line="120" w:lineRule="exact"/>
      </w:pPr>
    </w:p>
    <w:p>
      <w:r>
        <w:rPr>
          <w:rFonts w:ascii="Figtree" w:hAnsi="Figtree"/>
          <w:b w:val="0"/>
          <w:i w:val="0"/>
          <w:sz w:val="22"/>
        </w:rPr>
        <w:t>The license includes:</w:t>
      </w:r>
    </w:p>
    <w:p>
      <w:pPr>
        <w:pStyle w:val="ListParagraph"/>
        <w:numPr>
          <w:ilvl w:val="0"/>
          <w:numId w:val="4"/>
        </w:numPr>
      </w:pPr>
      <w:r>
        <w:rPr>
          <w:rFonts w:ascii="Figtree" w:hAnsi="Figtree"/>
          <w:b w:val="0"/>
          <w:i w:val="0"/>
          <w:sz w:val="22"/>
        </w:rPr>
        <w:t>All platform capabilities (asset lifecycle, compliance, settlement, identity)</w:t>
      </w:r>
    </w:p>
    <w:p>
      <w:pPr>
        <w:pStyle w:val="ListParagraph"/>
        <w:numPr>
          <w:ilvl w:val="0"/>
          <w:numId w:val="4"/>
        </w:numPr>
      </w:pPr>
      <w:r>
        <w:rPr>
          <w:rFonts w:ascii="Figtree" w:hAnsi="Figtree"/>
          <w:b w:val="0"/>
          <w:i w:val="0"/>
          <w:sz w:val="22"/>
        </w:rPr>
        <w:t>Pre-built compliance templates (MiCA, MAS, FCA, SEC, Japan FSA)</w:t>
      </w:r>
    </w:p>
    <w:p>
      <w:pPr>
        <w:pStyle w:val="ListParagraph"/>
        <w:numPr>
          <w:ilvl w:val="0"/>
          <w:numId w:val="4"/>
        </w:numPr>
      </w:pPr>
      <w:r>
        <w:rPr>
          <w:rFonts w:ascii="Figtree" w:hAnsi="Figtree"/>
          <w:b w:val="0"/>
          <w:i w:val="0"/>
          <w:sz w:val="22"/>
        </w:rPr>
        <w:t>Standard support (business hours, 8-hour response)</w:t>
      </w:r>
    </w:p>
    <w:p>
      <w:pPr>
        <w:pStyle w:val="ListParagraph"/>
        <w:numPr>
          <w:ilvl w:val="0"/>
          <w:numId w:val="4"/>
        </w:numPr>
      </w:pPr>
      <w:r>
        <w:rPr>
          <w:rFonts w:ascii="Figtree" w:hAnsi="Figtree"/>
          <w:b w:val="0"/>
          <w:i w:val="0"/>
          <w:sz w:val="22"/>
        </w:rPr>
        <w:t>Platform updates and security patches</w:t>
      </w:r>
    </w:p>
    <w:p>
      <w:pPr>
        <w:pStyle w:val="ListParagraph"/>
        <w:numPr>
          <w:ilvl w:val="0"/>
          <w:numId w:val="4"/>
        </w:numPr>
      </w:pPr>
      <w:r>
        <w:rPr>
          <w:rFonts w:ascii="Figtree" w:hAnsi="Figtree"/>
          <w:b w:val="0"/>
          <w:i w:val="0"/>
          <w:sz w:val="22"/>
        </w:rPr>
        <w:t>Documentation access</w:t>
      </w:r>
    </w:p>
    <w:p>
      <w:pPr>
        <w:pStyle w:val="H2"/>
        <w:numPr>
          <w:ilvl w:val="1"/>
          <w:numId w:val="1"/>
        </w:numPr>
      </w:pPr>
      <w:r>
        <w:t>3.2 License Inclusions</w:t>
      </w:r>
    </w:p>
    <w:p>
      <w:r>
        <w:rPr>
          <w:rFonts w:ascii="Figtree" w:hAnsi="Figtree"/>
          <w:b w:val="0"/>
          <w:i w:val="0"/>
          <w:sz w:val="22"/>
        </w:rPr>
        <w:t>The platform license provides comprehensive access to DALP capabilities: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18"/>
        <w:gridCol w:w="685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Asset Classes</w:t>
            </w:r>
          </w:p>
        </w:tc>
        <w:tc>
          <w:tcPr>
            <w:tcW w:type="dxa" w:w="4873"/>
            <w:vAlign w:val="center"/>
          </w:tcPr>
          <w:p>
            <w:pPr>
              <w:spacing w:line="276" w:lineRule="auto" w:before="0" w:after="0"/>
            </w:pPr>
            <w:r/>
            <w:r>
              <w:rPr>
                <w:rFonts w:ascii="Figtree" w:hAnsi="Figtree"/>
                <w:b w:val="0"/>
                <w:i w:val="0"/>
                <w:sz w:val="20"/>
              </w:rPr>
              <w:t>All 7 (bonds, equities, funds, deposits, stablecoins, real estate, precious metals)</w:t>
            </w:r>
          </w:p>
        </w:tc>
      </w:tr>
      <w:tr>
        <w:trPr>
          <w:trHeight w:val="425" w:hRule="atLeast"/>
        </w:trPr>
        <w:tc>
          <w:tcPr>
            <w:tcW w:type="dxa" w:w="4873"/>
            <w:vAlign w:val="center"/>
          </w:tcPr>
          <w:p>
            <w:pPr>
              <w:spacing w:line="276" w:lineRule="auto" w:before="0" w:after="0"/>
            </w:pPr>
            <w:r/>
            <w:r>
              <w:rPr>
                <w:rFonts w:ascii="Figtree" w:hAnsi="Figtree"/>
                <w:b w:val="0"/>
                <w:i w:val="0"/>
                <w:sz w:val="20"/>
              </w:rPr>
              <w:t>Compliance Controls</w:t>
            </w:r>
          </w:p>
        </w:tc>
        <w:tc>
          <w:tcPr>
            <w:tcW w:type="dxa" w:w="4873"/>
            <w:vAlign w:val="center"/>
          </w:tcPr>
          <w:p>
            <w:pPr>
              <w:spacing w:line="276" w:lineRule="auto" w:before="0" w:after="0"/>
            </w:pPr>
            <w:r/>
            <w:r>
              <w:rPr>
                <w:rFonts w:ascii="Figtree" w:hAnsi="Figtree"/>
                <w:b w:val="0"/>
                <w:i w:val="0"/>
                <w:sz w:val="20"/>
              </w:rPr>
              <w:t>All 12 configurable controls</w:t>
            </w:r>
          </w:p>
        </w:tc>
      </w:tr>
      <w:tr>
        <w:trPr>
          <w:trHeight w:val="425" w:hRule="atLeast"/>
        </w:trPr>
        <w:tc>
          <w:tcPr>
            <w:tcW w:type="dxa" w:w="4873"/>
            <w:vAlign w:val="center"/>
          </w:tcPr>
          <w:p>
            <w:pPr>
              <w:spacing w:line="276" w:lineRule="auto" w:before="0" w:after="0"/>
            </w:pPr>
            <w:r/>
            <w:r>
              <w:rPr>
                <w:rFonts w:ascii="Figtree" w:hAnsi="Figtree"/>
                <w:b w:val="0"/>
                <w:i w:val="0"/>
                <w:sz w:val="20"/>
              </w:rPr>
              <w:t>Regulatory Templates</w:t>
            </w:r>
          </w:p>
        </w:tc>
        <w:tc>
          <w:tcPr>
            <w:tcW w:type="dxa" w:w="4873"/>
            <w:vAlign w:val="center"/>
          </w:tcPr>
          <w:p>
            <w:pPr>
              <w:spacing w:line="276" w:lineRule="auto" w:before="0" w:after="0"/>
            </w:pPr>
            <w:r/>
            <w:r>
              <w:rPr>
                <w:rFonts w:ascii="Figtree" w:hAnsi="Figtree"/>
                <w:b w:val="0"/>
                <w:i w:val="0"/>
                <w:sz w:val="20"/>
              </w:rPr>
              <w:t>All pre-built templates</w:t>
            </w:r>
          </w:p>
        </w:tc>
      </w:tr>
      <w:tr>
        <w:trPr>
          <w:trHeight w:val="425" w:hRule="atLeast"/>
        </w:trPr>
        <w:tc>
          <w:tcPr>
            <w:tcW w:type="dxa" w:w="4873"/>
            <w:vAlign w:val="center"/>
          </w:tcPr>
          <w:p>
            <w:pPr>
              <w:spacing w:line="276" w:lineRule="auto" w:before="0" w:after="0"/>
            </w:pPr>
            <w:r/>
            <w:r>
              <w:rPr>
                <w:rFonts w:ascii="Figtree" w:hAnsi="Figtree"/>
                <w:b w:val="0"/>
                <w:i w:val="0"/>
                <w:sz w:val="20"/>
              </w:rPr>
              <w:t>User Seats</w:t>
            </w:r>
          </w:p>
        </w:tc>
        <w:tc>
          <w:tcPr>
            <w:tcW w:type="dxa" w:w="4873"/>
            <w:vAlign w:val="center"/>
          </w:tcPr>
          <w:p>
            <w:pPr>
              <w:spacing w:line="276" w:lineRule="auto" w:before="0" w:after="0"/>
            </w:pPr>
            <w:r/>
            <w:r>
              <w:rPr>
                <w:rFonts w:ascii="Figtree" w:hAnsi="Figtree"/>
                <w:b w:val="0"/>
                <w:i w:val="0"/>
                <w:sz w:val="20"/>
              </w:rPr>
              <w:t>Unlimited for sandbox operators</w:t>
            </w:r>
          </w:p>
        </w:tc>
      </w:tr>
      <w:tr>
        <w:trPr>
          <w:trHeight w:val="425" w:hRule="atLeast"/>
        </w:trPr>
        <w:tc>
          <w:tcPr>
            <w:tcW w:type="dxa" w:w="4873"/>
            <w:vAlign w:val="center"/>
          </w:tcPr>
          <w:p>
            <w:pPr>
              <w:spacing w:line="276" w:lineRule="auto" w:before="0" w:after="0"/>
            </w:pPr>
            <w:r/>
            <w:r>
              <w:rPr>
                <w:rFonts w:ascii="Figtree" w:hAnsi="Figtree"/>
                <w:b w:val="0"/>
                <w:i w:val="0"/>
                <w:sz w:val="20"/>
              </w:rPr>
              <w:t>API Calls</w:t>
            </w:r>
          </w:p>
        </w:tc>
        <w:tc>
          <w:tcPr>
            <w:tcW w:type="dxa" w:w="4873"/>
            <w:vAlign w:val="center"/>
          </w:tcPr>
          <w:p>
            <w:pPr>
              <w:spacing w:line="276" w:lineRule="auto" w:before="0" w:after="0"/>
            </w:pPr>
            <w:r/>
            <w:r>
              <w:rPr>
                <w:rFonts w:ascii="Figtree" w:hAnsi="Figtree"/>
                <w:b w:val="0"/>
                <w:i w:val="0"/>
                <w:sz w:val="20"/>
              </w:rPr>
              <w:t>10,000 requests per minute</w:t>
            </w:r>
          </w:p>
        </w:tc>
      </w:tr>
      <w:tr>
        <w:trPr>
          <w:trHeight w:val="425" w:hRule="atLeast"/>
        </w:trPr>
        <w:tc>
          <w:tcPr>
            <w:tcW w:type="dxa" w:w="4873"/>
            <w:vAlign w:val="center"/>
          </w:tcPr>
          <w:p>
            <w:pPr>
              <w:spacing w:line="276" w:lineRule="auto" w:before="0" w:after="0"/>
            </w:pPr>
            <w:r/>
            <w:r>
              <w:rPr>
                <w:rFonts w:ascii="Figtree" w:hAnsi="Figtree"/>
                <w:b w:val="0"/>
                <w:i w:val="0"/>
                <w:sz w:val="20"/>
              </w:rPr>
              <w:t>Participants</w:t>
            </w:r>
          </w:p>
        </w:tc>
        <w:tc>
          <w:tcPr>
            <w:tcW w:type="dxa" w:w="4873"/>
            <w:vAlign w:val="center"/>
          </w:tcPr>
          <w:p>
            <w:pPr>
              <w:spacing w:line="276" w:lineRule="auto" w:before="0" w:after="0"/>
            </w:pPr>
            <w:r/>
            <w:r>
              <w:rPr>
                <w:rFonts w:ascii="Figtree" w:hAnsi="Figtree"/>
                <w:b w:val="0"/>
                <w:i w:val="0"/>
                <w:sz w:val="20"/>
              </w:rPr>
              <w:t>Up to 50 sandbox participants</w:t>
            </w:r>
          </w:p>
        </w:tc>
      </w:tr>
    </w:tbl>
    <w:p>
      <w:pPr>
        <w:spacing w:before="0" w:after="0" w:line="120" w:lineRule="exact"/>
      </w:pPr>
    </w:p>
    <w:p>
      <w:pPr>
        <w:pStyle w:val="H2"/>
        <w:numPr>
          <w:ilvl w:val="1"/>
          <w:numId w:val="1"/>
        </w:numPr>
      </w:pPr>
      <w:r>
        <w:t>3.3 Expansion Options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84"/>
        <w:gridCol w:w="3888"/>
        <w:gridCol w:w="270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Add-on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Additional Annual Fee</w:t>
            </w:r>
          </w:p>
        </w:tc>
      </w:tr>
      <w:tr>
        <w:trPr>
          <w:trHeight w:val="425" w:hRule="atLeast"/>
        </w:trPr>
        <w:tc>
          <w:tcPr>
            <w:tcW w:type="dxa" w:w="3249"/>
            <w:vAlign w:val="center"/>
          </w:tcPr>
          <w:p>
            <w:pPr>
              <w:spacing w:line="276" w:lineRule="auto" w:before="0" w:after="0"/>
            </w:pPr>
            <w:r/>
            <w:r>
              <w:rPr>
                <w:rFonts w:ascii="Figtree" w:hAnsi="Figtree"/>
                <w:b w:val="0"/>
                <w:i w:val="0"/>
                <w:sz w:val="20"/>
              </w:rPr>
              <w:t>Additional Participants</w:t>
            </w:r>
          </w:p>
        </w:tc>
        <w:tc>
          <w:tcPr>
            <w:tcW w:type="dxa" w:w="3249"/>
            <w:vAlign w:val="center"/>
          </w:tcPr>
          <w:p>
            <w:pPr>
              <w:spacing w:line="276" w:lineRule="auto" w:before="0" w:after="0"/>
            </w:pPr>
            <w:r/>
            <w:r>
              <w:rPr>
                <w:rFonts w:ascii="Figtree" w:hAnsi="Figtree"/>
                <w:b w:val="0"/>
                <w:i w:val="0"/>
                <w:sz w:val="20"/>
              </w:rPr>
              <w:t>Above 50 participants</w:t>
            </w:r>
          </w:p>
        </w:tc>
        <w:tc>
          <w:tcPr>
            <w:tcW w:type="dxa" w:w="3249"/>
            <w:vAlign w:val="center"/>
          </w:tcPr>
          <w:p>
            <w:pPr>
              <w:spacing w:line="276" w:lineRule="auto" w:before="0" w:after="0"/>
            </w:pPr>
            <w:r/>
            <w:r>
              <w:rPr>
                <w:rFonts w:ascii="Figtree" w:hAnsi="Figtree"/>
                <w:b w:val="0"/>
                <w:i w:val="0"/>
                <w:sz w:val="20"/>
              </w:rPr>
              <w:t>2,000 EUR per participant</w:t>
            </w:r>
          </w:p>
        </w:tc>
      </w:tr>
      <w:tr>
        <w:trPr>
          <w:trHeight w:val="425" w:hRule="atLeast"/>
        </w:trPr>
        <w:tc>
          <w:tcPr>
            <w:tcW w:type="dxa" w:w="3249"/>
            <w:vAlign w:val="center"/>
          </w:tcPr>
          <w:p>
            <w:pPr>
              <w:spacing w:line="276" w:lineRule="auto" w:before="0" w:after="0"/>
            </w:pPr>
            <w:r/>
            <w:r>
              <w:rPr>
                <w:rFonts w:ascii="Figtree" w:hAnsi="Figtree"/>
                <w:b w:val="0"/>
                <w:i w:val="0"/>
                <w:sz w:val="20"/>
              </w:rPr>
              <w:t>Extended Support</w:t>
            </w:r>
          </w:p>
        </w:tc>
        <w:tc>
          <w:tcPr>
            <w:tcW w:type="dxa" w:w="3249"/>
            <w:vAlign w:val="center"/>
          </w:tcPr>
          <w:p>
            <w:pPr>
              <w:spacing w:line="276" w:lineRule="auto" w:before="0" w:after="0"/>
            </w:pPr>
            <w:r/>
            <w:r>
              <w:rPr>
                <w:rFonts w:ascii="Figtree" w:hAnsi="Figtree"/>
                <w:b w:val="0"/>
                <w:i w:val="0"/>
                <w:sz w:val="20"/>
              </w:rPr>
              <w:t>24x7 support with 1-hour response</w:t>
            </w:r>
          </w:p>
        </w:tc>
        <w:tc>
          <w:tcPr>
            <w:tcW w:type="dxa" w:w="3249"/>
            <w:vAlign w:val="center"/>
          </w:tcPr>
          <w:p>
            <w:pPr>
              <w:spacing w:line="276" w:lineRule="auto" w:before="0" w:after="0"/>
            </w:pPr>
            <w:r/>
            <w:r>
              <w:rPr>
                <w:rFonts w:ascii="Figtree" w:hAnsi="Figtree"/>
                <w:b w:val="0"/>
                <w:i w:val="0"/>
                <w:sz w:val="20"/>
              </w:rPr>
              <w:t>48,000 EUR</w:t>
            </w:r>
          </w:p>
        </w:tc>
      </w:tr>
      <w:tr>
        <w:trPr>
          <w:trHeight w:val="425" w:hRule="atLeast"/>
        </w:trPr>
        <w:tc>
          <w:tcPr>
            <w:tcW w:type="dxa" w:w="3249"/>
            <w:vAlign w:val="center"/>
          </w:tcPr>
          <w:p>
            <w:pPr>
              <w:spacing w:line="276" w:lineRule="auto" w:before="0" w:after="0"/>
            </w:pPr>
            <w:r/>
            <w:r>
              <w:rPr>
                <w:rFonts w:ascii="Figtree" w:hAnsi="Figtree"/>
                <w:b w:val="0"/>
                <w:i w:val="0"/>
                <w:sz w:val="20"/>
              </w:rPr>
              <w:t>Dedicated CSM</w:t>
            </w:r>
          </w:p>
        </w:tc>
        <w:tc>
          <w:tcPr>
            <w:tcW w:type="dxa" w:w="3249"/>
            <w:vAlign w:val="center"/>
          </w:tcPr>
          <w:p>
            <w:pPr>
              <w:spacing w:line="276" w:lineRule="auto" w:before="0" w:after="0"/>
            </w:pPr>
            <w:r/>
            <w:r>
              <w:rPr>
                <w:rFonts w:ascii="Figtree" w:hAnsi="Figtree"/>
                <w:b w:val="0"/>
                <w:i w:val="0"/>
                <w:sz w:val="20"/>
              </w:rPr>
              <w:t>Customer Success Manager</w:t>
            </w:r>
          </w:p>
        </w:tc>
        <w:tc>
          <w:tcPr>
            <w:tcW w:type="dxa" w:w="3249"/>
            <w:vAlign w:val="center"/>
          </w:tcPr>
          <w:p>
            <w:pPr>
              <w:spacing w:line="276" w:lineRule="auto" w:before="0" w:after="0"/>
            </w:pPr>
            <w:r/>
            <w:r>
              <w:rPr>
                <w:rFonts w:ascii="Figtree" w:hAnsi="Figtree"/>
                <w:b w:val="0"/>
                <w:i w:val="0"/>
                <w:sz w:val="20"/>
              </w:rPr>
              <w:t>24,000 EUR</w:t>
            </w:r>
          </w:p>
        </w:tc>
      </w:tr>
      <w:tr>
        <w:trPr>
          <w:trHeight w:val="425" w:hRule="atLeast"/>
        </w:trPr>
        <w:tc>
          <w:tcPr>
            <w:tcW w:type="dxa" w:w="3249"/>
            <w:vAlign w:val="center"/>
          </w:tcPr>
          <w:p>
            <w:pPr>
              <w:spacing w:line="276" w:lineRule="auto" w:before="0" w:after="0"/>
            </w:pPr>
            <w:r/>
            <w:r>
              <w:rPr>
                <w:rFonts w:ascii="Figtree" w:hAnsi="Figtree"/>
                <w:b w:val="0"/>
                <w:i w:val="0"/>
                <w:sz w:val="20"/>
              </w:rPr>
              <w:t>Custom Compliance</w:t>
            </w:r>
          </w:p>
        </w:tc>
        <w:tc>
          <w:tcPr>
            <w:tcW w:type="dxa" w:w="3249"/>
            <w:vAlign w:val="center"/>
          </w:tcPr>
          <w:p>
            <w:pPr>
              <w:spacing w:line="276" w:lineRule="auto" w:before="0" w:after="0"/>
            </w:pPr>
            <w:r/>
            <w:r>
              <w:rPr>
                <w:rFonts w:ascii="Figtree" w:hAnsi="Figtree"/>
                <w:b w:val="0"/>
                <w:i w:val="0"/>
                <w:sz w:val="20"/>
              </w:rPr>
              <w:t>DIFC-specific compliance development</w:t>
            </w:r>
          </w:p>
        </w:tc>
        <w:tc>
          <w:tcPr>
            <w:tcW w:type="dxa" w:w="3249"/>
            <w:vAlign w:val="center"/>
          </w:tcPr>
          <w:p>
            <w:pPr>
              <w:spacing w:line="276" w:lineRule="auto" w:before="0" w:after="0"/>
            </w:pPr>
            <w:r/>
            <w:r>
              <w:rPr>
                <w:rFonts w:ascii="Figtree" w:hAnsi="Figtree"/>
                <w:b w:val="0"/>
                <w:i w:val="0"/>
                <w:sz w:val="20"/>
              </w:rPr>
              <w:t>Time and materials</w:t>
            </w:r>
          </w:p>
        </w:tc>
      </w:tr>
    </w:tbl>
    <w:p>
      <w:pPr>
        <w:spacing w:before="0" w:after="0" w:line="120" w:lineRule="exact"/>
      </w:pPr>
    </w:p>
    <w:p>
      <w:r>
        <w:br w:type="page"/>
      </w:r>
    </w:p>
    <w:p>
      <w:pPr>
        <w:pStyle w:val="H1"/>
        <w:numPr>
          <w:ilvl w:val="0"/>
          <w:numId w:val="1"/>
        </w:numPr>
      </w:pPr>
      <w:r>
        <w:t>4. Implementation Costs</w:t>
      </w:r>
    </w:p>
    <w:p>
      <w:pPr>
        <w:pStyle w:val="H2"/>
        <w:numPr>
          <w:ilvl w:val="1"/>
          <w:numId w:val="1"/>
        </w:numPr>
      </w:pPr>
      <w:r>
        <w:t>4.1 Professional Services Scope</w:t>
      </w:r>
    </w:p>
    <w:p>
      <w:r>
        <w:rPr>
          <w:rFonts w:ascii="Figtree" w:hAnsi="Figtree"/>
          <w:b w:val="0"/>
          <w:i w:val="0"/>
          <w:sz w:val="22"/>
        </w:rPr>
        <w:t>The implementation cost covers all activities required to establish the sandbox platform: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41"/>
        <w:gridCol w:w="4097"/>
        <w:gridCol w:w="1170"/>
        <w:gridCol w:w="146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Activities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Cost</w:t>
            </w:r>
          </w:p>
        </w:tc>
      </w:tr>
      <w:tr>
        <w:trPr>
          <w:trHeight w:val="425" w:hRule="atLeast"/>
        </w:trPr>
        <w:tc>
          <w:tcPr>
            <w:tcW w:type="dxa" w:w="2436"/>
            <w:vAlign w:val="center"/>
          </w:tcPr>
          <w:p>
            <w:pPr>
              <w:spacing w:line="276" w:lineRule="auto" w:before="0" w:after="0"/>
            </w:pPr>
            <w:r/>
            <w:r>
              <w:rPr>
                <w:rFonts w:ascii="Figtree" w:hAnsi="Figtree"/>
                <w:b w:val="0"/>
                <w:i w:val="0"/>
                <w:sz w:val="20"/>
              </w:rPr>
              <w:t>Discovery</w:t>
            </w:r>
          </w:p>
        </w:tc>
        <w:tc>
          <w:tcPr>
            <w:tcW w:type="dxa" w:w="2436"/>
            <w:vAlign w:val="center"/>
          </w:tcPr>
          <w:p>
            <w:pPr>
              <w:spacing w:line="276" w:lineRule="auto" w:before="0" w:after="0"/>
            </w:pPr>
            <w:r/>
            <w:r>
              <w:rPr>
                <w:rFonts w:ascii="Figtree" w:hAnsi="Figtree"/>
                <w:b w:val="0"/>
                <w:i w:val="0"/>
                <w:sz w:val="20"/>
              </w:rPr>
              <w:t>Requirements analysis, architecture design</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45,000 EUR</w:t>
            </w:r>
          </w:p>
        </w:tc>
      </w:tr>
      <w:tr>
        <w:trPr>
          <w:trHeight w:val="425" w:hRule="atLeast"/>
        </w:trPr>
        <w:tc>
          <w:tcPr>
            <w:tcW w:type="dxa" w:w="2436"/>
            <w:vAlign w:val="center"/>
          </w:tcPr>
          <w:p>
            <w:pPr>
              <w:spacing w:line="276" w:lineRule="auto" w:before="0" w:after="0"/>
            </w:pPr>
            <w:r/>
            <w:r>
              <w:rPr>
                <w:rFonts w:ascii="Figtree" w:hAnsi="Figtree"/>
                <w:b w:val="0"/>
                <w:i w:val="0"/>
                <w:sz w:val="20"/>
              </w:rPr>
              <w:t>Foundation</w:t>
            </w:r>
          </w:p>
        </w:tc>
        <w:tc>
          <w:tcPr>
            <w:tcW w:type="dxa" w:w="2436"/>
            <w:vAlign w:val="center"/>
          </w:tcPr>
          <w:p>
            <w:pPr>
              <w:spacing w:line="276" w:lineRule="auto" w:before="0" w:after="0"/>
            </w:pPr>
            <w:r/>
            <w:r>
              <w:rPr>
                <w:rFonts w:ascii="Figtree" w:hAnsi="Figtree"/>
                <w:b w:val="0"/>
                <w:i w:val="0"/>
                <w:sz w:val="20"/>
              </w:rPr>
              <w:t>Environment setup, network configuration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65,000 EUR</w:t>
            </w:r>
          </w:p>
        </w:tc>
      </w:tr>
      <w:tr>
        <w:trPr>
          <w:trHeight w:val="425" w:hRule="atLeast"/>
        </w:trPr>
        <w:tc>
          <w:tcPr>
            <w:tcW w:type="dxa" w:w="2436"/>
            <w:vAlign w:val="center"/>
          </w:tcPr>
          <w:p>
            <w:pPr>
              <w:spacing w:line="276" w:lineRule="auto" w:before="0" w:after="0"/>
            </w:pPr>
            <w:r/>
            <w:r>
              <w:rPr>
                <w:rFonts w:ascii="Figtree" w:hAnsi="Figtree"/>
                <w:b w:val="0"/>
                <w:i w:val="0"/>
                <w:sz w:val="20"/>
              </w:rPr>
              <w:t>Configuration</w:t>
            </w:r>
          </w:p>
        </w:tc>
        <w:tc>
          <w:tcPr>
            <w:tcW w:type="dxa" w:w="2436"/>
            <w:vAlign w:val="center"/>
          </w:tcPr>
          <w:p>
            <w:pPr>
              <w:spacing w:line="276" w:lineRule="auto" w:before="0" w:after="0"/>
            </w:pPr>
            <w:r/>
            <w:r>
              <w:rPr>
                <w:rFonts w:ascii="Figtree" w:hAnsi="Figtree"/>
                <w:b w:val="0"/>
                <w:i w:val="0"/>
                <w:sz w:val="20"/>
              </w:rPr>
              <w:t>Platform configuration, compliance setup</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85,000 EUR</w:t>
            </w:r>
          </w:p>
        </w:tc>
      </w:tr>
      <w:tr>
        <w:trPr>
          <w:trHeight w:val="425" w:hRule="atLeast"/>
        </w:trPr>
        <w:tc>
          <w:tcPr>
            <w:tcW w:type="dxa" w:w="2436"/>
            <w:vAlign w:val="center"/>
          </w:tcPr>
          <w:p>
            <w:pPr>
              <w:spacing w:line="276" w:lineRule="auto" w:before="0" w:after="0"/>
            </w:pPr>
            <w:r/>
            <w:r>
              <w:rPr>
                <w:rFonts w:ascii="Figtree" w:hAnsi="Figtree"/>
                <w:b w:val="0"/>
                <w:i w:val="0"/>
                <w:sz w:val="20"/>
              </w:rPr>
              <w:t>Integration</w:t>
            </w:r>
          </w:p>
        </w:tc>
        <w:tc>
          <w:tcPr>
            <w:tcW w:type="dxa" w:w="2436"/>
            <w:vAlign w:val="center"/>
          </w:tcPr>
          <w:p>
            <w:pPr>
              <w:spacing w:line="276" w:lineRule="auto" w:before="0" w:after="0"/>
            </w:pPr>
            <w:r/>
            <w:r>
              <w:rPr>
                <w:rFonts w:ascii="Figtree" w:hAnsi="Figtree"/>
                <w:b w:val="0"/>
                <w:i w:val="0"/>
                <w:sz w:val="20"/>
              </w:rPr>
              <w:t>System integration, testing</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95,000 EUR</w:t>
            </w:r>
          </w:p>
        </w:tc>
      </w:tr>
      <w:tr>
        <w:trPr>
          <w:trHeight w:val="425" w:hRule="atLeast"/>
        </w:trPr>
        <w:tc>
          <w:tcPr>
            <w:tcW w:type="dxa" w:w="2436"/>
            <w:vAlign w:val="center"/>
          </w:tcPr>
          <w:p>
            <w:pPr>
              <w:spacing w:line="276" w:lineRule="auto" w:before="0" w:after="0"/>
            </w:pPr>
            <w:r/>
            <w:r>
              <w:rPr>
                <w:rFonts w:ascii="Figtree" w:hAnsi="Figtree"/>
                <w:b w:val="0"/>
                <w:i w:val="0"/>
                <w:sz w:val="20"/>
              </w:rPr>
              <w:t>Deployment</w:t>
            </w:r>
          </w:p>
        </w:tc>
        <w:tc>
          <w:tcPr>
            <w:tcW w:type="dxa" w:w="2436"/>
            <w:vAlign w:val="center"/>
          </w:tcPr>
          <w:p>
            <w:pPr>
              <w:spacing w:line="276" w:lineRule="auto" w:before="0" w:after="0"/>
            </w:pPr>
            <w:r/>
            <w:r>
              <w:rPr>
                <w:rFonts w:ascii="Figtree" w:hAnsi="Figtree"/>
                <w:b w:val="0"/>
                <w:i w:val="0"/>
                <w:sz w:val="20"/>
              </w:rPr>
              <w:t>Go-live,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120,000 EUR</w:t>
            </w:r>
          </w:p>
        </w:tc>
      </w:tr>
      <w:tr>
        <w:trPr>
          <w:trHeight w:val="425" w:hRule="atLeast"/>
        </w:trPr>
        <w:tc>
          <w:tcPr>
            <w:tcW w:type="dxa" w:w="2436"/>
            <w:vAlign w:val="center"/>
          </w:tcPr>
          <w:p>
            <w:pPr>
              <w:spacing w:line="276" w:lineRule="auto" w:before="0" w:after="0"/>
            </w:pPr>
            <w:r/>
            <w:r>
              <w:rPr>
                <w:rFonts w:ascii="Figtree" w:hAnsi="Figtree"/>
                <w:b w:val="0"/>
                <w:i w:val="0"/>
                <w:sz w:val="20"/>
              </w:rPr>
              <w:t>Training</w:t>
            </w:r>
          </w:p>
        </w:tc>
        <w:tc>
          <w:tcPr>
            <w:tcW w:type="dxa" w:w="2436"/>
            <w:vAlign w:val="center"/>
          </w:tcPr>
          <w:p>
            <w:pPr>
              <w:spacing w:line="276" w:lineRule="auto" w:before="0" w:after="0"/>
            </w:pPr>
            <w:r/>
            <w:r>
              <w:rPr>
                <w:rFonts w:ascii="Figtree" w:hAnsi="Figtree"/>
                <w:b w:val="0"/>
                <w:i w:val="0"/>
                <w:sz w:val="20"/>
              </w:rPr>
              <w:t>Admin, operator, developer training</w:t>
            </w:r>
          </w:p>
        </w:tc>
        <w:tc>
          <w:tcPr>
            <w:tcW w:type="dxa" w:w="2436"/>
            <w:vAlign w:val="center"/>
          </w:tcPr>
          <w:p>
            <w:pPr>
              <w:spacing w:line="276" w:lineRule="auto" w:before="0" w:after="0"/>
            </w:pPr>
            <w:r/>
            <w:r>
              <w:rPr>
                <w:rFonts w:ascii="Figtree" w:hAnsi="Figtree"/>
                <w:b w:val="0"/>
                <w:i w:val="0"/>
                <w:sz w:val="20"/>
              </w:rPr>
              <w:t>1 week</w:t>
            </w:r>
          </w:p>
        </w:tc>
        <w:tc>
          <w:tcPr>
            <w:tcW w:type="dxa" w:w="2436"/>
            <w:vAlign w:val="center"/>
          </w:tcPr>
          <w:p>
            <w:pPr>
              <w:spacing w:line="276" w:lineRule="auto" w:before="0" w:after="0"/>
            </w:pPr>
            <w:r/>
            <w:r>
              <w:rPr>
                <w:rFonts w:ascii="Figtree" w:hAnsi="Figtree"/>
                <w:b w:val="0"/>
                <w:i w:val="0"/>
                <w:sz w:val="20"/>
              </w:rPr>
              <w:t>35,000 EUR</w:t>
            </w:r>
          </w:p>
        </w:tc>
      </w:tr>
      <w:tr>
        <w:trPr>
          <w:trHeight w:val="425" w:hRule="atLeast"/>
        </w:trPr>
        <w:tc>
          <w:tcPr>
            <w:tcW w:type="dxa" w:w="2436"/>
            <w:vAlign w:val="center"/>
          </w:tcPr>
          <w:p>
            <w:pPr>
              <w:spacing w:line="276" w:lineRule="auto" w:before="0" w:after="0"/>
            </w:pPr>
            <w:r/>
            <w:r>
              <w:rPr>
                <w:rFonts w:ascii="Figtree" w:hAnsi="Figtree"/>
                <w:b w:val="0"/>
                <w:i w:val="0"/>
                <w:sz w:val="20"/>
              </w:rPr>
              <w:t>Project Management</w:t>
            </w:r>
          </w:p>
        </w:tc>
        <w:tc>
          <w:tcPr>
            <w:tcW w:type="dxa" w:w="2436"/>
            <w:vAlign w:val="center"/>
          </w:tcPr>
          <w:p>
            <w:pPr>
              <w:spacing w:line="276" w:lineRule="auto" w:before="0" w:after="0"/>
            </w:pPr>
            <w:r/>
            <w:r>
              <w:rPr>
                <w:rFonts w:ascii="Figtree" w:hAnsi="Figtree"/>
                <w:b w:val="0"/>
                <w:i w:val="0"/>
                <w:sz w:val="20"/>
              </w:rPr>
              <w:t>PM, governance, reporting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40,000 EUR</w:t>
            </w:r>
          </w:p>
        </w:tc>
      </w:tr>
      <w:tr>
        <w:trPr>
          <w:trHeight w:val="425" w:hRule="atLeast"/>
        </w:trPr>
        <w:tc>
          <w:tcPr>
            <w:tcW w:type="dxa" w:w="2436"/>
            <w:vAlign w:val="center"/>
          </w:tcPr>
          <w:p>
            <w:pPr>
              <w:spacing w:line="276" w:lineRule="auto" w:before="0" w:after="0"/>
            </w:pPr>
            <w:r/>
            <w:r>
              <w:rPr>
                <w:rFonts w:ascii="Figtree" w:hAnsi="Figtree"/>
                <w:b/>
                <w:i w:val="0"/>
                <w:sz w:val="20"/>
              </w:rPr>
              <w:t>Total Implementation</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20 weeks</w:t>
            </w:r>
          </w:p>
        </w:tc>
        <w:tc>
          <w:tcPr>
            <w:tcW w:type="dxa" w:w="2436"/>
            <w:vAlign w:val="center"/>
          </w:tcPr>
          <w:p>
            <w:pPr>
              <w:spacing w:line="276" w:lineRule="auto" w:before="0" w:after="0"/>
            </w:pPr>
            <w:r/>
            <w:r>
              <w:rPr>
                <w:rFonts w:ascii="Figtree" w:hAnsi="Figtree"/>
                <w:b/>
                <w:i w:val="0"/>
                <w:sz w:val="20"/>
              </w:rPr>
              <w:t>485,000 EUR</w:t>
            </w:r>
          </w:p>
        </w:tc>
      </w:tr>
    </w:tbl>
    <w:p>
      <w:pPr>
        <w:spacing w:before="0" w:after="0" w:line="120" w:lineRule="exact"/>
      </w:pPr>
    </w:p>
    <w:p>
      <w:pPr>
        <w:pStyle w:val="H2"/>
        <w:numPr>
          <w:ilvl w:val="1"/>
          <w:numId w:val="1"/>
        </w:numPr>
      </w:pPr>
      <w:r>
        <w:t>4.2 Implementation Cost Breakdown</w:t>
      </w:r>
    </w:p>
    <w:p>
      <w:r>
        <w:rPr>
          <w:rFonts w:ascii="Figtree" w:hAnsi="Figtree"/>
          <w:b w:val="0"/>
          <w:i w:val="0"/>
          <w:sz w:val="22"/>
        </w:rPr>
        <w:t>The implementation includes:</w:t>
      </w:r>
    </w:p>
    <w:p>
      <w:pPr>
        <w:pStyle w:val="ListParagraph"/>
        <w:numPr>
          <w:ilvl w:val="0"/>
          <w:numId w:val="4"/>
        </w:numPr>
      </w:pPr>
      <w:r>
        <w:rPr>
          <w:rFonts w:ascii="Figtree" w:hAnsi="Figtree"/>
          <w:b w:val="0"/>
          <w:i w:val="0"/>
          <w:sz w:val="22"/>
        </w:rPr>
        <w:t>Project management and governance</w:t>
      </w:r>
    </w:p>
    <w:p>
      <w:pPr>
        <w:pStyle w:val="ListParagraph"/>
        <w:numPr>
          <w:ilvl w:val="0"/>
          <w:numId w:val="4"/>
        </w:numPr>
      </w:pPr>
      <w:r>
        <w:rPr>
          <w:rFonts w:ascii="Figtree" w:hAnsi="Figtree"/>
          <w:b w:val="0"/>
          <w:i w:val="0"/>
          <w:sz w:val="22"/>
        </w:rPr>
        <w:t>Solution architecture and design</w:t>
      </w:r>
    </w:p>
    <w:p>
      <w:pPr>
        <w:pStyle w:val="ListParagraph"/>
        <w:numPr>
          <w:ilvl w:val="0"/>
          <w:numId w:val="4"/>
        </w:numPr>
      </w:pPr>
      <w:r>
        <w:rPr>
          <w:rFonts w:ascii="Figtree" w:hAnsi="Figtree"/>
          <w:b w:val="0"/>
          <w:i w:val="0"/>
          <w:sz w:val="22"/>
        </w:rPr>
        <w:t>Platform deployment and configuration</w:t>
      </w:r>
    </w:p>
    <w:p>
      <w:pPr>
        <w:pStyle w:val="ListParagraph"/>
        <w:numPr>
          <w:ilvl w:val="0"/>
          <w:numId w:val="4"/>
        </w:numPr>
      </w:pPr>
      <w:r>
        <w:rPr>
          <w:rFonts w:ascii="Figtree" w:hAnsi="Figtree"/>
          <w:b w:val="0"/>
          <w:i w:val="0"/>
          <w:sz w:val="22"/>
        </w:rPr>
        <w:t>Compliance template setup for DIFC requirements</w:t>
      </w:r>
    </w:p>
    <w:p>
      <w:pPr>
        <w:pStyle w:val="ListParagraph"/>
        <w:numPr>
          <w:ilvl w:val="0"/>
          <w:numId w:val="4"/>
        </w:numPr>
      </w:pPr>
      <w:r>
        <w:rPr>
          <w:rFonts w:ascii="Figtree" w:hAnsi="Figtree"/>
          <w:b w:val="0"/>
          <w:i w:val="0"/>
          <w:sz w:val="22"/>
        </w:rPr>
        <w:t>Integration with DIFC systems (to be defined)</w:t>
      </w:r>
    </w:p>
    <w:p>
      <w:pPr>
        <w:pStyle w:val="ListParagraph"/>
        <w:numPr>
          <w:ilvl w:val="0"/>
          <w:numId w:val="4"/>
        </w:numPr>
      </w:pPr>
      <w:r>
        <w:rPr>
          <w:rFonts w:ascii="Figtree" w:hAnsi="Figtree"/>
          <w:b w:val="0"/>
          <w:i w:val="0"/>
          <w:sz w:val="22"/>
        </w:rPr>
        <w:t>User acceptance testing</w:t>
      </w:r>
    </w:p>
    <w:p>
      <w:pPr>
        <w:pStyle w:val="ListParagraph"/>
        <w:numPr>
          <w:ilvl w:val="0"/>
          <w:numId w:val="4"/>
        </w:numPr>
      </w:pPr>
      <w:r>
        <w:rPr>
          <w:rFonts w:ascii="Figtree" w:hAnsi="Figtree"/>
          <w:b w:val="0"/>
          <w:i w:val="0"/>
          <w:sz w:val="22"/>
        </w:rPr>
        <w:t>Training and knowledge transfer</w:t>
      </w:r>
    </w:p>
    <w:p>
      <w:pPr>
        <w:pStyle w:val="ListParagraph"/>
        <w:numPr>
          <w:ilvl w:val="0"/>
          <w:numId w:val="4"/>
        </w:numPr>
      </w:pPr>
      <w:r>
        <w:rPr>
          <w:rFonts w:ascii="Figtree" w:hAnsi="Figtree"/>
          <w:b w:val="0"/>
          <w:i w:val="0"/>
          <w:sz w:val="22"/>
        </w:rPr>
        <w:t>Go-live support (2 weeks)</w:t>
      </w:r>
    </w:p>
    <w:p>
      <w:pPr>
        <w:pStyle w:val="ListParagraph"/>
        <w:numPr>
          <w:ilvl w:val="0"/>
          <w:numId w:val="4"/>
        </w:numPr>
      </w:pPr>
      <w:r>
        <w:rPr>
          <w:rFonts w:ascii="Figtree" w:hAnsi="Figtree"/>
          <w:b w:val="0"/>
          <w:i w:val="0"/>
          <w:sz w:val="22"/>
        </w:rPr>
        <w:t>Hypercare support (4 weeks)</w:t>
      </w:r>
    </w:p>
    <w:p>
      <w:pPr>
        <w:pStyle w:val="H2"/>
        <w:numPr>
          <w:ilvl w:val="1"/>
          <w:numId w:val="1"/>
        </w:numPr>
      </w:pPr>
      <w:r>
        <w:t>4.3 Implementation Assumptions</w:t>
      </w:r>
    </w:p>
    <w:p>
      <w:r>
        <w:rPr>
          <w:rFonts w:ascii="Figtree" w:hAnsi="Figtree"/>
          <w:b w:val="0"/>
          <w:i w:val="0"/>
          <w:sz w:val="22"/>
        </w:rPr>
        <w:t>The implementation cost assumes:</w:t>
      </w:r>
    </w:p>
    <w:p>
      <w:pPr>
        <w:pStyle w:val="ListParagraph"/>
        <w:numPr>
          <w:ilvl w:val="0"/>
          <w:numId w:val="4"/>
        </w:numPr>
      </w:pPr>
      <w:r>
        <w:rPr>
          <w:rFonts w:ascii="Figtree" w:hAnsi="Figtree"/>
          <w:b w:val="0"/>
          <w:i w:val="0"/>
          <w:sz w:val="22"/>
        </w:rPr>
        <w:t>Standard scope with defined deliverables</w:t>
      </w:r>
    </w:p>
    <w:p>
      <w:pPr>
        <w:pStyle w:val="ListParagraph"/>
        <w:numPr>
          <w:ilvl w:val="0"/>
          <w:numId w:val="4"/>
        </w:numPr>
      </w:pPr>
      <w:r>
        <w:rPr>
          <w:rFonts w:ascii="Figtree" w:hAnsi="Figtree"/>
          <w:b w:val="0"/>
          <w:i w:val="0"/>
          <w:sz w:val="22"/>
        </w:rPr>
        <w:t>Collaborative approach with available DIFC stakeholders</w:t>
      </w:r>
    </w:p>
    <w:p>
      <w:pPr>
        <w:pStyle w:val="ListParagraph"/>
        <w:numPr>
          <w:ilvl w:val="0"/>
          <w:numId w:val="4"/>
        </w:numPr>
      </w:pPr>
      <w:r>
        <w:rPr>
          <w:rFonts w:ascii="Figtree" w:hAnsi="Figtree"/>
          <w:b w:val="0"/>
          <w:i w:val="0"/>
          <w:sz w:val="22"/>
        </w:rPr>
        <w:t>Stable requirements through discovery phase</w:t>
      </w:r>
    </w:p>
    <w:p>
      <w:pPr>
        <w:pStyle w:val="ListParagraph"/>
        <w:numPr>
          <w:ilvl w:val="0"/>
          <w:numId w:val="4"/>
        </w:numPr>
      </w:pPr>
      <w:r>
        <w:rPr>
          <w:rFonts w:ascii="Figtree" w:hAnsi="Figtree"/>
          <w:b w:val="0"/>
          <w:i w:val="0"/>
          <w:sz w:val="22"/>
        </w:rPr>
        <w:t>Standard integration complexity</w:t>
      </w:r>
    </w:p>
    <w:p>
      <w:pPr>
        <w:pStyle w:val="ListParagraph"/>
        <w:numPr>
          <w:ilvl w:val="0"/>
          <w:numId w:val="4"/>
        </w:numPr>
      </w:pPr>
      <w:r>
        <w:rPr>
          <w:rFonts w:ascii="Figtree" w:hAnsi="Figtree"/>
          <w:b w:val="0"/>
          <w:i w:val="0"/>
          <w:sz w:val="22"/>
        </w:rPr>
        <w:t>UAE-based deployment</w:t>
      </w:r>
    </w:p>
    <w:p>
      <w:pPr>
        <w:pStyle w:val="ListParagraph"/>
        <w:numPr>
          <w:ilvl w:val="0"/>
          <w:numId w:val="4"/>
        </w:numPr>
      </w:pPr>
      <w:r>
        <w:rPr>
          <w:rFonts w:ascii="Figtree" w:hAnsi="Figtree"/>
          <w:b w:val="0"/>
          <w:i w:val="0"/>
          <w:sz w:val="22"/>
        </w:rPr>
        <w:t>Remote and on-site delivery mix</w:t>
      </w:r>
    </w:p>
    <w:p>
      <w:r>
        <w:br w:type="page"/>
      </w:r>
    </w:p>
    <w:p>
      <w:pPr>
        <w:pStyle w:val="H1"/>
        <w:numPr>
          <w:ilvl w:val="0"/>
          <w:numId w:val="1"/>
        </w:numPr>
      </w:pPr>
      <w:r>
        <w:t>5. Ongoing Operational Costs</w:t>
      </w:r>
    </w:p>
    <w:p>
      <w:pPr>
        <w:pStyle w:val="H2"/>
        <w:numPr>
          <w:ilvl w:val="1"/>
          <w:numId w:val="1"/>
        </w:numPr>
      </w:pPr>
      <w:r>
        <w:t>5.1 Annual Operational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28"/>
        <w:gridCol w:w="1848"/>
        <w:gridCol w:w="1848"/>
        <w:gridCol w:w="184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r>
      <w:tr>
        <w:trPr>
          <w:trHeight w:val="425" w:hRule="atLeast"/>
        </w:trPr>
        <w:tc>
          <w:tcPr>
            <w:tcW w:type="dxa" w:w="2436"/>
            <w:vAlign w:val="center"/>
          </w:tcPr>
          <w:p>
            <w:pPr>
              <w:spacing w:line="276" w:lineRule="auto" w:before="0" w:after="0"/>
            </w:pPr>
            <w:r/>
            <w:r>
              <w:rPr>
                <w:rFonts w:ascii="Figtree" w:hAnsi="Figtree"/>
                <w:b w:val="0"/>
                <w:i w:val="0"/>
                <w:sz w:val="20"/>
              </w:rPr>
              <w:t>Platform License</w:t>
            </w:r>
          </w:p>
        </w:tc>
        <w:tc>
          <w:tcPr>
            <w:tcW w:type="dxa" w:w="2436"/>
            <w:vAlign w:val="center"/>
          </w:tcPr>
          <w:p>
            <w:pPr>
              <w:spacing w:line="276" w:lineRule="auto" w:before="0" w:after="0"/>
            </w:pPr>
            <w:r/>
            <w:r>
              <w:rPr>
                <w:rFonts w:ascii="Figtree" w:hAnsi="Figtree"/>
                <w:b w:val="0"/>
                <w:i w:val="0"/>
                <w:sz w:val="20"/>
              </w:rPr>
              <w:t>180,000</w:t>
            </w:r>
          </w:p>
        </w:tc>
        <w:tc>
          <w:tcPr>
            <w:tcW w:type="dxa" w:w="2436"/>
            <w:vAlign w:val="center"/>
          </w:tcPr>
          <w:p>
            <w:pPr>
              <w:spacing w:line="276" w:lineRule="auto" w:before="0" w:after="0"/>
            </w:pPr>
            <w:r/>
            <w:r>
              <w:rPr>
                <w:rFonts w:ascii="Figtree" w:hAnsi="Figtree"/>
                <w:b w:val="0"/>
                <w:i w:val="0"/>
                <w:sz w:val="20"/>
              </w:rPr>
              <w:t>180,000</w:t>
            </w:r>
          </w:p>
        </w:tc>
        <w:tc>
          <w:tcPr>
            <w:tcW w:type="dxa" w:w="2436"/>
            <w:vAlign w:val="center"/>
          </w:tcPr>
          <w:p>
            <w:pPr>
              <w:spacing w:line="276" w:lineRule="auto" w:before="0" w:after="0"/>
            </w:pPr>
            <w:r/>
            <w:r>
              <w:rPr>
                <w:rFonts w:ascii="Figtree" w:hAnsi="Figtree"/>
                <w:b w:val="0"/>
                <w:i w:val="0"/>
                <w:sz w:val="20"/>
              </w:rPr>
              <w:t>180,000</w:t>
            </w:r>
          </w:p>
        </w:tc>
      </w:tr>
      <w:tr>
        <w:trPr>
          <w:trHeight w:val="425" w:hRule="atLeast"/>
        </w:trPr>
        <w:tc>
          <w:tcPr>
            <w:tcW w:type="dxa" w:w="2436"/>
            <w:vAlign w:val="center"/>
          </w:tcPr>
          <w:p>
            <w:pPr>
              <w:spacing w:line="276" w:lineRule="auto" w:before="0" w:after="0"/>
            </w:pPr>
            <w:r/>
            <w:r>
              <w:rPr>
                <w:rFonts w:ascii="Figtree" w:hAnsi="Figtree"/>
                <w:b w:val="0"/>
                <w:i w:val="0"/>
                <w:sz w:val="20"/>
              </w:rPr>
              <w:t>Support &amp; Maintenance</w:t>
            </w:r>
          </w:p>
        </w:tc>
        <w:tc>
          <w:tcPr>
            <w:tcW w:type="dxa" w:w="2436"/>
            <w:vAlign w:val="center"/>
          </w:tcPr>
          <w:p>
            <w:pPr>
              <w:spacing w:line="276" w:lineRule="auto" w:before="0" w:after="0"/>
            </w:pPr>
            <w:r/>
            <w:r>
              <w:rPr>
                <w:rFonts w:ascii="Figtree" w:hAnsi="Figtree"/>
                <w:b w:val="0"/>
                <w:i w:val="0"/>
                <w:sz w:val="20"/>
              </w:rPr>
              <w:t>72,000</w:t>
            </w:r>
          </w:p>
        </w:tc>
        <w:tc>
          <w:tcPr>
            <w:tcW w:type="dxa" w:w="2436"/>
            <w:vAlign w:val="center"/>
          </w:tcPr>
          <w:p>
            <w:pPr>
              <w:spacing w:line="276" w:lineRule="auto" w:before="0" w:after="0"/>
            </w:pPr>
            <w:r/>
            <w:r>
              <w:rPr>
                <w:rFonts w:ascii="Figtree" w:hAnsi="Figtree"/>
                <w:b w:val="0"/>
                <w:i w:val="0"/>
                <w:sz w:val="20"/>
              </w:rPr>
              <w:t>72,000</w:t>
            </w:r>
          </w:p>
        </w:tc>
        <w:tc>
          <w:tcPr>
            <w:tcW w:type="dxa" w:w="2436"/>
            <w:vAlign w:val="center"/>
          </w:tcPr>
          <w:p>
            <w:pPr>
              <w:spacing w:line="276" w:lineRule="auto" w:before="0" w:after="0"/>
            </w:pPr>
            <w:r/>
            <w:r>
              <w:rPr>
                <w:rFonts w:ascii="Figtree" w:hAnsi="Figtree"/>
                <w:b w:val="0"/>
                <w:i w:val="0"/>
                <w:sz w:val="20"/>
              </w:rPr>
              <w:t>72,000</w:t>
            </w:r>
          </w:p>
        </w:tc>
      </w:tr>
      <w:tr>
        <w:trPr>
          <w:trHeight w:val="425" w:hRule="atLeast"/>
        </w:trPr>
        <w:tc>
          <w:tcPr>
            <w:tcW w:type="dxa" w:w="2436"/>
            <w:vAlign w:val="center"/>
          </w:tcPr>
          <w:p>
            <w:pPr>
              <w:spacing w:line="276" w:lineRule="auto" w:before="0" w:after="0"/>
            </w:pPr>
            <w:r/>
            <w:r>
              <w:rPr>
                <w:rFonts w:ascii="Figtree" w:hAnsi="Figtree"/>
                <w:b/>
                <w:i w:val="0"/>
                <w:sz w:val="20"/>
              </w:rPr>
              <w:t>Total Annual</w:t>
            </w:r>
          </w:p>
        </w:tc>
        <w:tc>
          <w:tcPr>
            <w:tcW w:type="dxa" w:w="2436"/>
            <w:vAlign w:val="center"/>
          </w:tcPr>
          <w:p>
            <w:pPr>
              <w:spacing w:line="276" w:lineRule="auto" w:before="0" w:after="0"/>
            </w:pPr>
            <w:r/>
            <w:r>
              <w:rPr>
                <w:rFonts w:ascii="Figtree" w:hAnsi="Figtree"/>
                <w:b/>
                <w:i w:val="0"/>
                <w:sz w:val="20"/>
              </w:rPr>
              <w:t>252,000</w:t>
            </w:r>
          </w:p>
        </w:tc>
        <w:tc>
          <w:tcPr>
            <w:tcW w:type="dxa" w:w="2436"/>
            <w:vAlign w:val="center"/>
          </w:tcPr>
          <w:p>
            <w:pPr>
              <w:spacing w:line="276" w:lineRule="auto" w:before="0" w:after="0"/>
            </w:pPr>
            <w:r/>
            <w:r>
              <w:rPr>
                <w:rFonts w:ascii="Figtree" w:hAnsi="Figtree"/>
                <w:b/>
                <w:i w:val="0"/>
                <w:sz w:val="20"/>
              </w:rPr>
              <w:t>252,000</w:t>
            </w:r>
          </w:p>
        </w:tc>
        <w:tc>
          <w:tcPr>
            <w:tcW w:type="dxa" w:w="2436"/>
            <w:vAlign w:val="center"/>
          </w:tcPr>
          <w:p>
            <w:pPr>
              <w:spacing w:line="276" w:lineRule="auto" w:before="0" w:after="0"/>
            </w:pPr>
            <w:r/>
            <w:r>
              <w:rPr>
                <w:rFonts w:ascii="Figtree" w:hAnsi="Figtree"/>
                <w:b/>
                <w:i w:val="0"/>
                <w:sz w:val="20"/>
              </w:rPr>
              <w:t>252,000</w:t>
            </w:r>
          </w:p>
        </w:tc>
      </w:tr>
    </w:tbl>
    <w:p>
      <w:pPr>
        <w:spacing w:before="0" w:after="0" w:line="120" w:lineRule="exact"/>
      </w:pPr>
    </w:p>
    <w:p>
      <w:pPr>
        <w:pStyle w:val="H2"/>
        <w:numPr>
          <w:ilvl w:val="1"/>
          <w:numId w:val="1"/>
        </w:numPr>
      </w:pPr>
      <w:r>
        <w:t>5.2 Support and Maintenance</w:t>
      </w:r>
    </w:p>
    <w:p>
      <w:r>
        <w:rPr>
          <w:rFonts w:ascii="Figtree" w:hAnsi="Figtree"/>
          <w:b w:val="0"/>
          <w:i w:val="0"/>
          <w:sz w:val="22"/>
        </w:rPr>
        <w:t>The support and maintenance component includes: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89"/>
        <w:gridCol w:w="558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Service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Software Updates</w:t>
            </w:r>
          </w:p>
        </w:tc>
        <w:tc>
          <w:tcPr>
            <w:tcW w:type="dxa" w:w="4873"/>
            <w:vAlign w:val="center"/>
          </w:tcPr>
          <w:p>
            <w:pPr>
              <w:spacing w:line="276" w:lineRule="auto" w:before="0" w:after="0"/>
            </w:pPr>
            <w:r/>
            <w:r>
              <w:rPr>
                <w:rFonts w:ascii="Figtree" w:hAnsi="Figtree"/>
                <w:b w:val="0"/>
                <w:i w:val="0"/>
                <w:sz w:val="20"/>
              </w:rPr>
              <w:t>Platform patches and security updates</w:t>
            </w:r>
          </w:p>
        </w:tc>
      </w:tr>
      <w:tr>
        <w:trPr>
          <w:trHeight w:val="425" w:hRule="atLeast"/>
        </w:trPr>
        <w:tc>
          <w:tcPr>
            <w:tcW w:type="dxa" w:w="4873"/>
            <w:vAlign w:val="center"/>
          </w:tcPr>
          <w:p>
            <w:pPr>
              <w:spacing w:line="276" w:lineRule="auto" w:before="0" w:after="0"/>
            </w:pPr>
            <w:r/>
            <w:r>
              <w:rPr>
                <w:rFonts w:ascii="Figtree" w:hAnsi="Figtree"/>
                <w:b w:val="0"/>
                <w:i w:val="0"/>
                <w:sz w:val="20"/>
              </w:rPr>
              <w:t>Bug Fixes</w:t>
            </w:r>
          </w:p>
        </w:tc>
        <w:tc>
          <w:tcPr>
            <w:tcW w:type="dxa" w:w="4873"/>
            <w:vAlign w:val="center"/>
          </w:tcPr>
          <w:p>
            <w:pPr>
              <w:spacing w:line="276" w:lineRule="auto" w:before="0" w:after="0"/>
            </w:pPr>
            <w:r/>
            <w:r>
              <w:rPr>
                <w:rFonts w:ascii="Figtree" w:hAnsi="Figtree"/>
                <w:b w:val="0"/>
                <w:i w:val="0"/>
                <w:sz w:val="20"/>
              </w:rPr>
              <w:t>Resolution of platform defects</w:t>
            </w:r>
          </w:p>
        </w:tc>
      </w:tr>
      <w:tr>
        <w:trPr>
          <w:trHeight w:val="425" w:hRule="atLeast"/>
        </w:trPr>
        <w:tc>
          <w:tcPr>
            <w:tcW w:type="dxa" w:w="4873"/>
            <w:vAlign w:val="center"/>
          </w:tcPr>
          <w:p>
            <w:pPr>
              <w:spacing w:line="276" w:lineRule="auto" w:before="0" w:after="0"/>
            </w:pPr>
            <w:r/>
            <w:r>
              <w:rPr>
                <w:rFonts w:ascii="Figtree" w:hAnsi="Figtree"/>
                <w:b w:val="0"/>
                <w:i w:val="0"/>
                <w:sz w:val="20"/>
              </w:rPr>
              <w:t>Technical Support</w:t>
            </w:r>
          </w:p>
        </w:tc>
        <w:tc>
          <w:tcPr>
            <w:tcW w:type="dxa" w:w="4873"/>
            <w:vAlign w:val="center"/>
          </w:tcPr>
          <w:p>
            <w:pPr>
              <w:spacing w:line="276" w:lineRule="auto" w:before="0" w:after="0"/>
            </w:pPr>
            <w:r/>
            <w:r>
              <w:rPr>
                <w:rFonts w:ascii="Figtree" w:hAnsi="Figtree"/>
                <w:b w:val="0"/>
                <w:i w:val="0"/>
                <w:sz w:val="20"/>
              </w:rPr>
              <w:t>8-hour response during business hours</w:t>
            </w:r>
          </w:p>
        </w:tc>
      </w:tr>
      <w:tr>
        <w:trPr>
          <w:trHeight w:val="425" w:hRule="atLeast"/>
        </w:trPr>
        <w:tc>
          <w:tcPr>
            <w:tcW w:type="dxa" w:w="4873"/>
            <w:vAlign w:val="center"/>
          </w:tcPr>
          <w:p>
            <w:pPr>
              <w:spacing w:line="276" w:lineRule="auto" w:before="0" w:after="0"/>
            </w:pPr>
            <w:r/>
            <w:r>
              <w:rPr>
                <w:rFonts w:ascii="Figtree" w:hAnsi="Figtree"/>
                <w:b w:val="0"/>
                <w:i w:val="0"/>
                <w:sz w:val="20"/>
              </w:rPr>
              <w:t>Access to Knowledge Base</w:t>
            </w:r>
          </w:p>
        </w:tc>
        <w:tc>
          <w:tcPr>
            <w:tcW w:type="dxa" w:w="4873"/>
            <w:vAlign w:val="center"/>
          </w:tcPr>
          <w:p>
            <w:pPr>
              <w:spacing w:line="276" w:lineRule="auto" w:before="0" w:after="0"/>
            </w:pPr>
            <w:r/>
            <w:r>
              <w:rPr>
                <w:rFonts w:ascii="Figtree" w:hAnsi="Figtree"/>
                <w:b w:val="0"/>
                <w:i w:val="0"/>
                <w:sz w:val="20"/>
              </w:rPr>
              <w:t>Documentation and troubleshooting guides</w:t>
            </w:r>
          </w:p>
        </w:tc>
      </w:tr>
    </w:tbl>
    <w:p>
      <w:pPr>
        <w:spacing w:before="0" w:after="0" w:line="120" w:lineRule="exact"/>
      </w:pPr>
    </w:p>
    <w:p>
      <w:pPr>
        <w:pStyle w:val="H2"/>
        <w:numPr>
          <w:ilvl w:val="1"/>
          <w:numId w:val="1"/>
        </w:numPr>
      </w:pPr>
      <w:r>
        <w:t>5.3 Optional Services</w:t>
      </w:r>
    </w:p>
    <w:p>
      <w:r>
        <w:rPr>
          <w:rFonts w:ascii="Figtree" w:hAnsi="Figtree"/>
          <w:b w:val="0"/>
          <w:i w:val="0"/>
          <w:sz w:val="22"/>
        </w:rPr>
        <w:t>Additional services available at standard rates: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84"/>
        <w:gridCol w:w="418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Service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Rate</w:t>
            </w:r>
          </w:p>
        </w:tc>
      </w:tr>
      <w:tr>
        <w:trPr>
          <w:trHeight w:val="425" w:hRule="atLeast"/>
        </w:trPr>
        <w:tc>
          <w:tcPr>
            <w:tcW w:type="dxa" w:w="4873"/>
            <w:vAlign w:val="center"/>
          </w:tcPr>
          <w:p>
            <w:pPr>
              <w:spacing w:line="276" w:lineRule="auto" w:before="0" w:after="0"/>
            </w:pPr>
            <w:r/>
            <w:r>
              <w:rPr>
                <w:rFonts w:ascii="Figtree" w:hAnsi="Figtree"/>
                <w:b w:val="0"/>
                <w:i w:val="0"/>
                <w:sz w:val="20"/>
              </w:rPr>
              <w:t>Additional Training</w:t>
            </w:r>
          </w:p>
        </w:tc>
        <w:tc>
          <w:tcPr>
            <w:tcW w:type="dxa" w:w="4873"/>
            <w:vAlign w:val="center"/>
          </w:tcPr>
          <w:p>
            <w:pPr>
              <w:spacing w:line="276" w:lineRule="auto" w:before="0" w:after="0"/>
            </w:pPr>
            <w:r/>
            <w:r>
              <w:rPr>
                <w:rFonts w:ascii="Figtree" w:hAnsi="Figtree"/>
                <w:b w:val="0"/>
                <w:i w:val="0"/>
                <w:sz w:val="20"/>
              </w:rPr>
              <w:t>3,500 EUR per day</w:t>
            </w:r>
          </w:p>
        </w:tc>
      </w:tr>
      <w:tr>
        <w:trPr>
          <w:trHeight w:val="425" w:hRule="atLeast"/>
        </w:trPr>
        <w:tc>
          <w:tcPr>
            <w:tcW w:type="dxa" w:w="4873"/>
            <w:vAlign w:val="center"/>
          </w:tcPr>
          <w:p>
            <w:pPr>
              <w:spacing w:line="276" w:lineRule="auto" w:before="0" w:after="0"/>
            </w:pPr>
            <w:r/>
            <w:r>
              <w:rPr>
                <w:rFonts w:ascii="Figtree" w:hAnsi="Figtree"/>
                <w:b w:val="0"/>
                <w:i w:val="0"/>
                <w:sz w:val="20"/>
              </w:rPr>
              <w:t>Custom Development</w:t>
            </w:r>
          </w:p>
        </w:tc>
        <w:tc>
          <w:tcPr>
            <w:tcW w:type="dxa" w:w="4873"/>
            <w:vAlign w:val="center"/>
          </w:tcPr>
          <w:p>
            <w:pPr>
              <w:spacing w:line="276" w:lineRule="auto" w:before="0" w:after="0"/>
            </w:pPr>
            <w:r/>
            <w:r>
              <w:rPr>
                <w:rFonts w:ascii="Figtree" w:hAnsi="Figtree"/>
                <w:b w:val="0"/>
                <w:i w:val="0"/>
                <w:sz w:val="20"/>
              </w:rPr>
              <w:t>1,800 EUR per person-day</w:t>
            </w:r>
          </w:p>
        </w:tc>
      </w:tr>
      <w:tr>
        <w:trPr>
          <w:trHeight w:val="425" w:hRule="atLeast"/>
        </w:trPr>
        <w:tc>
          <w:tcPr>
            <w:tcW w:type="dxa" w:w="4873"/>
            <w:vAlign w:val="center"/>
          </w:tcPr>
          <w:p>
            <w:pPr>
              <w:spacing w:line="276" w:lineRule="auto" w:before="0" w:after="0"/>
            </w:pPr>
            <w:r/>
            <w:r>
              <w:rPr>
                <w:rFonts w:ascii="Figtree" w:hAnsi="Figtree"/>
                <w:b w:val="0"/>
                <w:i w:val="0"/>
                <w:sz w:val="20"/>
              </w:rPr>
              <w:t>On-site Support</w:t>
            </w:r>
          </w:p>
        </w:tc>
        <w:tc>
          <w:tcPr>
            <w:tcW w:type="dxa" w:w="4873"/>
            <w:vAlign w:val="center"/>
          </w:tcPr>
          <w:p>
            <w:pPr>
              <w:spacing w:line="276" w:lineRule="auto" w:before="0" w:after="0"/>
            </w:pPr>
            <w:r/>
            <w:r>
              <w:rPr>
                <w:rFonts w:ascii="Figtree" w:hAnsi="Figtree"/>
                <w:b w:val="0"/>
                <w:i w:val="0"/>
                <w:sz w:val="20"/>
              </w:rPr>
              <w:t>2,200 EUR per person-day</w:t>
            </w:r>
          </w:p>
        </w:tc>
      </w:tr>
      <w:tr>
        <w:trPr>
          <w:trHeight w:val="425" w:hRule="atLeast"/>
        </w:trPr>
        <w:tc>
          <w:tcPr>
            <w:tcW w:type="dxa" w:w="4873"/>
            <w:vAlign w:val="center"/>
          </w:tcPr>
          <w:p>
            <w:pPr>
              <w:spacing w:line="276" w:lineRule="auto" w:before="0" w:after="0"/>
            </w:pPr>
            <w:r/>
            <w:r>
              <w:rPr>
                <w:rFonts w:ascii="Figtree" w:hAnsi="Figtree"/>
                <w:b w:val="0"/>
                <w:i w:val="0"/>
                <w:sz w:val="20"/>
              </w:rPr>
              <w:t>Dedicated Engineer (monthly)</w:t>
            </w:r>
          </w:p>
        </w:tc>
        <w:tc>
          <w:tcPr>
            <w:tcW w:type="dxa" w:w="4873"/>
            <w:vAlign w:val="center"/>
          </w:tcPr>
          <w:p>
            <w:pPr>
              <w:spacing w:line="276" w:lineRule="auto" w:before="0" w:after="0"/>
            </w:pPr>
            <w:r/>
            <w:r>
              <w:rPr>
                <w:rFonts w:ascii="Figtree" w:hAnsi="Figtree"/>
                <w:b w:val="0"/>
                <w:i w:val="0"/>
                <w:sz w:val="20"/>
              </w:rPr>
              <w:t>18,000 EUR per month</w:t>
            </w:r>
          </w:p>
        </w:tc>
      </w:tr>
    </w:tbl>
    <w:p>
      <w:pPr>
        <w:spacing w:before="0" w:after="0" w:line="120" w:lineRule="exact"/>
      </w:pPr>
    </w:p>
    <w:p>
      <w:r>
        <w:br w:type="page"/>
      </w:r>
    </w:p>
    <w:p>
      <w:pPr>
        <w:pStyle w:val="H1"/>
        <w:numPr>
          <w:ilvl w:val="0"/>
          <w:numId w:val="1"/>
        </w:numPr>
      </w:pPr>
      <w:r>
        <w:t>6. Commercial Terms</w:t>
      </w:r>
    </w:p>
    <w:p>
      <w:pPr>
        <w:pStyle w:val="H2"/>
        <w:numPr>
          <w:ilvl w:val="1"/>
          <w:numId w:val="1"/>
        </w:numPr>
      </w:pPr>
      <w:r>
        <w:t>6.1 Term and Termination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97"/>
        <w:gridCol w:w="477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Terms</w:t>
            </w:r>
          </w:p>
        </w:tc>
      </w:tr>
      <w:tr>
        <w:trPr>
          <w:trHeight w:val="425" w:hRule="atLeast"/>
        </w:trPr>
        <w:tc>
          <w:tcPr>
            <w:tcW w:type="dxa" w:w="4873"/>
            <w:vAlign w:val="center"/>
          </w:tcPr>
          <w:p>
            <w:pPr>
              <w:spacing w:line="276" w:lineRule="auto" w:before="0" w:after="0"/>
            </w:pPr>
            <w:r/>
            <w:r>
              <w:rPr>
                <w:rFonts w:ascii="Figtree" w:hAnsi="Figtree"/>
                <w:b w:val="0"/>
                <w:i w:val="0"/>
                <w:sz w:val="20"/>
              </w:rPr>
              <w:t>Initial Term</w:t>
            </w:r>
          </w:p>
        </w:tc>
        <w:tc>
          <w:tcPr>
            <w:tcW w:type="dxa" w:w="4873"/>
            <w:vAlign w:val="center"/>
          </w:tcPr>
          <w:p>
            <w:pPr>
              <w:spacing w:line="276" w:lineRule="auto" w:before="0" w:after="0"/>
            </w:pPr>
            <w:r/>
            <w:r>
              <w:rPr>
                <w:rFonts w:ascii="Figtree" w:hAnsi="Figtree"/>
                <w:b w:val="0"/>
                <w:i w:val="0"/>
                <w:sz w:val="20"/>
              </w:rPr>
              <w:t>3 years</w:t>
            </w:r>
          </w:p>
        </w:tc>
      </w:tr>
      <w:tr>
        <w:trPr>
          <w:trHeight w:val="425" w:hRule="atLeast"/>
        </w:trPr>
        <w:tc>
          <w:tcPr>
            <w:tcW w:type="dxa" w:w="4873"/>
            <w:vAlign w:val="center"/>
          </w:tcPr>
          <w:p>
            <w:pPr>
              <w:spacing w:line="276" w:lineRule="auto" w:before="0" w:after="0"/>
            </w:pPr>
            <w:r/>
            <w:r>
              <w:rPr>
                <w:rFonts w:ascii="Figtree" w:hAnsi="Figtree"/>
                <w:b w:val="0"/>
                <w:i w:val="0"/>
                <w:sz w:val="20"/>
              </w:rPr>
              <w:t>Renewal</w:t>
            </w:r>
          </w:p>
        </w:tc>
        <w:tc>
          <w:tcPr>
            <w:tcW w:type="dxa" w:w="4873"/>
            <w:vAlign w:val="center"/>
          </w:tcPr>
          <w:p>
            <w:pPr>
              <w:spacing w:line="276" w:lineRule="auto" w:before="0" w:after="0"/>
            </w:pPr>
            <w:r/>
            <w:r>
              <w:rPr>
                <w:rFonts w:ascii="Figtree" w:hAnsi="Figtree"/>
                <w:b w:val="0"/>
                <w:i w:val="0"/>
                <w:sz w:val="20"/>
              </w:rPr>
              <w:t>Automatic annual renewal</w:t>
            </w:r>
          </w:p>
        </w:tc>
      </w:tr>
      <w:tr>
        <w:trPr>
          <w:trHeight w:val="425" w:hRule="atLeast"/>
        </w:trPr>
        <w:tc>
          <w:tcPr>
            <w:tcW w:type="dxa" w:w="4873"/>
            <w:vAlign w:val="center"/>
          </w:tcPr>
          <w:p>
            <w:pPr>
              <w:spacing w:line="276" w:lineRule="auto" w:before="0" w:after="0"/>
            </w:pPr>
            <w:r/>
            <w:r>
              <w:rPr>
                <w:rFonts w:ascii="Figtree" w:hAnsi="Figtree"/>
                <w:b w:val="0"/>
                <w:i w:val="0"/>
                <w:sz w:val="20"/>
              </w:rPr>
              <w:t>Notice Period</w:t>
            </w:r>
          </w:p>
        </w:tc>
        <w:tc>
          <w:tcPr>
            <w:tcW w:type="dxa" w:w="4873"/>
            <w:vAlign w:val="center"/>
          </w:tcPr>
          <w:p>
            <w:pPr>
              <w:spacing w:line="276" w:lineRule="auto" w:before="0" w:after="0"/>
            </w:pPr>
            <w:r/>
            <w:r>
              <w:rPr>
                <w:rFonts w:ascii="Figtree" w:hAnsi="Figtree"/>
                <w:b w:val="0"/>
                <w:i w:val="0"/>
                <w:sz w:val="20"/>
              </w:rPr>
              <w:t>90 days written notice</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Convenience</w:t>
            </w:r>
          </w:p>
        </w:tc>
        <w:tc>
          <w:tcPr>
            <w:tcW w:type="dxa" w:w="4873"/>
            <w:vAlign w:val="center"/>
          </w:tcPr>
          <w:p>
            <w:pPr>
              <w:spacing w:line="276" w:lineRule="auto" w:before="0" w:after="0"/>
            </w:pPr>
            <w:r/>
            <w:r>
              <w:rPr>
                <w:rFonts w:ascii="Figtree" w:hAnsi="Figtree"/>
                <w:b w:val="0"/>
                <w:i w:val="0"/>
                <w:sz w:val="20"/>
              </w:rPr>
              <w:t>After initial term with notice</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Cause</w:t>
            </w:r>
          </w:p>
        </w:tc>
        <w:tc>
          <w:tcPr>
            <w:tcW w:type="dxa" w:w="4873"/>
            <w:vAlign w:val="center"/>
          </w:tcPr>
          <w:p>
            <w:pPr>
              <w:spacing w:line="276" w:lineRule="auto" w:before="0" w:after="0"/>
            </w:pPr>
            <w:r/>
            <w:r>
              <w:rPr>
                <w:rFonts w:ascii="Figtree" w:hAnsi="Figtree"/>
                <w:b w:val="0"/>
                <w:i w:val="0"/>
                <w:sz w:val="20"/>
              </w:rPr>
              <w:t>30 days to cure</w:t>
            </w:r>
          </w:p>
        </w:tc>
      </w:tr>
    </w:tbl>
    <w:p>
      <w:pPr>
        <w:spacing w:before="0" w:after="0" w:line="120" w:lineRule="exact"/>
      </w:pPr>
    </w:p>
    <w:p>
      <w:pPr>
        <w:pStyle w:val="H2"/>
        <w:numPr>
          <w:ilvl w:val="1"/>
          <w:numId w:val="1"/>
        </w:numPr>
      </w:pPr>
      <w:r>
        <w:t>6.2 Service Level Agreement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27"/>
        <w:gridCol w:w="524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Platform Availability</w:t>
            </w:r>
          </w:p>
        </w:tc>
        <w:tc>
          <w:tcPr>
            <w:tcW w:type="dxa" w:w="4873"/>
            <w:vAlign w:val="center"/>
          </w:tcPr>
          <w:p>
            <w:pPr>
              <w:spacing w:line="276" w:lineRule="auto" w:before="0" w:after="0"/>
            </w:pPr>
            <w:r/>
            <w:r>
              <w:rPr>
                <w:rFonts w:ascii="Figtree" w:hAnsi="Figtree"/>
                <w:b w:val="0"/>
                <w:i w:val="0"/>
                <w:sz w:val="20"/>
              </w:rPr>
              <w:t>99.9% (excluding planned maintenance)</w:t>
            </w:r>
          </w:p>
        </w:tc>
      </w:tr>
      <w:tr>
        <w:trPr>
          <w:trHeight w:val="425" w:hRule="atLeast"/>
        </w:trPr>
        <w:tc>
          <w:tcPr>
            <w:tcW w:type="dxa" w:w="4873"/>
            <w:vAlign w:val="center"/>
          </w:tcPr>
          <w:p>
            <w:pPr>
              <w:spacing w:line="276" w:lineRule="auto" w:before="0" w:after="0"/>
            </w:pPr>
            <w:r/>
            <w:r>
              <w:rPr>
                <w:rFonts w:ascii="Figtree" w:hAnsi="Figtree"/>
                <w:b w:val="0"/>
                <w:i w:val="0"/>
                <w:sz w:val="20"/>
              </w:rPr>
              <w:t>Planned Maintenance</w:t>
            </w:r>
          </w:p>
        </w:tc>
        <w:tc>
          <w:tcPr>
            <w:tcW w:type="dxa" w:w="4873"/>
            <w:vAlign w:val="center"/>
          </w:tcPr>
          <w:p>
            <w:pPr>
              <w:spacing w:line="276" w:lineRule="auto" w:before="0" w:after="0"/>
            </w:pPr>
            <w:r/>
            <w:r>
              <w:rPr>
                <w:rFonts w:ascii="Figtree" w:hAnsi="Figtree"/>
                <w:b w:val="0"/>
                <w:i w:val="0"/>
                <w:sz w:val="20"/>
              </w:rPr>
              <w:t>Monthly, Wednesday 02:00-04:00 UTC</w:t>
            </w:r>
          </w:p>
        </w:tc>
      </w:tr>
      <w:tr>
        <w:trPr>
          <w:trHeight w:val="425" w:hRule="atLeast"/>
        </w:trPr>
        <w:tc>
          <w:tcPr>
            <w:tcW w:type="dxa" w:w="4873"/>
            <w:vAlign w:val="center"/>
          </w:tcPr>
          <w:p>
            <w:pPr>
              <w:spacing w:line="276" w:lineRule="auto" w:before="0" w:after="0"/>
            </w:pPr>
            <w:r/>
            <w:r>
              <w:rPr>
                <w:rFonts w:ascii="Figtree" w:hAnsi="Figtree"/>
                <w:b w:val="0"/>
                <w:i w:val="0"/>
                <w:sz w:val="20"/>
              </w:rPr>
              <w:t>Emergency Maintenance</w:t>
            </w:r>
          </w:p>
        </w:tc>
        <w:tc>
          <w:tcPr>
            <w:tcW w:type="dxa" w:w="4873"/>
            <w:vAlign w:val="center"/>
          </w:tcPr>
          <w:p>
            <w:pPr>
              <w:spacing w:line="276" w:lineRule="auto" w:before="0" w:after="0"/>
            </w:pPr>
            <w:r/>
            <w:r>
              <w:rPr>
                <w:rFonts w:ascii="Figtree" w:hAnsi="Figtree"/>
                <w:b w:val="0"/>
                <w:i w:val="0"/>
                <w:sz w:val="20"/>
              </w:rPr>
              <w:t>As required with 24-hour notice</w:t>
            </w:r>
          </w:p>
        </w:tc>
      </w:tr>
      <w:tr>
        <w:trPr>
          <w:trHeight w:val="425" w:hRule="atLeast"/>
        </w:trPr>
        <w:tc>
          <w:tcPr>
            <w:tcW w:type="dxa" w:w="4873"/>
            <w:vAlign w:val="center"/>
          </w:tcPr>
          <w:p>
            <w:pPr>
              <w:spacing w:line="276" w:lineRule="auto" w:before="0" w:after="0"/>
            </w:pPr>
            <w:r/>
            <w:r>
              <w:rPr>
                <w:rFonts w:ascii="Figtree" w:hAnsi="Figtree"/>
                <w:b w:val="0"/>
                <w:i w:val="0"/>
                <w:sz w:val="20"/>
              </w:rPr>
              <w:t>Support Response - Critical</w:t>
            </w:r>
          </w:p>
        </w:tc>
        <w:tc>
          <w:tcPr>
            <w:tcW w:type="dxa" w:w="4873"/>
            <w:vAlign w:val="center"/>
          </w:tcPr>
          <w:p>
            <w:pPr>
              <w:spacing w:line="276" w:lineRule="auto" w:before="0" w:after="0"/>
            </w:pPr>
            <w:r/>
            <w:r>
              <w:rPr>
                <w:rFonts w:ascii="Figtree" w:hAnsi="Figtree"/>
                <w:b w:val="0"/>
                <w:i w:val="0"/>
                <w:sz w:val="20"/>
              </w:rPr>
              <w:t>8 hours (Standard tier)</w:t>
            </w:r>
          </w:p>
        </w:tc>
      </w:tr>
      <w:tr>
        <w:trPr>
          <w:trHeight w:val="425" w:hRule="atLeast"/>
        </w:trPr>
        <w:tc>
          <w:tcPr>
            <w:tcW w:type="dxa" w:w="4873"/>
            <w:vAlign w:val="center"/>
          </w:tcPr>
          <w:p>
            <w:pPr>
              <w:spacing w:line="276" w:lineRule="auto" w:before="0" w:after="0"/>
            </w:pPr>
            <w:r/>
            <w:r>
              <w:rPr>
                <w:rFonts w:ascii="Figtree" w:hAnsi="Figtree"/>
                <w:b w:val="0"/>
                <w:i w:val="0"/>
                <w:sz w:val="20"/>
              </w:rPr>
              <w:t>Support Response - High</w:t>
            </w:r>
          </w:p>
        </w:tc>
        <w:tc>
          <w:tcPr>
            <w:tcW w:type="dxa" w:w="4873"/>
            <w:vAlign w:val="center"/>
          </w:tcPr>
          <w:p>
            <w:pPr>
              <w:spacing w:line="276" w:lineRule="auto" w:before="0" w:after="0"/>
            </w:pPr>
            <w:r/>
            <w:r>
              <w:rPr>
                <w:rFonts w:ascii="Figtree" w:hAnsi="Figtree"/>
                <w:b w:val="0"/>
                <w:i w:val="0"/>
                <w:sz w:val="20"/>
              </w:rPr>
              <w:t>8 hours</w:t>
            </w:r>
          </w:p>
        </w:tc>
      </w:tr>
      <w:tr>
        <w:trPr>
          <w:trHeight w:val="425" w:hRule="atLeast"/>
        </w:trPr>
        <w:tc>
          <w:tcPr>
            <w:tcW w:type="dxa" w:w="4873"/>
            <w:vAlign w:val="center"/>
          </w:tcPr>
          <w:p>
            <w:pPr>
              <w:spacing w:line="276" w:lineRule="auto" w:before="0" w:after="0"/>
            </w:pPr>
            <w:r/>
            <w:r>
              <w:rPr>
                <w:rFonts w:ascii="Figtree" w:hAnsi="Figtree"/>
                <w:b w:val="0"/>
                <w:i w:val="0"/>
                <w:sz w:val="20"/>
              </w:rPr>
              <w:t>Support Response - Medium</w:t>
            </w:r>
          </w:p>
        </w:tc>
        <w:tc>
          <w:tcPr>
            <w:tcW w:type="dxa" w:w="4873"/>
            <w:vAlign w:val="center"/>
          </w:tcPr>
          <w:p>
            <w:pPr>
              <w:spacing w:line="276" w:lineRule="auto" w:before="0" w:after="0"/>
            </w:pPr>
            <w:r/>
            <w:r>
              <w:rPr>
                <w:rFonts w:ascii="Figtree" w:hAnsi="Figtree"/>
                <w:b w:val="0"/>
                <w:i w:val="0"/>
                <w:sz w:val="20"/>
              </w:rPr>
              <w:t>24 hours</w:t>
            </w:r>
          </w:p>
        </w:tc>
      </w:tr>
      <w:tr>
        <w:trPr>
          <w:trHeight w:val="425" w:hRule="atLeast"/>
        </w:trPr>
        <w:tc>
          <w:tcPr>
            <w:tcW w:type="dxa" w:w="4873"/>
            <w:vAlign w:val="center"/>
          </w:tcPr>
          <w:p>
            <w:pPr>
              <w:spacing w:line="276" w:lineRule="auto" w:before="0" w:after="0"/>
            </w:pPr>
            <w:r/>
            <w:r>
              <w:rPr>
                <w:rFonts w:ascii="Figtree" w:hAnsi="Figtree"/>
                <w:b w:val="0"/>
                <w:i w:val="0"/>
                <w:sz w:val="20"/>
              </w:rPr>
              <w:t>Support Response - Low</w:t>
            </w:r>
          </w:p>
        </w:tc>
        <w:tc>
          <w:tcPr>
            <w:tcW w:type="dxa" w:w="4873"/>
            <w:vAlign w:val="center"/>
          </w:tcPr>
          <w:p>
            <w:pPr>
              <w:spacing w:line="276" w:lineRule="auto" w:before="0" w:after="0"/>
            </w:pPr>
            <w:r/>
            <w:r>
              <w:rPr>
                <w:rFonts w:ascii="Figtree" w:hAnsi="Figtree"/>
                <w:b w:val="0"/>
                <w:i w:val="0"/>
                <w:sz w:val="20"/>
              </w:rPr>
              <w:t>48 hours</w:t>
            </w:r>
          </w:p>
        </w:tc>
      </w:tr>
    </w:tbl>
    <w:p>
      <w:pPr>
        <w:spacing w:before="0" w:after="0" w:line="120" w:lineRule="exact"/>
      </w:pPr>
    </w:p>
    <w:p>
      <w:pPr>
        <w:pStyle w:val="H2"/>
        <w:numPr>
          <w:ilvl w:val="1"/>
          <w:numId w:val="1"/>
        </w:numPr>
      </w:pPr>
      <w:r>
        <w:t>6.3 Data and Intellectual Property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95"/>
        <w:gridCol w:w="547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Terms</w:t>
            </w:r>
          </w:p>
        </w:tc>
      </w:tr>
      <w:tr>
        <w:trPr>
          <w:trHeight w:val="425" w:hRule="atLeast"/>
        </w:trPr>
        <w:tc>
          <w:tcPr>
            <w:tcW w:type="dxa" w:w="4873"/>
            <w:vAlign w:val="center"/>
          </w:tcPr>
          <w:p>
            <w:pPr>
              <w:spacing w:line="276" w:lineRule="auto" w:before="0" w:after="0"/>
            </w:pPr>
            <w:r/>
            <w:r>
              <w:rPr>
                <w:rFonts w:ascii="Figtree" w:hAnsi="Figtree"/>
                <w:b w:val="0"/>
                <w:i w:val="0"/>
                <w:sz w:val="20"/>
              </w:rPr>
              <w:t>Data Ownership</w:t>
            </w:r>
          </w:p>
        </w:tc>
        <w:tc>
          <w:tcPr>
            <w:tcW w:type="dxa" w:w="4873"/>
            <w:vAlign w:val="center"/>
          </w:tcPr>
          <w:p>
            <w:pPr>
              <w:spacing w:line="276" w:lineRule="auto" w:before="0" w:after="0"/>
            </w:pPr>
            <w:r/>
            <w:r>
              <w:rPr>
                <w:rFonts w:ascii="Figtree" w:hAnsi="Figtree"/>
                <w:b w:val="0"/>
                <w:i w:val="0"/>
                <w:sz w:val="20"/>
              </w:rPr>
              <w:t>All participant data owned by DIFC</w:t>
            </w:r>
          </w:p>
        </w:tc>
      </w:tr>
      <w:tr>
        <w:trPr>
          <w:trHeight w:val="425" w:hRule="atLeast"/>
        </w:trPr>
        <w:tc>
          <w:tcPr>
            <w:tcW w:type="dxa" w:w="4873"/>
            <w:vAlign w:val="center"/>
          </w:tcPr>
          <w:p>
            <w:pPr>
              <w:spacing w:line="276" w:lineRule="auto" w:before="0" w:after="0"/>
            </w:pPr>
            <w:r/>
            <w:r>
              <w:rPr>
                <w:rFonts w:ascii="Figtree" w:hAnsi="Figtree"/>
                <w:b w:val="0"/>
                <w:i w:val="0"/>
                <w:sz w:val="20"/>
              </w:rPr>
              <w:t>DALP Intellectual Property</w:t>
            </w:r>
          </w:p>
        </w:tc>
        <w:tc>
          <w:tcPr>
            <w:tcW w:type="dxa" w:w="4873"/>
            <w:vAlign w:val="center"/>
          </w:tcPr>
          <w:p>
            <w:pPr>
              <w:spacing w:line="276" w:lineRule="auto" w:before="0" w:after="0"/>
            </w:pPr>
            <w:r/>
            <w:r>
              <w:rPr>
                <w:rFonts w:ascii="Figtree" w:hAnsi="Figtree"/>
                <w:b w:val="0"/>
                <w:i w:val="0"/>
                <w:sz w:val="20"/>
              </w:rPr>
              <w:t>SettleMint retains all IP rights</w:t>
            </w:r>
          </w:p>
        </w:tc>
      </w:tr>
      <w:tr>
        <w:trPr>
          <w:trHeight w:val="425" w:hRule="atLeast"/>
        </w:trPr>
        <w:tc>
          <w:tcPr>
            <w:tcW w:type="dxa" w:w="4873"/>
            <w:vAlign w:val="center"/>
          </w:tcPr>
          <w:p>
            <w:pPr>
              <w:spacing w:line="276" w:lineRule="auto" w:before="0" w:after="0"/>
            </w:pPr>
            <w:r/>
            <w:r>
              <w:rPr>
                <w:rFonts w:ascii="Figtree" w:hAnsi="Figtree"/>
                <w:b w:val="0"/>
                <w:i w:val="0"/>
                <w:sz w:val="20"/>
              </w:rPr>
              <w:t>Derivative Works</w:t>
            </w:r>
          </w:p>
        </w:tc>
        <w:tc>
          <w:tcPr>
            <w:tcW w:type="dxa" w:w="4873"/>
            <w:vAlign w:val="center"/>
          </w:tcPr>
          <w:p>
            <w:pPr>
              <w:spacing w:line="276" w:lineRule="auto" w:before="0" w:after="0"/>
            </w:pPr>
            <w:r/>
            <w:r>
              <w:rPr>
                <w:rFonts w:ascii="Figtree" w:hAnsi="Figtree"/>
                <w:b w:val="0"/>
                <w:i w:val="0"/>
                <w:sz w:val="20"/>
              </w:rPr>
              <w:t>Joint ownership of custom configurations</w:t>
            </w:r>
          </w:p>
        </w:tc>
      </w:tr>
      <w:tr>
        <w:trPr>
          <w:trHeight w:val="425" w:hRule="atLeast"/>
        </w:trPr>
        <w:tc>
          <w:tcPr>
            <w:tcW w:type="dxa" w:w="4873"/>
            <w:vAlign w:val="center"/>
          </w:tcPr>
          <w:p>
            <w:pPr>
              <w:spacing w:line="276" w:lineRule="auto" w:before="0" w:after="0"/>
            </w:pPr>
            <w:r/>
            <w:r>
              <w:rPr>
                <w:rFonts w:ascii="Figtree" w:hAnsi="Figtree"/>
                <w:b w:val="0"/>
                <w:i w:val="0"/>
                <w:sz w:val="20"/>
              </w:rPr>
              <w:t>Audit Rights</w:t>
            </w:r>
          </w:p>
        </w:tc>
        <w:tc>
          <w:tcPr>
            <w:tcW w:type="dxa" w:w="4873"/>
            <w:vAlign w:val="center"/>
          </w:tcPr>
          <w:p>
            <w:pPr>
              <w:spacing w:line="276" w:lineRule="auto" w:before="0" w:after="0"/>
            </w:pPr>
            <w:r/>
            <w:r>
              <w:rPr>
                <w:rFonts w:ascii="Figtree" w:hAnsi="Figtree"/>
                <w:b w:val="0"/>
                <w:i w:val="0"/>
                <w:sz w:val="20"/>
              </w:rPr>
              <w:t>Annual audit of SLA compliance</w:t>
            </w:r>
          </w:p>
        </w:tc>
      </w:tr>
    </w:tbl>
    <w:p>
      <w:pPr>
        <w:spacing w:before="0" w:after="0" w:line="120" w:lineRule="exact"/>
      </w:pPr>
    </w:p>
    <w:p>
      <w:r>
        <w:br w:type="page"/>
      </w:r>
    </w:p>
    <w:p>
      <w:pPr>
        <w:pStyle w:val="H1"/>
        <w:numPr>
          <w:ilvl w:val="0"/>
          <w:numId w:val="1"/>
        </w:numPr>
      </w:pPr>
      <w:r>
        <w:t>7. Investment Summary</w:t>
      </w:r>
    </w:p>
    <w:p>
      <w:pPr>
        <w:pStyle w:val="H2"/>
        <w:numPr>
          <w:ilvl w:val="1"/>
          <w:numId w:val="1"/>
        </w:numPr>
      </w:pPr>
      <w:r>
        <w:t>7.1 Total Cost of Ownership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7"/>
        <w:gridCol w:w="2189"/>
        <w:gridCol w:w="1720"/>
        <w:gridCol w:w="1720"/>
        <w:gridCol w:w="203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Support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Year 1</w:t>
            </w:r>
          </w:p>
        </w:tc>
        <w:tc>
          <w:tcPr>
            <w:tcW w:type="dxa" w:w="1949"/>
            <w:vAlign w:val="center"/>
          </w:tcPr>
          <w:p>
            <w:pPr>
              <w:spacing w:line="276" w:lineRule="auto" w:before="0" w:after="0"/>
            </w:pPr>
            <w:r/>
            <w:r>
              <w:rPr>
                <w:rFonts w:ascii="Figtree" w:hAnsi="Figtree"/>
                <w:b w:val="0"/>
                <w:i w:val="0"/>
                <w:sz w:val="20"/>
              </w:rPr>
              <w:t>485,000</w:t>
            </w:r>
          </w:p>
        </w:tc>
        <w:tc>
          <w:tcPr>
            <w:tcW w:type="dxa" w:w="1949"/>
            <w:vAlign w:val="center"/>
          </w:tcPr>
          <w:p>
            <w:pPr>
              <w:spacing w:line="276" w:lineRule="auto" w:before="0" w:after="0"/>
            </w:pPr>
            <w:r/>
            <w:r>
              <w:rPr>
                <w:rFonts w:ascii="Figtree" w:hAnsi="Figtree"/>
                <w:b w:val="0"/>
                <w:i w:val="0"/>
                <w:sz w:val="20"/>
              </w:rPr>
              <w:t>180,000</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737,000</w:t>
            </w:r>
          </w:p>
        </w:tc>
      </w:tr>
      <w:tr>
        <w:trPr>
          <w:trHeight w:val="425" w:hRule="atLeast"/>
        </w:trPr>
        <w:tc>
          <w:tcPr>
            <w:tcW w:type="dxa" w:w="1949"/>
            <w:vAlign w:val="center"/>
          </w:tcPr>
          <w:p>
            <w:pPr>
              <w:spacing w:line="276" w:lineRule="auto" w:before="0" w:after="0"/>
            </w:pPr>
            <w:r/>
            <w:r>
              <w:rPr>
                <w:rFonts w:ascii="Figtree" w:hAnsi="Figtree"/>
                <w:b w:val="0"/>
                <w:i w:val="0"/>
                <w:sz w:val="20"/>
              </w:rPr>
              <w:t>Year 2</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180,000</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252,000</w:t>
            </w:r>
          </w:p>
        </w:tc>
      </w:tr>
      <w:tr>
        <w:trPr>
          <w:trHeight w:val="425" w:hRule="atLeast"/>
        </w:trPr>
        <w:tc>
          <w:tcPr>
            <w:tcW w:type="dxa" w:w="1949"/>
            <w:vAlign w:val="center"/>
          </w:tcPr>
          <w:p>
            <w:pPr>
              <w:spacing w:line="276" w:lineRule="auto" w:before="0" w:after="0"/>
            </w:pPr>
            <w:r/>
            <w:r>
              <w:rPr>
                <w:rFonts w:ascii="Figtree" w:hAnsi="Figtree"/>
                <w:b w:val="0"/>
                <w:i w:val="0"/>
                <w:sz w:val="20"/>
              </w:rPr>
              <w:t>Year 3</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180,000</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252,000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485,000</w:t>
            </w:r>
          </w:p>
        </w:tc>
        <w:tc>
          <w:tcPr>
            <w:tcW w:type="dxa" w:w="1949"/>
            <w:vAlign w:val="center"/>
          </w:tcPr>
          <w:p>
            <w:pPr>
              <w:spacing w:line="276" w:lineRule="auto" w:before="0" w:after="0"/>
            </w:pPr>
            <w:r/>
            <w:r>
              <w:rPr>
                <w:rFonts w:ascii="Figtree" w:hAnsi="Figtree"/>
                <w:b/>
                <w:i w:val="0"/>
                <w:sz w:val="20"/>
              </w:rPr>
              <w:t>540,000</w:t>
            </w:r>
          </w:p>
        </w:tc>
        <w:tc>
          <w:tcPr>
            <w:tcW w:type="dxa" w:w="1949"/>
            <w:vAlign w:val="center"/>
          </w:tcPr>
          <w:p>
            <w:pPr>
              <w:spacing w:line="276" w:lineRule="auto" w:before="0" w:after="0"/>
            </w:pPr>
            <w:r/>
            <w:r>
              <w:rPr>
                <w:rFonts w:ascii="Figtree" w:hAnsi="Figtree"/>
                <w:b/>
                <w:i w:val="0"/>
                <w:sz w:val="20"/>
              </w:rPr>
              <w:t>216,000</w:t>
            </w:r>
          </w:p>
        </w:tc>
        <w:tc>
          <w:tcPr>
            <w:tcW w:type="dxa" w:w="1949"/>
            <w:vAlign w:val="center"/>
          </w:tcPr>
          <w:p>
            <w:pPr>
              <w:spacing w:line="276" w:lineRule="auto" w:before="0" w:after="0"/>
            </w:pPr>
            <w:r/>
            <w:r>
              <w:rPr>
                <w:rFonts w:ascii="Figtree" w:hAnsi="Figtree"/>
                <w:b/>
                <w:i w:val="0"/>
                <w:sz w:val="20"/>
              </w:rPr>
              <w:t>1,241,000</w:t>
            </w:r>
          </w:p>
        </w:tc>
      </w:tr>
    </w:tbl>
    <w:p>
      <w:pPr>
        <w:spacing w:before="0" w:after="0" w:line="120" w:lineRule="exact"/>
      </w:pPr>
    </w:p>
    <w:p>
      <w:pPr>
        <w:pStyle w:val="H2"/>
        <w:numPr>
          <w:ilvl w:val="1"/>
          <w:numId w:val="1"/>
        </w:numPr>
      </w:pPr>
      <w:r>
        <w:t>7.2 Return on Investment Considerations</w:t>
      </w:r>
    </w:p>
    <w:p>
      <w:r>
        <w:rPr>
          <w:rFonts w:ascii="Figtree" w:hAnsi="Figtree"/>
          <w:b w:val="0"/>
          <w:i w:val="0"/>
          <w:sz w:val="22"/>
        </w:rPr>
        <w:t>The sandbox platform creates value through multiple mechanisms: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78"/>
        <w:gridCol w:w="589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Participant Revenue</w:t>
            </w:r>
          </w:p>
        </w:tc>
        <w:tc>
          <w:tcPr>
            <w:tcW w:type="dxa" w:w="4873"/>
            <w:vAlign w:val="center"/>
          </w:tcPr>
          <w:p>
            <w:pPr>
              <w:spacing w:line="276" w:lineRule="auto" w:before="0" w:after="0"/>
            </w:pPr>
            <w:r/>
            <w:r>
              <w:rPr>
                <w:rFonts w:ascii="Figtree" w:hAnsi="Figtree"/>
                <w:b w:val="0"/>
                <w:i w:val="0"/>
                <w:sz w:val="20"/>
              </w:rPr>
              <w:t>Licensing fees from sandbox participants</w:t>
            </w:r>
          </w:p>
        </w:tc>
      </w:tr>
      <w:tr>
        <w:trPr>
          <w:trHeight w:val="425" w:hRule="atLeast"/>
        </w:trPr>
        <w:tc>
          <w:tcPr>
            <w:tcW w:type="dxa" w:w="4873"/>
            <w:vAlign w:val="center"/>
          </w:tcPr>
          <w:p>
            <w:pPr>
              <w:spacing w:line="276" w:lineRule="auto" w:before="0" w:after="0"/>
            </w:pPr>
            <w:r/>
            <w:r>
              <w:rPr>
                <w:rFonts w:ascii="Figtree" w:hAnsi="Figtree"/>
                <w:b w:val="0"/>
                <w:i w:val="0"/>
                <w:sz w:val="20"/>
              </w:rPr>
              <w:t>Ecosystem Development</w:t>
            </w:r>
          </w:p>
        </w:tc>
        <w:tc>
          <w:tcPr>
            <w:tcW w:type="dxa" w:w="4873"/>
            <w:vAlign w:val="center"/>
          </w:tcPr>
          <w:p>
            <w:pPr>
              <w:spacing w:line="276" w:lineRule="auto" w:before="0" w:after="0"/>
            </w:pPr>
            <w:r/>
            <w:r>
              <w:rPr>
                <w:rFonts w:ascii="Figtree" w:hAnsi="Figtree"/>
                <w:b w:val="0"/>
                <w:i w:val="0"/>
                <w:sz w:val="20"/>
              </w:rPr>
              <w:t>Attraction of digital asset businesses to DIFC</w:t>
            </w:r>
          </w:p>
        </w:tc>
      </w:tr>
      <w:tr>
        <w:trPr>
          <w:trHeight w:val="425" w:hRule="atLeast"/>
        </w:trPr>
        <w:tc>
          <w:tcPr>
            <w:tcW w:type="dxa" w:w="4873"/>
            <w:vAlign w:val="center"/>
          </w:tcPr>
          <w:p>
            <w:pPr>
              <w:spacing w:line="276" w:lineRule="auto" w:before="0" w:after="0"/>
            </w:pPr>
            <w:r/>
            <w:r>
              <w:rPr>
                <w:rFonts w:ascii="Figtree" w:hAnsi="Figtree"/>
                <w:b w:val="0"/>
                <w:i w:val="0"/>
                <w:sz w:val="20"/>
              </w:rPr>
              <w:t>Regulatory Innovation</w:t>
            </w:r>
          </w:p>
        </w:tc>
        <w:tc>
          <w:tcPr>
            <w:tcW w:type="dxa" w:w="4873"/>
            <w:vAlign w:val="center"/>
          </w:tcPr>
          <w:p>
            <w:pPr>
              <w:spacing w:line="276" w:lineRule="auto" w:before="0" w:after="0"/>
            </w:pPr>
            <w:r/>
            <w:r>
              <w:rPr>
                <w:rFonts w:ascii="Figtree" w:hAnsi="Figtree"/>
                <w:b w:val="0"/>
                <w:i w:val="0"/>
                <w:sz w:val="20"/>
              </w:rPr>
              <w:t>First-mover advantage in sandbox regulation</w:t>
            </w:r>
          </w:p>
        </w:tc>
      </w:tr>
      <w:tr>
        <w:trPr>
          <w:trHeight w:val="425" w:hRule="atLeast"/>
        </w:trPr>
        <w:tc>
          <w:tcPr>
            <w:tcW w:type="dxa" w:w="4873"/>
            <w:vAlign w:val="center"/>
          </w:tcPr>
          <w:p>
            <w:pPr>
              <w:spacing w:line="276" w:lineRule="auto" w:before="0" w:after="0"/>
            </w:pPr>
            <w:r/>
            <w:r>
              <w:rPr>
                <w:rFonts w:ascii="Figtree" w:hAnsi="Figtree"/>
                <w:b w:val="0"/>
                <w:i w:val="0"/>
                <w:sz w:val="20"/>
              </w:rPr>
              <w:t>Operational Efficiency</w:t>
            </w:r>
          </w:p>
        </w:tc>
        <w:tc>
          <w:tcPr>
            <w:tcW w:type="dxa" w:w="4873"/>
            <w:vAlign w:val="center"/>
          </w:tcPr>
          <w:p>
            <w:pPr>
              <w:spacing w:line="276" w:lineRule="auto" w:before="0" w:after="0"/>
            </w:pPr>
            <w:r/>
            <w:r>
              <w:rPr>
                <w:rFonts w:ascii="Figtree" w:hAnsi="Figtree"/>
                <w:b w:val="0"/>
                <w:i w:val="0"/>
                <w:sz w:val="20"/>
              </w:rPr>
              <w:t>Reduced manual processes through automation</w:t>
            </w:r>
          </w:p>
        </w:tc>
      </w:tr>
    </w:tbl>
    <w:p>
      <w:pPr>
        <w:spacing w:before="0" w:after="0" w:line="120" w:lineRule="exact"/>
      </w:pPr>
    </w:p>
    <w:p>
      <w:r>
        <w:rPr>
          <w:rFonts w:ascii="Figtree" w:hAnsi="Figtree"/>
          <w:b w:val="0"/>
          <w:i w:val="0"/>
          <w:sz w:val="22"/>
        </w:rPr>
        <w:t>A detailed ROI analysis would be prepared during the discovery phase based on participant projections and revenue model assumptions.</w:t>
      </w:r>
    </w:p>
    <w:p>
      <w:pPr>
        <w:pStyle w:val="H2"/>
        <w:numPr>
          <w:ilvl w:val="1"/>
          <w:numId w:val="1"/>
        </w:numPr>
      </w:pPr>
      <w:r>
        <w:t>7.3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42"/>
        <w:gridCol w:w="642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Payment</w:t>
            </w:r>
          </w:p>
        </w:tc>
      </w:tr>
      <w:tr>
        <w:trPr>
          <w:trHeight w:val="425" w:hRule="atLeast"/>
        </w:trPr>
        <w:tc>
          <w:tcPr>
            <w:tcW w:type="dxa" w:w="4873"/>
            <w:vAlign w:val="center"/>
          </w:tcPr>
          <w:p>
            <w:pPr>
              <w:spacing w:line="276" w:lineRule="auto" w:before="0" w:after="0"/>
            </w:pPr>
            <w:r/>
            <w:r>
              <w:rPr>
                <w:rFonts w:ascii="Figtree" w:hAnsi="Figtree"/>
                <w:b w:val="0"/>
                <w:i w:val="0"/>
                <w:sz w:val="20"/>
              </w:rPr>
              <w:t>Contract Signature</w:t>
            </w:r>
          </w:p>
        </w:tc>
        <w:tc>
          <w:tcPr>
            <w:tcW w:type="dxa" w:w="4873"/>
            <w:vAlign w:val="center"/>
          </w:tcPr>
          <w:p>
            <w:pPr>
              <w:spacing w:line="276" w:lineRule="auto" w:before="0" w:after="0"/>
            </w:pPr>
            <w:r/>
            <w:r>
              <w:rPr>
                <w:rFonts w:ascii="Figtree" w:hAnsi="Figtree"/>
                <w:b w:val="0"/>
                <w:i w:val="0"/>
                <w:sz w:val="20"/>
              </w:rPr>
              <w:t>30% of implementation (145,500 EUR)</w:t>
            </w:r>
          </w:p>
        </w:tc>
      </w:tr>
      <w:tr>
        <w:trPr>
          <w:trHeight w:val="425" w:hRule="atLeast"/>
        </w:trPr>
        <w:tc>
          <w:tcPr>
            <w:tcW w:type="dxa" w:w="4873"/>
            <w:vAlign w:val="center"/>
          </w:tcPr>
          <w:p>
            <w:pPr>
              <w:spacing w:line="276" w:lineRule="auto" w:before="0" w:after="0"/>
            </w:pPr>
            <w:r/>
            <w:r>
              <w:rPr>
                <w:rFonts w:ascii="Figtree" w:hAnsi="Figtree"/>
                <w:b w:val="0"/>
                <w:i w:val="0"/>
                <w:sz w:val="20"/>
              </w:rPr>
              <w:t>Go-Live Approval</w:t>
            </w:r>
          </w:p>
        </w:tc>
        <w:tc>
          <w:tcPr>
            <w:tcW w:type="dxa" w:w="4873"/>
            <w:vAlign w:val="center"/>
          </w:tcPr>
          <w:p>
            <w:pPr>
              <w:spacing w:line="276" w:lineRule="auto" w:before="0" w:after="0"/>
            </w:pPr>
            <w:r/>
            <w:r>
              <w:rPr>
                <w:rFonts w:ascii="Figtree" w:hAnsi="Figtree"/>
                <w:b w:val="0"/>
                <w:i w:val="0"/>
                <w:sz w:val="20"/>
              </w:rPr>
              <w:t>40% of implementation (194,000 EUR)</w:t>
            </w:r>
          </w:p>
        </w:tc>
      </w:tr>
      <w:tr>
        <w:trPr>
          <w:trHeight w:val="425" w:hRule="atLeast"/>
        </w:trPr>
        <w:tc>
          <w:tcPr>
            <w:tcW w:type="dxa" w:w="4873"/>
            <w:vAlign w:val="center"/>
          </w:tcPr>
          <w:p>
            <w:pPr>
              <w:spacing w:line="276" w:lineRule="auto" w:before="0" w:after="0"/>
            </w:pPr>
            <w:r/>
            <w:r>
              <w:rPr>
                <w:rFonts w:ascii="Figtree" w:hAnsi="Figtree"/>
                <w:b w:val="0"/>
                <w:i w:val="0"/>
                <w:sz w:val="20"/>
              </w:rPr>
              <w:t>End of Hypercare</w:t>
            </w:r>
          </w:p>
        </w:tc>
        <w:tc>
          <w:tcPr>
            <w:tcW w:type="dxa" w:w="4873"/>
            <w:vAlign w:val="center"/>
          </w:tcPr>
          <w:p>
            <w:pPr>
              <w:spacing w:line="276" w:lineRule="auto" w:before="0" w:after="0"/>
            </w:pPr>
            <w:r/>
            <w:r>
              <w:rPr>
                <w:rFonts w:ascii="Figtree" w:hAnsi="Figtree"/>
                <w:b w:val="0"/>
                <w:i w:val="0"/>
                <w:sz w:val="20"/>
              </w:rPr>
              <w:t>30% of implementation (145,500 EUR)</w:t>
            </w:r>
          </w:p>
        </w:tc>
      </w:tr>
      <w:tr>
        <w:trPr>
          <w:trHeight w:val="425" w:hRule="atLeast"/>
        </w:trPr>
        <w:tc>
          <w:tcPr>
            <w:tcW w:type="dxa" w:w="4873"/>
            <w:vAlign w:val="center"/>
          </w:tcPr>
          <w:p>
            <w:pPr>
              <w:spacing w:line="276" w:lineRule="auto" w:before="0" w:after="0"/>
            </w:pPr>
            <w:r/>
            <w:r>
              <w:rPr>
                <w:rFonts w:ascii="Figtree" w:hAnsi="Figtree"/>
                <w:b w:val="0"/>
                <w:i w:val="0"/>
                <w:sz w:val="20"/>
              </w:rPr>
              <w:t>Annual Renewal</w:t>
            </w:r>
          </w:p>
        </w:tc>
        <w:tc>
          <w:tcPr>
            <w:tcW w:type="dxa" w:w="4873"/>
            <w:vAlign w:val="center"/>
          </w:tcPr>
          <w:p>
            <w:pPr>
              <w:spacing w:line="276" w:lineRule="auto" w:before="0" w:after="0"/>
            </w:pPr>
            <w:r/>
            <w:r>
              <w:rPr>
                <w:rFonts w:ascii="Figtree" w:hAnsi="Figtree"/>
                <w:b w:val="0"/>
                <w:i w:val="0"/>
                <w:sz w:val="20"/>
              </w:rPr>
              <w:t>Annual license fee (180,000 EUR) + support (72,000 EUR)</w:t>
            </w:r>
          </w:p>
        </w:tc>
      </w:tr>
    </w:tbl>
    <w:p>
      <w:pPr>
        <w:spacing w:before="0" w:after="0" w:line="120" w:lineRule="exact"/>
      </w:pPr>
    </w:p>
    <w:p>
      <w:r>
        <w:br w:type="page"/>
      </w:r>
    </w:p>
    <w:p>
      <w:pPr>
        <w:pStyle w:val="H1"/>
        <w:numPr>
          <w:ilvl w:val="0"/>
          <w:numId w:val="1"/>
        </w:numPr>
      </w:pPr>
      <w:r>
        <w:t>8. Payment Terms</w:t>
      </w:r>
    </w:p>
    <w:p>
      <w:pPr>
        <w:pStyle w:val="H2"/>
        <w:numPr>
          <w:ilvl w:val="1"/>
          <w:numId w:val="1"/>
        </w:numPr>
      </w:pPr>
      <w:r>
        <w:t>8.1 Invoice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98"/>
        <w:gridCol w:w="4852"/>
        <w:gridCol w:w="232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Invoice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Invoice 1</w:t>
            </w:r>
          </w:p>
        </w:tc>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145,500 EUR</w:t>
            </w:r>
          </w:p>
        </w:tc>
      </w:tr>
      <w:tr>
        <w:trPr>
          <w:trHeight w:val="425" w:hRule="atLeast"/>
        </w:trPr>
        <w:tc>
          <w:tcPr>
            <w:tcW w:type="dxa" w:w="3249"/>
            <w:vAlign w:val="center"/>
          </w:tcPr>
          <w:p>
            <w:pPr>
              <w:spacing w:line="276" w:lineRule="auto" w:before="0" w:after="0"/>
            </w:pPr>
            <w:r/>
            <w:r>
              <w:rPr>
                <w:rFonts w:ascii="Figtree" w:hAnsi="Figtree"/>
                <w:b w:val="0"/>
                <w:i w:val="0"/>
                <w:sz w:val="20"/>
              </w:rPr>
              <w:t>Invoice 2</w:t>
            </w:r>
          </w:p>
        </w:tc>
        <w:tc>
          <w:tcPr>
            <w:tcW w:type="dxa" w:w="3249"/>
            <w:vAlign w:val="center"/>
          </w:tcPr>
          <w:p>
            <w:pPr>
              <w:spacing w:line="276" w:lineRule="auto" w:before="0" w:after="0"/>
            </w:pPr>
            <w:r/>
            <w:r>
              <w:rPr>
                <w:rFonts w:ascii="Figtree" w:hAnsi="Figtree"/>
                <w:b w:val="0"/>
                <w:i w:val="0"/>
                <w:sz w:val="20"/>
              </w:rPr>
              <w:t>Go-live approval</w:t>
            </w:r>
          </w:p>
        </w:tc>
        <w:tc>
          <w:tcPr>
            <w:tcW w:type="dxa" w:w="3249"/>
            <w:vAlign w:val="center"/>
          </w:tcPr>
          <w:p>
            <w:pPr>
              <w:spacing w:line="276" w:lineRule="auto" w:before="0" w:after="0"/>
            </w:pPr>
            <w:r/>
            <w:r>
              <w:rPr>
                <w:rFonts w:ascii="Figtree" w:hAnsi="Figtree"/>
                <w:b w:val="0"/>
                <w:i w:val="0"/>
                <w:sz w:val="20"/>
              </w:rPr>
              <w:t>194,000 EUR</w:t>
            </w:r>
          </w:p>
        </w:tc>
      </w:tr>
      <w:tr>
        <w:trPr>
          <w:trHeight w:val="425" w:hRule="atLeast"/>
        </w:trPr>
        <w:tc>
          <w:tcPr>
            <w:tcW w:type="dxa" w:w="3249"/>
            <w:vAlign w:val="center"/>
          </w:tcPr>
          <w:p>
            <w:pPr>
              <w:spacing w:line="276" w:lineRule="auto" w:before="0" w:after="0"/>
            </w:pPr>
            <w:r/>
            <w:r>
              <w:rPr>
                <w:rFonts w:ascii="Figtree" w:hAnsi="Figtree"/>
                <w:b w:val="0"/>
                <w:i w:val="0"/>
                <w:sz w:val="20"/>
              </w:rPr>
              <w:t>Invoice 3</w:t>
            </w:r>
          </w:p>
        </w:tc>
        <w:tc>
          <w:tcPr>
            <w:tcW w:type="dxa" w:w="3249"/>
            <w:vAlign w:val="center"/>
          </w:tcPr>
          <w:p>
            <w:pPr>
              <w:spacing w:line="276" w:lineRule="auto" w:before="0" w:after="0"/>
            </w:pPr>
            <w:r/>
            <w:r>
              <w:rPr>
                <w:rFonts w:ascii="Figtree" w:hAnsi="Figtree"/>
                <w:b w:val="0"/>
                <w:i w:val="0"/>
                <w:sz w:val="20"/>
              </w:rPr>
              <w:t>End of hypercare</w:t>
            </w:r>
          </w:p>
        </w:tc>
        <w:tc>
          <w:tcPr>
            <w:tcW w:type="dxa" w:w="3249"/>
            <w:vAlign w:val="center"/>
          </w:tcPr>
          <w:p>
            <w:pPr>
              <w:spacing w:line="276" w:lineRule="auto" w:before="0" w:after="0"/>
            </w:pPr>
            <w:r/>
            <w:r>
              <w:rPr>
                <w:rFonts w:ascii="Figtree" w:hAnsi="Figtree"/>
                <w:b w:val="0"/>
                <w:i w:val="0"/>
                <w:sz w:val="20"/>
              </w:rPr>
              <w:t>145,500 EUR</w:t>
            </w:r>
          </w:p>
        </w:tc>
      </w:tr>
      <w:tr>
        <w:trPr>
          <w:trHeight w:val="425" w:hRule="atLeast"/>
        </w:trPr>
        <w:tc>
          <w:tcPr>
            <w:tcW w:type="dxa" w:w="3249"/>
            <w:vAlign w:val="center"/>
          </w:tcPr>
          <w:p>
            <w:pPr>
              <w:spacing w:line="276" w:lineRule="auto" w:before="0" w:after="0"/>
            </w:pPr>
            <w:r/>
            <w:r>
              <w:rPr>
                <w:rFonts w:ascii="Figtree" w:hAnsi="Figtree"/>
                <w:b w:val="0"/>
                <w:i w:val="0"/>
                <w:sz w:val="20"/>
              </w:rPr>
              <w:t>Invoice 4</w:t>
            </w:r>
          </w:p>
        </w:tc>
        <w:tc>
          <w:tcPr>
            <w:tcW w:type="dxa" w:w="3249"/>
            <w:vAlign w:val="center"/>
          </w:tcPr>
          <w:p>
            <w:pPr>
              <w:spacing w:line="276" w:lineRule="auto" w:before="0" w:after="0"/>
            </w:pPr>
            <w:r/>
            <w:r>
              <w:rPr>
                <w:rFonts w:ascii="Figtree" w:hAnsi="Figtree"/>
                <w:b w:val="0"/>
                <w:i w:val="0"/>
                <w:sz w:val="20"/>
              </w:rPr>
              <w:t>Annual renewal (Year 2)</w:t>
            </w:r>
          </w:p>
        </w:tc>
        <w:tc>
          <w:tcPr>
            <w:tcW w:type="dxa" w:w="3249"/>
            <w:vAlign w:val="center"/>
          </w:tcPr>
          <w:p>
            <w:pPr>
              <w:spacing w:line="276" w:lineRule="auto" w:before="0" w:after="0"/>
            </w:pPr>
            <w:r/>
            <w:r>
              <w:rPr>
                <w:rFonts w:ascii="Figtree" w:hAnsi="Figtree"/>
                <w:b w:val="0"/>
                <w:i w:val="0"/>
                <w:sz w:val="20"/>
              </w:rPr>
              <w:t>252,000 EUR</w:t>
            </w:r>
          </w:p>
        </w:tc>
      </w:tr>
      <w:tr>
        <w:trPr>
          <w:trHeight w:val="425" w:hRule="atLeast"/>
        </w:trPr>
        <w:tc>
          <w:tcPr>
            <w:tcW w:type="dxa" w:w="3249"/>
            <w:vAlign w:val="center"/>
          </w:tcPr>
          <w:p>
            <w:pPr>
              <w:spacing w:line="276" w:lineRule="auto" w:before="0" w:after="0"/>
            </w:pPr>
            <w:r/>
            <w:r>
              <w:rPr>
                <w:rFonts w:ascii="Figtree" w:hAnsi="Figtree"/>
                <w:b w:val="0"/>
                <w:i w:val="0"/>
                <w:sz w:val="20"/>
              </w:rPr>
              <w:t>Invoice 5</w:t>
            </w:r>
          </w:p>
        </w:tc>
        <w:tc>
          <w:tcPr>
            <w:tcW w:type="dxa" w:w="3249"/>
            <w:vAlign w:val="center"/>
          </w:tcPr>
          <w:p>
            <w:pPr>
              <w:spacing w:line="276" w:lineRule="auto" w:before="0" w:after="0"/>
            </w:pPr>
            <w:r/>
            <w:r>
              <w:rPr>
                <w:rFonts w:ascii="Figtree" w:hAnsi="Figtree"/>
                <w:b w:val="0"/>
                <w:i w:val="0"/>
                <w:sz w:val="20"/>
              </w:rPr>
              <w:t>Annual renewal (Year 3)</w:t>
            </w:r>
          </w:p>
        </w:tc>
        <w:tc>
          <w:tcPr>
            <w:tcW w:type="dxa" w:w="3249"/>
            <w:vAlign w:val="center"/>
          </w:tcPr>
          <w:p>
            <w:pPr>
              <w:spacing w:line="276" w:lineRule="auto" w:before="0" w:after="0"/>
            </w:pPr>
            <w:r/>
            <w:r>
              <w:rPr>
                <w:rFonts w:ascii="Figtree" w:hAnsi="Figtree"/>
                <w:b w:val="0"/>
                <w:i w:val="0"/>
                <w:sz w:val="20"/>
              </w:rPr>
              <w:t>252,000 EUR</w:t>
            </w:r>
          </w:p>
        </w:tc>
      </w:tr>
    </w:tbl>
    <w:p>
      <w:pPr>
        <w:spacing w:before="0" w:after="0" w:line="120" w:lineRule="exact"/>
      </w:pPr>
    </w:p>
    <w:p>
      <w:pPr>
        <w:pStyle w:val="H2"/>
        <w:numPr>
          <w:ilvl w:val="1"/>
          <w:numId w:val="1"/>
        </w:numPr>
      </w:pPr>
      <w:r>
        <w:t>8.2 Payment Terms</w:t>
      </w:r>
    </w:p>
    <w:p>
      <w:pPr>
        <w:pStyle w:val="ListParagraph"/>
        <w:numPr>
          <w:ilvl w:val="0"/>
          <w:numId w:val="4"/>
        </w:numPr>
      </w:pPr>
      <w:r>
        <w:rPr>
          <w:rFonts w:ascii="Figtree" w:hAnsi="Figtree"/>
          <w:b w:val="0"/>
          <w:i w:val="0"/>
          <w:sz w:val="22"/>
        </w:rPr>
        <w:t>Net 30 from invoice date</w:t>
      </w:r>
    </w:p>
    <w:p>
      <w:pPr>
        <w:pStyle w:val="ListParagraph"/>
        <w:numPr>
          <w:ilvl w:val="0"/>
          <w:numId w:val="4"/>
        </w:numPr>
      </w:pPr>
      <w:r>
        <w:rPr>
          <w:rFonts w:ascii="Figtree" w:hAnsi="Figtree"/>
          <w:b w:val="0"/>
          <w:i w:val="0"/>
          <w:sz w:val="22"/>
        </w:rPr>
        <w:t>Bank transfer to SettleMint account (details on invoice)</w:t>
      </w:r>
    </w:p>
    <w:p>
      <w:pPr>
        <w:pStyle w:val="ListParagraph"/>
        <w:numPr>
          <w:ilvl w:val="0"/>
          <w:numId w:val="4"/>
        </w:numPr>
      </w:pPr>
      <w:r>
        <w:rPr>
          <w:rFonts w:ascii="Figtree" w:hAnsi="Figtree"/>
          <w:b w:val="0"/>
          <w:i w:val="0"/>
          <w:sz w:val="22"/>
        </w:rPr>
        <w:t>Expenses included unless otherwise stated</w:t>
      </w:r>
    </w:p>
    <w:p>
      <w:r>
        <w:br w:type="page"/>
      </w:r>
    </w:p>
    <w:p>
      <w:pPr>
        <w:pStyle w:val="H1"/>
        <w:numPr>
          <w:ilvl w:val="0"/>
          <w:numId w:val="1"/>
        </w:numPr>
      </w:pPr>
      <w:r>
        <w:t>9. Assumptions and Dependencies</w:t>
      </w:r>
    </w:p>
    <w:p>
      <w:pPr>
        <w:pStyle w:val="H2"/>
        <w:numPr>
          <w:ilvl w:val="1"/>
          <w:numId w:val="1"/>
        </w:numPr>
      </w:pPr>
      <w:r>
        <w:t>9.1 Assumptions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67"/>
        <w:gridCol w:w="800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r>
      <w:tr>
        <w:trPr>
          <w:trHeight w:val="425" w:hRule="atLeast"/>
        </w:trPr>
        <w:tc>
          <w:tcPr>
            <w:tcW w:type="dxa" w:w="4873"/>
            <w:vAlign w:val="center"/>
          </w:tcPr>
          <w:p>
            <w:pPr>
              <w:spacing w:line="276" w:lineRule="auto" w:before="0" w:after="0"/>
            </w:pPr>
            <w:r/>
            <w:r>
              <w:rPr>
                <w:rFonts w:ascii="Figtree" w:hAnsi="Figtree"/>
                <w:b w:val="0"/>
                <w:i w:val="0"/>
                <w:sz w:val="20"/>
              </w:rPr>
              <w:t>A1</w:t>
            </w:r>
          </w:p>
        </w:tc>
        <w:tc>
          <w:tcPr>
            <w:tcW w:type="dxa" w:w="4873"/>
            <w:vAlign w:val="center"/>
          </w:tcPr>
          <w:p>
            <w:pPr>
              <w:spacing w:line="276" w:lineRule="auto" w:before="0" w:after="0"/>
            </w:pPr>
            <w:r/>
            <w:r>
              <w:rPr>
                <w:rFonts w:ascii="Figtree" w:hAnsi="Figtree"/>
                <w:b w:val="0"/>
                <w:i w:val="0"/>
                <w:sz w:val="20"/>
              </w:rPr>
              <w:t>DIFC will provide timely access to stakeholders</w:t>
            </w:r>
          </w:p>
        </w:tc>
      </w:tr>
      <w:tr>
        <w:trPr>
          <w:trHeight w:val="425" w:hRule="atLeast"/>
        </w:trPr>
        <w:tc>
          <w:tcPr>
            <w:tcW w:type="dxa" w:w="4873"/>
            <w:vAlign w:val="center"/>
          </w:tcPr>
          <w:p>
            <w:pPr>
              <w:spacing w:line="276" w:lineRule="auto" w:before="0" w:after="0"/>
            </w:pPr>
            <w:r/>
            <w:r>
              <w:rPr>
                <w:rFonts w:ascii="Figtree" w:hAnsi="Figtree"/>
                <w:b w:val="0"/>
                <w:i w:val="0"/>
                <w:sz w:val="20"/>
              </w:rPr>
              <w:t>A2</w:t>
            </w:r>
          </w:p>
        </w:tc>
        <w:tc>
          <w:tcPr>
            <w:tcW w:type="dxa" w:w="4873"/>
            <w:vAlign w:val="center"/>
          </w:tcPr>
          <w:p>
            <w:pPr>
              <w:spacing w:line="276" w:lineRule="auto" w:before="0" w:after="0"/>
            </w:pPr>
            <w:r/>
            <w:r>
              <w:rPr>
                <w:rFonts w:ascii="Figtree" w:hAnsi="Figtree"/>
                <w:b w:val="0"/>
                <w:i w:val="0"/>
                <w:sz w:val="20"/>
              </w:rPr>
              <w:t>Integration requirements will be defined during discovery</w:t>
            </w:r>
          </w:p>
        </w:tc>
      </w:tr>
      <w:tr>
        <w:trPr>
          <w:trHeight w:val="425" w:hRule="atLeast"/>
        </w:trPr>
        <w:tc>
          <w:tcPr>
            <w:tcW w:type="dxa" w:w="4873"/>
            <w:vAlign w:val="center"/>
          </w:tcPr>
          <w:p>
            <w:pPr>
              <w:spacing w:line="276" w:lineRule="auto" w:before="0" w:after="0"/>
            </w:pPr>
            <w:r/>
            <w:r>
              <w:rPr>
                <w:rFonts w:ascii="Figtree" w:hAnsi="Figtree"/>
                <w:b w:val="0"/>
                <w:i w:val="0"/>
                <w:sz w:val="20"/>
              </w:rPr>
              <w:t>A3</w:t>
            </w:r>
          </w:p>
        </w:tc>
        <w:tc>
          <w:tcPr>
            <w:tcW w:type="dxa" w:w="4873"/>
            <w:vAlign w:val="center"/>
          </w:tcPr>
          <w:p>
            <w:pPr>
              <w:spacing w:line="276" w:lineRule="auto" w:before="0" w:after="0"/>
            </w:pPr>
            <w:r/>
            <w:r>
              <w:rPr>
                <w:rFonts w:ascii="Figtree" w:hAnsi="Figtree"/>
                <w:b w:val="0"/>
                <w:i w:val="0"/>
                <w:sz w:val="20"/>
              </w:rPr>
              <w:t>Standard compliance templates meet 80%+ of DIFC requirements</w:t>
            </w:r>
          </w:p>
        </w:tc>
      </w:tr>
      <w:tr>
        <w:trPr>
          <w:trHeight w:val="425" w:hRule="atLeast"/>
        </w:trPr>
        <w:tc>
          <w:tcPr>
            <w:tcW w:type="dxa" w:w="4873"/>
            <w:vAlign w:val="center"/>
          </w:tcPr>
          <w:p>
            <w:pPr>
              <w:spacing w:line="276" w:lineRule="auto" w:before="0" w:after="0"/>
            </w:pPr>
            <w:r/>
            <w:r>
              <w:rPr>
                <w:rFonts w:ascii="Figtree" w:hAnsi="Figtree"/>
                <w:b w:val="0"/>
                <w:i w:val="0"/>
                <w:sz w:val="20"/>
              </w:rPr>
              <w:t>A4</w:t>
            </w:r>
          </w:p>
        </w:tc>
        <w:tc>
          <w:tcPr>
            <w:tcW w:type="dxa" w:w="4873"/>
            <w:vAlign w:val="center"/>
          </w:tcPr>
          <w:p>
            <w:pPr>
              <w:spacing w:line="276" w:lineRule="auto" w:before="0" w:after="0"/>
            </w:pPr>
            <w:r/>
            <w:r>
              <w:rPr>
                <w:rFonts w:ascii="Figtree" w:hAnsi="Figtree"/>
                <w:b w:val="0"/>
                <w:i w:val="0"/>
                <w:sz w:val="20"/>
              </w:rPr>
              <w:t>Participant onboarding will be managed by DIFC</w:t>
            </w:r>
          </w:p>
        </w:tc>
      </w:tr>
      <w:tr>
        <w:trPr>
          <w:trHeight w:val="425" w:hRule="atLeast"/>
        </w:trPr>
        <w:tc>
          <w:tcPr>
            <w:tcW w:type="dxa" w:w="4873"/>
            <w:vAlign w:val="center"/>
          </w:tcPr>
          <w:p>
            <w:pPr>
              <w:spacing w:line="276" w:lineRule="auto" w:before="0" w:after="0"/>
            </w:pPr>
            <w:r/>
            <w:r>
              <w:rPr>
                <w:rFonts w:ascii="Figtree" w:hAnsi="Figtree"/>
                <w:b w:val="0"/>
                <w:i w:val="0"/>
                <w:sz w:val="20"/>
              </w:rPr>
              <w:t>A5</w:t>
            </w:r>
          </w:p>
        </w:tc>
        <w:tc>
          <w:tcPr>
            <w:tcW w:type="dxa" w:w="4873"/>
            <w:vAlign w:val="center"/>
          </w:tcPr>
          <w:p>
            <w:pPr>
              <w:spacing w:line="276" w:lineRule="auto" w:before="0" w:after="0"/>
            </w:pPr>
            <w:r/>
            <w:r>
              <w:rPr>
                <w:rFonts w:ascii="Figtree" w:hAnsi="Figtree"/>
                <w:b w:val="0"/>
                <w:i w:val="0"/>
                <w:sz w:val="20"/>
              </w:rPr>
              <w:t>Network infrastructure will be available as specified</w:t>
            </w:r>
          </w:p>
        </w:tc>
      </w:tr>
    </w:tbl>
    <w:p>
      <w:pPr>
        <w:spacing w:before="0" w:after="0" w:line="120" w:lineRule="exact"/>
      </w:pPr>
    </w:p>
    <w:p>
      <w:pPr>
        <w:pStyle w:val="H2"/>
        <w:numPr>
          <w:ilvl w:val="1"/>
          <w:numId w:val="1"/>
        </w:numPr>
      </w:pPr>
      <w:r>
        <w:t>9.2 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45"/>
        <w:gridCol w:w="5587"/>
        <w:gridCol w:w="273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Dependency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3249"/>
            <w:vAlign w:val="center"/>
          </w:tcPr>
          <w:p>
            <w:pPr>
              <w:spacing w:line="276" w:lineRule="auto" w:before="0" w:after="0"/>
            </w:pPr>
            <w:r/>
            <w:r>
              <w:rPr>
                <w:rFonts w:ascii="Figtree" w:hAnsi="Figtree"/>
                <w:b w:val="0"/>
                <w:i w:val="0"/>
                <w:sz w:val="20"/>
              </w:rPr>
              <w:t>D1</w:t>
            </w:r>
          </w:p>
        </w:tc>
        <w:tc>
          <w:tcPr>
            <w:tcW w:type="dxa" w:w="3249"/>
            <w:vAlign w:val="center"/>
          </w:tcPr>
          <w:p>
            <w:pPr>
              <w:spacing w:line="276" w:lineRule="auto" w:before="0" w:after="0"/>
            </w:pPr>
            <w:r/>
            <w:r>
              <w:rPr>
                <w:rFonts w:ascii="Figtree" w:hAnsi="Figtree"/>
                <w:b w:val="0"/>
                <w:i w:val="0"/>
                <w:sz w:val="20"/>
              </w:rPr>
              <w:t>Cloud infrastructure provisioning</w:t>
            </w:r>
          </w:p>
        </w:tc>
        <w:tc>
          <w:tcPr>
            <w:tcW w:type="dxa" w:w="3249"/>
            <w:vAlign w:val="center"/>
          </w:tcPr>
          <w:p>
            <w:pPr>
              <w:spacing w:line="276" w:lineRule="auto" w:before="0" w:after="0"/>
            </w:pPr>
            <w:r/>
            <w:r>
              <w:rPr>
                <w:rFonts w:ascii="Figtree" w:hAnsi="Figtree"/>
                <w:b w:val="0"/>
                <w:i w:val="0"/>
                <w:sz w:val="20"/>
              </w:rPr>
              <w:t>DIFC/SettleMint</w:t>
            </w:r>
          </w:p>
        </w:tc>
      </w:tr>
      <w:tr>
        <w:trPr>
          <w:trHeight w:val="425" w:hRule="atLeast"/>
        </w:trPr>
        <w:tc>
          <w:tcPr>
            <w:tcW w:type="dxa" w:w="3249"/>
            <w:vAlign w:val="center"/>
          </w:tcPr>
          <w:p>
            <w:pPr>
              <w:spacing w:line="276" w:lineRule="auto" w:before="0" w:after="0"/>
            </w:pPr>
            <w:r/>
            <w:r>
              <w:rPr>
                <w:rFonts w:ascii="Figtree" w:hAnsi="Figtree"/>
                <w:b w:val="0"/>
                <w:i w:val="0"/>
                <w:sz w:val="20"/>
              </w:rPr>
              <w:t>D2</w:t>
            </w:r>
          </w:p>
        </w:tc>
        <w:tc>
          <w:tcPr>
            <w:tcW w:type="dxa" w:w="3249"/>
            <w:vAlign w:val="center"/>
          </w:tcPr>
          <w:p>
            <w:pPr>
              <w:spacing w:line="276" w:lineRule="auto" w:before="0" w:after="0"/>
            </w:pPr>
            <w:r/>
            <w:r>
              <w:rPr>
                <w:rFonts w:ascii="Figtree" w:hAnsi="Figtree"/>
                <w:b w:val="0"/>
                <w:i w:val="0"/>
                <w:sz w:val="20"/>
              </w:rPr>
              <w:t>Network connectivity configuration</w:t>
            </w:r>
          </w:p>
        </w:tc>
        <w:tc>
          <w:tcPr>
            <w:tcW w:type="dxa" w:w="3249"/>
            <w:vAlign w:val="center"/>
          </w:tcPr>
          <w:p>
            <w:pPr>
              <w:spacing w:line="276" w:lineRule="auto" w:before="0" w:after="0"/>
            </w:pPr>
            <w:r/>
            <w:r>
              <w:rPr>
                <w:rFonts w:ascii="Figtree" w:hAnsi="Figtree"/>
                <w:b w:val="0"/>
                <w:i w:val="0"/>
                <w:sz w:val="20"/>
              </w:rPr>
              <w:t>DIFC</w:t>
            </w:r>
          </w:p>
        </w:tc>
      </w:tr>
      <w:tr>
        <w:trPr>
          <w:trHeight w:val="425" w:hRule="atLeast"/>
        </w:trPr>
        <w:tc>
          <w:tcPr>
            <w:tcW w:type="dxa" w:w="3249"/>
            <w:vAlign w:val="center"/>
          </w:tcPr>
          <w:p>
            <w:pPr>
              <w:spacing w:line="276" w:lineRule="auto" w:before="0" w:after="0"/>
            </w:pPr>
            <w:r/>
            <w:r>
              <w:rPr>
                <w:rFonts w:ascii="Figtree" w:hAnsi="Figtree"/>
                <w:b w:val="0"/>
                <w:i w:val="0"/>
                <w:sz w:val="20"/>
              </w:rPr>
              <w:t>D3</w:t>
            </w:r>
          </w:p>
        </w:tc>
        <w:tc>
          <w:tcPr>
            <w:tcW w:type="dxa" w:w="3249"/>
            <w:vAlign w:val="center"/>
          </w:tcPr>
          <w:p>
            <w:pPr>
              <w:spacing w:line="276" w:lineRule="auto" w:before="0" w:after="0"/>
            </w:pPr>
            <w:r/>
            <w:r>
              <w:rPr>
                <w:rFonts w:ascii="Figtree" w:hAnsi="Figtree"/>
                <w:b w:val="0"/>
                <w:i w:val="0"/>
                <w:sz w:val="20"/>
              </w:rPr>
              <w:t>Identity provider integration</w:t>
            </w:r>
          </w:p>
        </w:tc>
        <w:tc>
          <w:tcPr>
            <w:tcW w:type="dxa" w:w="3249"/>
            <w:vAlign w:val="center"/>
          </w:tcPr>
          <w:p>
            <w:pPr>
              <w:spacing w:line="276" w:lineRule="auto" w:before="0" w:after="0"/>
            </w:pPr>
            <w:r/>
            <w:r>
              <w:rPr>
                <w:rFonts w:ascii="Figtree" w:hAnsi="Figtree"/>
                <w:b w:val="0"/>
                <w:i w:val="0"/>
                <w:sz w:val="20"/>
              </w:rPr>
              <w:t>DIFC</w:t>
            </w:r>
          </w:p>
        </w:tc>
      </w:tr>
      <w:tr>
        <w:trPr>
          <w:trHeight w:val="425" w:hRule="atLeast"/>
        </w:trPr>
        <w:tc>
          <w:tcPr>
            <w:tcW w:type="dxa" w:w="3249"/>
            <w:vAlign w:val="center"/>
          </w:tcPr>
          <w:p>
            <w:pPr>
              <w:spacing w:line="276" w:lineRule="auto" w:before="0" w:after="0"/>
            </w:pPr>
            <w:r/>
            <w:r>
              <w:rPr>
                <w:rFonts w:ascii="Figtree" w:hAnsi="Figtree"/>
                <w:b w:val="0"/>
                <w:i w:val="0"/>
                <w:sz w:val="20"/>
              </w:rPr>
              <w:t>D4</w:t>
            </w:r>
          </w:p>
        </w:tc>
        <w:tc>
          <w:tcPr>
            <w:tcW w:type="dxa" w:w="3249"/>
            <w:vAlign w:val="center"/>
          </w:tcPr>
          <w:p>
            <w:pPr>
              <w:spacing w:line="276" w:lineRule="auto" w:before="0" w:after="0"/>
            </w:pPr>
            <w:r/>
            <w:r>
              <w:rPr>
                <w:rFonts w:ascii="Figtree" w:hAnsi="Figtree"/>
                <w:b w:val="0"/>
                <w:i w:val="0"/>
                <w:sz w:val="20"/>
              </w:rPr>
              <w:t>Payment rail connectivity</w:t>
            </w:r>
          </w:p>
        </w:tc>
        <w:tc>
          <w:tcPr>
            <w:tcW w:type="dxa" w:w="3249"/>
            <w:vAlign w:val="center"/>
          </w:tcPr>
          <w:p>
            <w:pPr>
              <w:spacing w:line="276" w:lineRule="auto" w:before="0" w:after="0"/>
            </w:pPr>
            <w:r/>
            <w:r>
              <w:rPr>
                <w:rFonts w:ascii="Figtree" w:hAnsi="Figtree"/>
                <w:b w:val="0"/>
                <w:i w:val="0"/>
                <w:sz w:val="20"/>
              </w:rPr>
              <w:t>DIFC</w:t>
            </w:r>
          </w:p>
        </w:tc>
      </w:tr>
      <w:tr>
        <w:trPr>
          <w:trHeight w:val="425" w:hRule="atLeast"/>
        </w:trPr>
        <w:tc>
          <w:tcPr>
            <w:tcW w:type="dxa" w:w="3249"/>
            <w:vAlign w:val="center"/>
          </w:tcPr>
          <w:p>
            <w:pPr>
              <w:spacing w:line="276" w:lineRule="auto" w:before="0" w:after="0"/>
            </w:pPr>
            <w:r/>
            <w:r>
              <w:rPr>
                <w:rFonts w:ascii="Figtree" w:hAnsi="Figtree"/>
                <w:b w:val="0"/>
                <w:i w:val="0"/>
                <w:sz w:val="20"/>
              </w:rPr>
              <w:t>D5</w:t>
            </w:r>
          </w:p>
        </w:tc>
        <w:tc>
          <w:tcPr>
            <w:tcW w:type="dxa" w:w="3249"/>
            <w:vAlign w:val="center"/>
          </w:tcPr>
          <w:p>
            <w:pPr>
              <w:spacing w:line="276" w:lineRule="auto" w:before="0" w:after="0"/>
            </w:pPr>
            <w:r/>
            <w:r>
              <w:rPr>
                <w:rFonts w:ascii="Figtree" w:hAnsi="Figtree"/>
                <w:b w:val="0"/>
                <w:i w:val="0"/>
                <w:sz w:val="20"/>
              </w:rPr>
              <w:t>Regulatory approval for sandbox</w:t>
            </w:r>
          </w:p>
        </w:tc>
        <w:tc>
          <w:tcPr>
            <w:tcW w:type="dxa" w:w="3249"/>
            <w:vAlign w:val="center"/>
          </w:tcPr>
          <w:p>
            <w:pPr>
              <w:spacing w:line="276" w:lineRule="auto" w:before="0" w:after="0"/>
            </w:pPr>
            <w:r/>
            <w:r>
              <w:rPr>
                <w:rFonts w:ascii="Figtree" w:hAnsi="Figtree"/>
                <w:b w:val="0"/>
                <w:i w:val="0"/>
                <w:sz w:val="20"/>
              </w:rPr>
              <w:t>DIFC</w:t>
            </w:r>
          </w:p>
        </w:tc>
      </w:tr>
    </w:tbl>
    <w:p>
      <w:pPr>
        <w:spacing w:before="0" w:after="0" w:line="120" w:lineRule="exact"/>
      </w:pPr>
    </w:p>
    <w:p>
      <w:pPr>
        <w:pStyle w:val="H2"/>
        <w:numPr>
          <w:ilvl w:val="1"/>
          <w:numId w:val="1"/>
        </w:numPr>
      </w:pPr>
      <w:r>
        <w:t>9.3 Exclusions</w:t>
      </w:r>
    </w:p>
    <w:p>
      <w:r>
        <w:rPr>
          <w:rFonts w:ascii="Figtree" w:hAnsi="Figtree"/>
          <w:b w:val="0"/>
          <w:i w:val="0"/>
          <w:sz w:val="22"/>
        </w:rPr>
        <w:t>The following are excluded from this proposal:</w:t>
      </w:r>
    </w:p>
    <w:p>
      <w:pPr>
        <w:pStyle w:val="ListParagraph"/>
        <w:numPr>
          <w:ilvl w:val="0"/>
          <w:numId w:val="4"/>
        </w:numPr>
      </w:pPr>
      <w:r>
        <w:rPr>
          <w:rFonts w:ascii="Figtree" w:hAnsi="Figtree"/>
          <w:b w:val="0"/>
          <w:i w:val="0"/>
          <w:sz w:val="22"/>
        </w:rPr>
        <w:t>Participant licensing (to be negotiated separately)</w:t>
      </w:r>
    </w:p>
    <w:p>
      <w:pPr>
        <w:pStyle w:val="ListParagraph"/>
        <w:numPr>
          <w:ilvl w:val="0"/>
          <w:numId w:val="4"/>
        </w:numPr>
      </w:pPr>
      <w:r>
        <w:rPr>
          <w:rFonts w:ascii="Figtree" w:hAnsi="Figtree"/>
          <w:b w:val="0"/>
          <w:i w:val="0"/>
          <w:sz w:val="22"/>
        </w:rPr>
        <w:t>Custom regulatory compliance development beyond configuration</w:t>
      </w:r>
    </w:p>
    <w:p>
      <w:pPr>
        <w:pStyle w:val="ListParagraph"/>
        <w:numPr>
          <w:ilvl w:val="0"/>
          <w:numId w:val="4"/>
        </w:numPr>
      </w:pPr>
      <w:r>
        <w:rPr>
          <w:rFonts w:ascii="Figtree" w:hAnsi="Figtree"/>
          <w:b w:val="0"/>
          <w:i w:val="0"/>
          <w:sz w:val="22"/>
        </w:rPr>
        <w:t>Hardware procurement beyond cloud resources</w:t>
      </w:r>
    </w:p>
    <w:p>
      <w:pPr>
        <w:pStyle w:val="ListParagraph"/>
        <w:numPr>
          <w:ilvl w:val="0"/>
          <w:numId w:val="4"/>
        </w:numPr>
      </w:pPr>
      <w:r>
        <w:rPr>
          <w:rFonts w:ascii="Figtree" w:hAnsi="Figtree"/>
          <w:b w:val="0"/>
          <w:i w:val="0"/>
          <w:sz w:val="22"/>
        </w:rPr>
        <w:t>Third-party licensing fees</w:t>
      </w:r>
    </w:p>
    <w:p>
      <w:pPr>
        <w:pStyle w:val="ListParagraph"/>
        <w:numPr>
          <w:ilvl w:val="0"/>
          <w:numId w:val="4"/>
        </w:numPr>
      </w:pPr>
      <w:r>
        <w:rPr>
          <w:rFonts w:ascii="Figtree" w:hAnsi="Figtree"/>
          <w:b w:val="0"/>
          <w:i w:val="0"/>
          <w:sz w:val="22"/>
        </w:rPr>
        <w:t>On-site support beyond defined training</w:t>
      </w:r>
    </w:p>
    <w:p>
      <w:r>
        <w:br w:type="page"/>
      </w:r>
    </w:p>
    <w:p>
      <w:pPr>
        <w:pStyle w:val="H1"/>
        <w:numPr>
          <w:ilvl w:val="0"/>
          <w:numId w:val="1"/>
        </w:numPr>
      </w:pPr>
      <w:r>
        <w:t>10. Value Proposition</w:t>
      </w:r>
    </w:p>
    <w:p>
      <w:pPr>
        <w:pStyle w:val="H2"/>
        <w:numPr>
          <w:ilvl w:val="1"/>
          <w:numId w:val="1"/>
        </w:numPr>
      </w:pPr>
      <w:r>
        <w:t>10.1 Why This Investment Makes Sense</w:t>
      </w:r>
    </w:p>
    <w:p>
      <w:r>
        <w:rPr>
          <w:rFonts w:ascii="Figtree" w:hAnsi="Figtree"/>
          <w:b w:val="0"/>
          <w:i w:val="0"/>
          <w:sz w:val="22"/>
        </w:rPr>
        <w:t>The DALP platform represents proven, production-grade infrastructure that accelerates DIFC's digital asset sandbox ambition:</w:t>
      </w:r>
    </w:p>
    <w:p>
      <w:r>
        <w:rPr>
          <w:rFonts w:ascii="Figtree" w:hAnsi="Figtree"/>
          <w:b/>
          <w:i w:val="0"/>
          <w:sz w:val="22"/>
        </w:rPr>
        <w:t>Speed to Market</w:t>
      </w:r>
      <w:r>
        <w:rPr>
          <w:rFonts w:ascii="Figtree" w:hAnsi="Figtree"/>
          <w:b w:val="0"/>
          <w:i w:val="0"/>
          <w:sz w:val="22"/>
        </w:rPr>
        <w:t>: The platform ships with all required capabilities, configured and ready. Implementation achieves sandbox go-live in 19 weeks, compared to 12-18 months for custom development.</w:t>
      </w:r>
    </w:p>
    <w:p>
      <w:r>
        <w:rPr>
          <w:rFonts w:ascii="Figtree" w:hAnsi="Figtree"/>
          <w:b/>
          <w:i w:val="0"/>
          <w:sz w:val="22"/>
        </w:rPr>
        <w:t>Production Proven</w:t>
      </w:r>
      <w:r>
        <w:rPr>
          <w:rFonts w:ascii="Figtree" w:hAnsi="Figtree"/>
          <w:b w:val="0"/>
          <w:i w:val="0"/>
          <w:sz w:val="22"/>
        </w:rPr>
        <w:t>: DALP powers live deployments with tier-1 banks and sovereign entities. The platform has processed real transactions since 2016, with Saudi Arabia RER achieving national-scale deployment in January 2026.</w:t>
      </w:r>
    </w:p>
    <w:p>
      <w:r>
        <w:rPr>
          <w:rFonts w:ascii="Figtree" w:hAnsi="Figtree"/>
          <w:b/>
          <w:i w:val="0"/>
          <w:sz w:val="22"/>
        </w:rPr>
        <w:t>Regulatory Ready</w:t>
      </w:r>
      <w:r>
        <w:rPr>
          <w:rFonts w:ascii="Figtree" w:hAnsi="Figtree"/>
          <w:b w:val="0"/>
          <w:i w:val="0"/>
          <w:sz w:val="22"/>
        </w:rPr>
        <w:t>: Pre-built compliance templates for MiCA, MAS, FCA, SEC, and Japan FSA reduce compliance configuration effort. DIFC-specific requirements are accommodated through the configurable compliance engine.</w:t>
      </w:r>
    </w:p>
    <w:p>
      <w:r>
        <w:rPr>
          <w:rFonts w:ascii="Figtree" w:hAnsi="Figtree"/>
          <w:b/>
          <w:i w:val="0"/>
          <w:sz w:val="22"/>
        </w:rPr>
        <w:t>Operational Efficiency</w:t>
      </w:r>
      <w:r>
        <w:rPr>
          <w:rFonts w:ascii="Figtree" w:hAnsi="Figtree"/>
          <w:b w:val="0"/>
          <w:i w:val="0"/>
          <w:sz w:val="22"/>
        </w:rPr>
        <w:t>: Comprehensive monitoring, audit trails, and automation reduce operational burden. The platform requires no third-party tooling for core operations.</w:t>
      </w:r>
    </w:p>
    <w:p>
      <w:r>
        <w:rPr>
          <w:rFonts w:ascii="Figtree" w:hAnsi="Figtree"/>
          <w:b/>
          <w:i w:val="0"/>
          <w:sz w:val="22"/>
        </w:rPr>
        <w:t>Ecosystem Enablement</w:t>
      </w:r>
      <w:r>
        <w:rPr>
          <w:rFonts w:ascii="Figtree" w:hAnsi="Figtree"/>
          <w:b w:val="0"/>
          <w:i w:val="0"/>
          <w:sz w:val="22"/>
        </w:rPr>
        <w:t>: The sandbox creates a platform for ecosystem development, attracting participants who contribute to DIFC's digital economy ambitions.</w:t>
      </w:r>
    </w:p>
    <w:p>
      <w:pPr>
        <w:pStyle w:val="H2"/>
        <w:numPr>
          <w:ilvl w:val="1"/>
          <w:numId w:val="1"/>
        </w:numPr>
      </w:pPr>
      <w:r>
        <w:t>10.2 Competitive Advantages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80"/>
        <w:gridCol w:w="589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Advantage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Benefit</w:t>
            </w:r>
          </w:p>
        </w:tc>
      </w:tr>
      <w:tr>
        <w:trPr>
          <w:trHeight w:val="425" w:hRule="atLeast"/>
        </w:trPr>
        <w:tc>
          <w:tcPr>
            <w:tcW w:type="dxa" w:w="4873"/>
            <w:vAlign w:val="center"/>
          </w:tcPr>
          <w:p>
            <w:pPr>
              <w:spacing w:line="276" w:lineRule="auto" w:before="0" w:after="0"/>
            </w:pPr>
            <w:r/>
            <w:r>
              <w:rPr>
                <w:rFonts w:ascii="Figtree" w:hAnsi="Figtree"/>
                <w:b w:val="0"/>
                <w:i w:val="0"/>
                <w:sz w:val="20"/>
              </w:rPr>
              <w:t>EVM-Native</w:t>
            </w:r>
          </w:p>
        </w:tc>
        <w:tc>
          <w:tcPr>
            <w:tcW w:type="dxa" w:w="4873"/>
            <w:vAlign w:val="center"/>
          </w:tcPr>
          <w:p>
            <w:pPr>
              <w:spacing w:line="276" w:lineRule="auto" w:before="0" w:after="0"/>
            </w:pPr>
            <w:r/>
            <w:r>
              <w:rPr>
                <w:rFonts w:ascii="Figtree" w:hAnsi="Figtree"/>
                <w:b w:val="0"/>
                <w:i w:val="0"/>
                <w:sz w:val="20"/>
              </w:rPr>
              <w:t>Operates on any EVM-compatible blockchain</w:t>
            </w:r>
          </w:p>
        </w:tc>
      </w:tr>
      <w:tr>
        <w:trPr>
          <w:trHeight w:val="425" w:hRule="atLeast"/>
        </w:trPr>
        <w:tc>
          <w:tcPr>
            <w:tcW w:type="dxa" w:w="4873"/>
            <w:vAlign w:val="center"/>
          </w:tcPr>
          <w:p>
            <w:pPr>
              <w:spacing w:line="276" w:lineRule="auto" w:before="0" w:after="0"/>
            </w:pPr>
            <w:r/>
            <w:r>
              <w:rPr>
                <w:rFonts w:ascii="Figtree" w:hAnsi="Figtree"/>
                <w:b w:val="0"/>
                <w:i w:val="0"/>
                <w:sz w:val="20"/>
              </w:rPr>
              <w:t>Configuration, Not Code</w:t>
            </w:r>
          </w:p>
        </w:tc>
        <w:tc>
          <w:tcPr>
            <w:tcW w:type="dxa" w:w="4873"/>
            <w:vAlign w:val="center"/>
          </w:tcPr>
          <w:p>
            <w:pPr>
              <w:spacing w:line="276" w:lineRule="auto" w:before="0" w:after="0"/>
            </w:pPr>
            <w:r/>
            <w:r>
              <w:rPr>
                <w:rFonts w:ascii="Figtree" w:hAnsi="Figtree"/>
                <w:b w:val="0"/>
                <w:i w:val="0"/>
                <w:sz w:val="20"/>
              </w:rPr>
              <w:t>Reduce custom development risk</w:t>
            </w:r>
          </w:p>
        </w:tc>
      </w:tr>
      <w:tr>
        <w:trPr>
          <w:trHeight w:val="425" w:hRule="atLeast"/>
        </w:trPr>
        <w:tc>
          <w:tcPr>
            <w:tcW w:type="dxa" w:w="4873"/>
            <w:vAlign w:val="center"/>
          </w:tcPr>
          <w:p>
            <w:pPr>
              <w:spacing w:line="276" w:lineRule="auto" w:before="0" w:after="0"/>
            </w:pPr>
            <w:r/>
            <w:r>
              <w:rPr>
                <w:rFonts w:ascii="Figtree" w:hAnsi="Figtree"/>
                <w:b w:val="0"/>
                <w:i w:val="0"/>
                <w:sz w:val="20"/>
              </w:rPr>
              <w:t>Ex-Ante Compliance</w:t>
            </w:r>
          </w:p>
        </w:tc>
        <w:tc>
          <w:tcPr>
            <w:tcW w:type="dxa" w:w="4873"/>
            <w:vAlign w:val="center"/>
          </w:tcPr>
          <w:p>
            <w:pPr>
              <w:spacing w:line="276" w:lineRule="auto" w:before="0" w:after="0"/>
            </w:pPr>
            <w:r/>
            <w:r>
              <w:rPr>
                <w:rFonts w:ascii="Figtree" w:hAnsi="Figtree"/>
                <w:b w:val="0"/>
                <w:i w:val="0"/>
                <w:sz w:val="20"/>
              </w:rPr>
              <w:t>Non-compliant transactions cannot exist on-chain</w:t>
            </w:r>
          </w:p>
        </w:tc>
      </w:tr>
      <w:tr>
        <w:trPr>
          <w:trHeight w:val="425" w:hRule="atLeast"/>
        </w:trPr>
        <w:tc>
          <w:tcPr>
            <w:tcW w:type="dxa" w:w="4873"/>
            <w:vAlign w:val="center"/>
          </w:tcPr>
          <w:p>
            <w:pPr>
              <w:spacing w:line="276" w:lineRule="auto" w:before="0" w:after="0"/>
            </w:pPr>
            <w:r/>
            <w:r>
              <w:rPr>
                <w:rFonts w:ascii="Figtree" w:hAnsi="Figtree"/>
                <w:b w:val="0"/>
                <w:i w:val="0"/>
                <w:sz w:val="20"/>
              </w:rPr>
              <w:t>Atomic Settlement</w:t>
            </w:r>
          </w:p>
        </w:tc>
        <w:tc>
          <w:tcPr>
            <w:tcW w:type="dxa" w:w="4873"/>
            <w:vAlign w:val="center"/>
          </w:tcPr>
          <w:p>
            <w:pPr>
              <w:spacing w:line="276" w:lineRule="auto" w:before="0" w:after="0"/>
            </w:pPr>
            <w:r/>
            <w:r>
              <w:rPr>
                <w:rFonts w:ascii="Figtree" w:hAnsi="Figtree"/>
                <w:b w:val="0"/>
                <w:i w:val="0"/>
                <w:sz w:val="20"/>
              </w:rPr>
              <w:t>True T+0 eliminates counterparty risk</w:t>
            </w:r>
          </w:p>
        </w:tc>
      </w:tr>
      <w:tr>
        <w:trPr>
          <w:trHeight w:val="425" w:hRule="atLeast"/>
        </w:trPr>
        <w:tc>
          <w:tcPr>
            <w:tcW w:type="dxa" w:w="4873"/>
            <w:vAlign w:val="center"/>
          </w:tcPr>
          <w:p>
            <w:pPr>
              <w:spacing w:line="276" w:lineRule="auto" w:before="0" w:after="0"/>
            </w:pPr>
            <w:r/>
            <w:r>
              <w:rPr>
                <w:rFonts w:ascii="Figtree" w:hAnsi="Figtree"/>
                <w:b w:val="0"/>
                <w:i w:val="0"/>
                <w:sz w:val="20"/>
              </w:rPr>
              <w:t>Enterprise Security</w:t>
            </w:r>
          </w:p>
        </w:tc>
        <w:tc>
          <w:tcPr>
            <w:tcW w:type="dxa" w:w="4873"/>
            <w:vAlign w:val="center"/>
          </w:tcPr>
          <w:p>
            <w:pPr>
              <w:spacing w:line="276" w:lineRule="auto" w:before="0" w:after="0"/>
            </w:pPr>
            <w:r/>
            <w:r>
              <w:rPr>
                <w:rFonts w:ascii="Figtree" w:hAnsi="Figtree"/>
                <w:b w:val="0"/>
                <w:i w:val="0"/>
                <w:sz w:val="20"/>
              </w:rPr>
              <w:t>ISO 27001 and SOC 2 Type II certified</w:t>
            </w:r>
          </w:p>
        </w:tc>
      </w:tr>
    </w:tbl>
    <w:p>
      <w:pPr>
        <w:spacing w:before="0" w:after="0" w:line="120" w:lineRule="exact"/>
      </w:pPr>
    </w:p>
    <w:p>
      <w:pPr>
        <w:pStyle w:val="H2"/>
        <w:numPr>
          <w:ilvl w:val="1"/>
          <w:numId w:val="1"/>
        </w:numPr>
      </w:pPr>
      <w:r>
        <w:t>10.3 Next Steps</w:t>
      </w:r>
    </w:p>
    <w:p>
      <w:r>
        <w:rPr>
          <w:rFonts w:ascii="Figtree" w:hAnsi="Figtree"/>
          <w:b w:val="0"/>
          <w:i w:val="0"/>
          <w:sz w:val="22"/>
        </w:rPr>
        <w:t>We propose the following path forward:</w:t>
      </w:r>
    </w:p>
    <w:p>
      <w:pPr>
        <w:pStyle w:val="ListParagraph"/>
        <w:numPr>
          <w:ilvl w:val="0"/>
          <w:numId w:val="7"/>
        </w:numPr>
      </w:pPr>
      <w:r>
        <w:rPr>
          <w:rFonts w:ascii="Figtree" w:hAnsi="Figtree"/>
          <w:b/>
          <w:i w:val="0"/>
          <w:sz w:val="22"/>
        </w:rPr>
        <w:t>Commercial Clarification</w:t>
      </w:r>
      <w:r>
        <w:rPr>
          <w:rFonts w:ascii="Figtree" w:hAnsi="Figtree"/>
          <w:b w:val="0"/>
          <w:i w:val="0"/>
          <w:sz w:val="22"/>
        </w:rPr>
        <w:t xml:space="preserve"> (Week 1): Address any questions on this proposal</w:t>
      </w:r>
    </w:p>
    <w:p>
      <w:pPr>
        <w:pStyle w:val="ListParagraph"/>
        <w:numPr>
          <w:ilvl w:val="0"/>
          <w:numId w:val="7"/>
        </w:numPr>
      </w:pPr>
      <w:r>
        <w:rPr>
          <w:rFonts w:ascii="Figtree" w:hAnsi="Figtree"/>
          <w:b/>
          <w:i w:val="0"/>
          <w:sz w:val="22"/>
        </w:rPr>
        <w:t>Scope Refinement</w:t>
      </w:r>
      <w:r>
        <w:rPr>
          <w:rFonts w:ascii="Figtree" w:hAnsi="Figtree"/>
          <w:b w:val="0"/>
          <w:i w:val="0"/>
          <w:sz w:val="22"/>
        </w:rPr>
        <w:t xml:space="preserve"> (Weeks 2-3): Detailed discovery to finalize scope</w:t>
      </w:r>
    </w:p>
    <w:p>
      <w:pPr>
        <w:pStyle w:val="ListParagraph"/>
        <w:numPr>
          <w:ilvl w:val="0"/>
          <w:numId w:val="7"/>
        </w:numPr>
      </w:pPr>
      <w:r>
        <w:rPr>
          <w:rFonts w:ascii="Figtree" w:hAnsi="Figtree"/>
          <w:b/>
          <w:i w:val="0"/>
          <w:sz w:val="22"/>
        </w:rPr>
        <w:t>Contract Finalization</w:t>
      </w:r>
      <w:r>
        <w:rPr>
          <w:rFonts w:ascii="Figtree" w:hAnsi="Figtree"/>
          <w:b w:val="0"/>
          <w:i w:val="0"/>
          <w:sz w:val="22"/>
        </w:rPr>
        <w:t xml:space="preserve"> (Week 4): Legal review and contract signature</w:t>
      </w:r>
    </w:p>
    <w:p>
      <w:pPr>
        <w:pStyle w:val="ListParagraph"/>
        <w:numPr>
          <w:ilvl w:val="0"/>
          <w:numId w:val="7"/>
        </w:numPr>
      </w:pPr>
      <w:r>
        <w:rPr>
          <w:rFonts w:ascii="Figtree" w:hAnsi="Figtree"/>
          <w:b/>
          <w:i w:val="0"/>
          <w:sz w:val="22"/>
        </w:rPr>
        <w:t>Project Kick-off</w:t>
      </w:r>
      <w:r>
        <w:rPr>
          <w:rFonts w:ascii="Figtree" w:hAnsi="Figtree"/>
          <w:b w:val="0"/>
          <w:i w:val="0"/>
          <w:sz w:val="22"/>
        </w:rPr>
        <w:t xml:space="preserve"> (Week 5): Implementation begins</w:t>
      </w:r>
    </w:p>
    <w:p>
      <w:r>
        <w:rPr>
          <w:rFonts w:ascii="Figtree" w:hAnsi="Figtree"/>
          <w:b w:val="0"/>
          <w:i w:val="0"/>
          <w:sz w:val="22"/>
        </w:rPr>
        <w:t>We look forward to partnering with DIFC to establish Dubai as a global leader in digital asset innovation.</w:t>
      </w:r>
    </w:p>
    <w:p>
      <w:r>
        <w:br w:type="page"/>
      </w:r>
    </w:p>
    <w:p>
      <w:pPr>
        <w:pStyle w:val="H1"/>
        <w:numPr>
          <w:ilvl w:val="0"/>
          <w:numId w:val="1"/>
        </w:numPr>
      </w:pPr>
      <w:r>
        <w:t>Contact Information</w:t>
      </w:r>
    </w:p>
    <w:p>
      <w:r>
        <w:rPr>
          <w:rFonts w:ascii="Figtree" w:hAnsi="Figtree"/>
          <w:b/>
          <w:i w:val="0"/>
          <w:sz w:val="22"/>
        </w:rPr>
        <w:t>SettleMint NV</w:t>
      </w:r>
    </w:p>
    <w:p>
      <w:r>
        <w:rPr>
          <w:rFonts w:ascii="Figtree" w:hAnsi="Figtree"/>
          <w:b w:val="0"/>
          <w:i w:val="0"/>
          <w:sz w:val="22"/>
        </w:rPr>
        <w:t>Leuven, Belgium</w:t>
      </w:r>
    </w:p>
    <w:p>
      <w:r>
        <w:rPr>
          <w:rFonts w:ascii="Figtree" w:hAnsi="Figtree"/>
          <w:b/>
          <w:i w:val="0"/>
          <w:sz w:val="22"/>
        </w:rPr>
        <w:t>Commercial Contact:</w:t>
      </w:r>
    </w:p>
    <w:p>
      <w:r>
        <w:rPr>
          <w:rFonts w:ascii="Figtree" w:hAnsi="Figtree"/>
          <w:b w:val="0"/>
          <w:i w:val="0"/>
          <w:sz w:val="22"/>
        </w:rPr>
        <w:t>[To be provided]</w:t>
      </w:r>
    </w:p>
    <w:p>
      <w:r>
        <w:rPr>
          <w:rFonts w:ascii="Figtree" w:hAnsi="Figtree"/>
          <w:b/>
          <w:i w:val="0"/>
          <w:sz w:val="22"/>
        </w:rPr>
        <w:t>Technical Contact:</w:t>
      </w:r>
    </w:p>
    <w:p>
      <w:r>
        <w:rPr>
          <w:rFonts w:ascii="Figtree" w:hAnsi="Figtree"/>
          <w:b w:val="0"/>
          <w:i w:val="0"/>
          <w:sz w:val="22"/>
        </w:rPr>
        <w:t>[To be provided]</w:t>
      </w:r>
    </w:p>
    <w:p>
      <w:r>
        <w:br w:type="page"/>
      </w:r>
    </w:p>
    <w:p>
      <w:r>
        <w:rPr>
          <w:rFonts w:ascii="Figtree" w:hAnsi="Figtree"/>
          <w:b w:val="0"/>
          <w:i/>
          <w:sz w:val="22"/>
        </w:rPr>
        <w:t>This commercial proposal is valid for 60 days from the date of issue. All prices are exclusive of applicable taxes unless stated otherwise.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