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Project Khokha-Aligned CBDC and Tokenized Settlement Support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Why Platform over Bespoke</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Project Khokha to Production: The Investment Bridge</w:t>
          </w:r>
          <w:r>
            <w:tab/>
          </w:r>
          <w:r>
            <w:t xml:space="preserve">10</w:t>
          </w:r>
        </w:p>
        <w:p>
          <w:pPr>
            <w:pStyle w:val="TOC2"/>
            <w:tabs>
              <w:tab w:val="right" w:leader="dot" w:pos="9072"/>
            </w:tabs>
          </w:pPr>
          <w:r>
            <w:t xml:space="preserve">2.2 ROI Framework</w:t>
          </w:r>
          <w:r>
            <w:tab/>
          </w:r>
          <w:r>
            <w:t xml:space="preserve">11</w:t>
          </w:r>
        </w:p>
        <w:p>
          <w:pPr>
            <w:pStyle w:val="TOC1"/>
            <w:tabs>
              <w:tab w:val="right" w:leader="dot" w:pos="9072"/>
            </w:tabs>
          </w:pPr>
          <w:r>
            <w:t xml:space="preserve">3. Licensing Model</w:t>
          </w:r>
          <w:r>
            <w:tab/>
          </w:r>
          <w:r>
            <w:t xml:space="preserve">12</w:t>
          </w:r>
        </w:p>
        <w:p>
          <w:pPr>
            <w:pStyle w:val="TOC2"/>
            <w:tabs>
              <w:tab w:val="right" w:leader="dot" w:pos="9072"/>
            </w:tabs>
          </w:pPr>
          <w:r>
            <w:t xml:space="preserve">3.1 Sovereign Tier — NPS Infrastructure</w:t>
          </w:r>
          <w:r>
            <w:tab/>
          </w:r>
          <w:r>
            <w:t xml:space="preserve">13</w:t>
          </w:r>
        </w:p>
        <w:p>
          <w:pPr>
            <w:pStyle w:val="TOC2"/>
            <w:tabs>
              <w:tab w:val="right" w:leader="dot" w:pos="9072"/>
            </w:tabs>
          </w:pPr>
          <w:r>
            <w:t xml:space="preserve">3.2 Tier Comparison</w:t>
          </w:r>
          <w:r>
            <w:tab/>
          </w:r>
          <w:r>
            <w:t xml:space="preserve">14</w:t>
          </w:r>
        </w:p>
        <w:p>
          <w:pPr>
            <w:pStyle w:val="TOC1"/>
            <w:tabs>
              <w:tab w:val="right" w:leader="dot" w:pos="9072"/>
            </w:tabs>
          </w:pPr>
          <w:r>
            <w:t xml:space="preserve">4. Deployment Options and Pricing</w:t>
          </w:r>
          <w:r>
            <w:tab/>
          </w:r>
          <w:r>
            <w:t xml:space="preserve">15</w:t>
          </w:r>
        </w:p>
        <w:p>
          <w:pPr>
            <w:pStyle w:val="TOC2"/>
            <w:tabs>
              <w:tab w:val="right" w:leader="dot" w:pos="9072"/>
            </w:tabs>
          </w:pPr>
          <w:r>
            <w:t xml:space="preserve">4.1 South Africa Cloud Region — Recommended</w:t>
          </w:r>
          <w:r>
            <w:tab/>
          </w:r>
          <w:r>
            <w:t xml:space="preserve">16</w:t>
          </w:r>
        </w:p>
        <w:p>
          <w:pPr>
            <w:pStyle w:val="TOC2"/>
            <w:tabs>
              <w:tab w:val="right" w:leader="dot" w:pos="9072"/>
            </w:tabs>
          </w:pPr>
          <w:r>
            <w:t xml:space="preserve">4.2 Cost Structure</w:t>
          </w:r>
          <w:r>
            <w:tab/>
          </w:r>
          <w:r>
            <w:t xml:space="preserve">17</w:t>
          </w:r>
        </w:p>
        <w:p>
          <w:pPr>
            <w:pStyle w:val="TOC2"/>
            <w:tabs>
              <w:tab w:val="right" w:leader="dot" w:pos="9072"/>
            </w:tabs>
          </w:pPr>
          <w:r>
            <w:t xml:space="preserve">4.3 Cost Drivers</w:t>
          </w:r>
          <w:r>
            <w:tab/>
          </w:r>
          <w:r>
            <w:t xml:space="preserve">18</w:t>
          </w:r>
        </w:p>
        <w:p>
          <w:pPr>
            <w:pStyle w:val="TOC1"/>
            <w:tabs>
              <w:tab w:val="right" w:leader="dot" w:pos="9072"/>
            </w:tabs>
          </w:pPr>
          <w:r>
            <w:t xml:space="preserve">5. Support and SLA Framework</w:t>
          </w:r>
          <w:r>
            <w:tab/>
          </w:r>
          <w:r>
            <w:t xml:space="preserve">19</w:t>
          </w:r>
        </w:p>
        <w:p>
          <w:pPr>
            <w:pStyle w:val="TOC2"/>
            <w:tabs>
              <w:tab w:val="right" w:leader="dot" w:pos="9072"/>
            </w:tabs>
          </w:pPr>
          <w:r>
            <w:t xml:space="preserve">5.1 P1 Definitions for NPS Infrastructure</w:t>
          </w:r>
          <w:r>
            <w:tab/>
          </w:r>
          <w:r>
            <w:t xml:space="preserve">20</w:t>
          </w:r>
        </w:p>
        <w:p>
          <w:pPr>
            <w:pStyle w:val="TOC2"/>
            <w:tabs>
              <w:tab w:val="right" w:leader="dot" w:pos="9072"/>
            </w:tabs>
          </w:pPr>
          <w:r>
            <w:t xml:space="preserve">5.2 Uptime SLA with Service Credits</w:t>
          </w:r>
          <w:r>
            <w:tab/>
          </w:r>
          <w:r>
            <w:t xml:space="preserve">21</w:t>
          </w:r>
        </w:p>
        <w:p>
          <w:pPr>
            <w:pStyle w:val="TOC1"/>
            <w:tabs>
              <w:tab w:val="right" w:leader="dot" w:pos="9072"/>
            </w:tabs>
          </w:pPr>
          <w:r>
            <w:t xml:space="preserve">6. Implementation Investment</w:t>
          </w:r>
          <w:r>
            <w:tab/>
          </w:r>
          <w:r>
            <w:t xml:space="preserve">22</w:t>
          </w:r>
        </w:p>
        <w:p>
          <w:pPr>
            <w:pStyle w:val="TOC2"/>
            <w:tabs>
              <w:tab w:val="right" w:leader="dot" w:pos="9072"/>
            </w:tabs>
          </w:pPr>
          <w:r>
            <w:t xml:space="preserve">6.1 Phase Pricing</w:t>
          </w:r>
          <w:r>
            <w:tab/>
          </w:r>
          <w:r>
            <w:t xml:space="preserve">23</w:t>
          </w:r>
        </w:p>
        <w:p>
          <w:pPr>
            <w:pStyle w:val="TOC2"/>
            <w:tabs>
              <w:tab w:val="right" w:leader="dot" w:pos="9072"/>
            </w:tabs>
          </w:pPr>
          <w:r>
            <w:t xml:space="preserve">6.2 Payment Schedule</w:t>
          </w:r>
          <w:r>
            <w:tab/>
          </w:r>
          <w:r>
            <w:t xml:space="preserve">24</w:t>
          </w:r>
        </w:p>
        <w:p>
          <w:pPr>
            <w:pStyle w:val="TOC1"/>
            <w:tabs>
              <w:tab w:val="right" w:leader="dot" w:pos="9072"/>
            </w:tabs>
          </w:pPr>
          <w:r>
            <w:t xml:space="preserve">7. Commercial Terms</w:t>
          </w:r>
          <w:r>
            <w:tab/>
          </w:r>
          <w:r>
            <w:t xml:space="preserve">25</w:t>
          </w:r>
        </w:p>
        <w:p>
          <w:pPr>
            <w:pStyle w:val="TOC2"/>
            <w:tabs>
              <w:tab w:val="right" w:leader="dot" w:pos="9072"/>
            </w:tabs>
          </w:pPr>
          <w:r>
            <w:t xml:space="preserve">7.1 Contract Structure</w:t>
          </w:r>
          <w:r>
            <w:tab/>
          </w:r>
          <w:r>
            <w:t xml:space="preserve">26</w:t>
          </w:r>
        </w:p>
        <w:p>
          <w:pPr>
            <w:pStyle w:val="TOC2"/>
            <w:tabs>
              <w:tab w:val="right" w:leader="dot" w:pos="9072"/>
            </w:tabs>
          </w:pPr>
          <w:r>
            <w:t xml:space="preserve">7.2 SARB-Specific Terms</w:t>
          </w:r>
          <w:r>
            <w:tab/>
          </w:r>
          <w:r>
            <w:t xml:space="preserve">27</w:t>
          </w:r>
        </w:p>
        <w:p>
          <w:pPr>
            <w:pStyle w:val="TOC2"/>
            <w:tabs>
              <w:tab w:val="right" w:leader="dot" w:pos="9072"/>
            </w:tabs>
          </w:pPr>
          <w:r>
            <w:t xml:space="preserve">7.3 Duration</w:t>
          </w:r>
          <w:r>
            <w:tab/>
          </w:r>
          <w:r>
            <w:t xml:space="preserve">28</w:t>
          </w:r>
        </w:p>
        <w:p>
          <w:pPr>
            <w:pStyle w:val="TOC2"/>
            <w:tabs>
              <w:tab w:val="right" w:leader="dot" w:pos="9072"/>
            </w:tabs>
          </w:pPr>
          <w:r>
            <w:t xml:space="preserve">7.4 Liability</w:t>
          </w:r>
          <w:r>
            <w:tab/>
          </w:r>
          <w:r>
            <w:t xml:space="preserve">29</w:t>
          </w:r>
        </w:p>
        <w:p>
          <w:pPr>
            <w:pStyle w:val="TOC1"/>
            <w:tabs>
              <w:tab w:val="right" w:leader="dot" w:pos="9072"/>
            </w:tabs>
          </w:pPr>
          <w:r>
            <w:t xml:space="preserve">8. Total Cost of Ownership</w:t>
          </w:r>
          <w:r>
            <w:tab/>
          </w:r>
          <w:r>
            <w:t xml:space="preserve">30</w:t>
          </w:r>
        </w:p>
        <w:p>
          <w:pPr>
            <w:pStyle w:val="TOC2"/>
            <w:tabs>
              <w:tab w:val="right" w:leader="dot" w:pos="9072"/>
            </w:tabs>
          </w:pPr>
          <w:r>
            <w:t xml:space="preserve">8.1 Three-Year TCO vs Bespoke Build</w:t>
          </w:r>
          <w:r>
            <w:tab/>
          </w:r>
          <w:r>
            <w:t xml:space="preserve">31</w:t>
          </w:r>
        </w:p>
        <w:p>
          <w:pPr>
            <w:pStyle w:val="TOC2"/>
            <w:tabs>
              <w:tab w:val="right" w:leader="dot" w:pos="9072"/>
            </w:tabs>
          </w:pPr>
          <w:r>
            <w:t xml:space="preserve">8.2 Five-Year Projection</w:t>
          </w:r>
          <w:r>
            <w:tab/>
          </w:r>
          <w:r>
            <w:t xml:space="preserve">32</w:t>
          </w:r>
        </w:p>
        <w:p>
          <w:pPr>
            <w:pStyle w:val="TOC1"/>
            <w:tabs>
              <w:tab w:val="right" w:leader="dot" w:pos="9072"/>
            </w:tabs>
          </w:pPr>
          <w:r>
            <w:t xml:space="preserve">9. Reference Clients</w:t>
          </w:r>
          <w:r>
            <w:tab/>
          </w:r>
          <w:r>
            <w:t xml:space="preserve">33</w:t>
          </w:r>
        </w:p>
        <w:p>
          <w:pPr>
            <w:pStyle w:val="TOC1"/>
            <w:tabs>
              <w:tab w:val="right" w:leader="dot" w:pos="9072"/>
            </w:tabs>
          </w:pPr>
          <w:r>
            <w:t xml:space="preserve">10. Next Steps</w:t>
          </w:r>
          <w:r>
            <w:tab/>
          </w:r>
          <w:r>
            <w:t xml:space="preserve">34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Project Khokha-Aligned CBDC and Tokenized Settlement Support"</w:t>
      </w:r>
    </w:p>
    <w:p>
      <w:r>
        <w:rPr>
          <w:rFonts w:ascii="Figtree" w:hAnsi="Figtree"/>
          <w:b w:val="0"/>
          <w:i w:val="0"/>
          <w:sz w:val="22"/>
        </w:rPr>
        <w:t>client: "South African Reserve Bank"</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"SOUTH-AFRICAN-RESERVE-BANK-RFP-PROJECT-KHOKHA-CBDC-202603"</w:t>
      </w:r>
    </w:p>
    <w:p>
      <w:r>
        <w:br w:type="page"/>
      </w:r>
    </w:p>
    <w:p>
      <w:pPr>
        <w:pStyle w:val="H1"/>
        <w:numPr>
          <w:ilvl w:val="0"/>
          <w:numId w:val="1"/>
        </w:numPr>
      </w:pPr>
      <w:r>
        <w:t>Commercial Proposal</w:t>
      </w:r>
    </w:p>
    <w:p>
      <w:pPr>
        <w:pStyle w:val="H2"/>
        <w:numPr>
          <w:ilvl w:val="1"/>
          <w:numId w:val="1"/>
        </w:numPr>
      </w:pPr>
      <w:r>
        <w:t>Project Khokha-Aligned CBDC and Tokenized Settlement Support</w:t>
      </w:r>
    </w:p>
    <w:p>
      <w:r>
        <w:br w:type="page"/>
      </w:r>
    </w:p>
    <w:p>
      <w:r>
        <w:rPr>
          <w:rFonts w:ascii="Figtree" w:hAnsi="Figtree"/>
          <w:b/>
          <w:i w:val="0"/>
          <w:sz w:val="22"/>
        </w:rPr>
        <w:t>Document Title:</w:t>
      </w:r>
      <w:r>
        <w:rPr>
          <w:rFonts w:ascii="Figtree" w:hAnsi="Figtree"/>
          <w:b w:val="0"/>
          <w:i w:val="0"/>
          <w:sz w:val="22"/>
        </w:rPr>
        <w:t xml:space="preserve"> Commercial Proposal — Project Khokha-Aligned CBDC and Tokenized Settlement Support</w:t>
      </w:r>
    </w:p>
    <w:p>
      <w:r>
        <w:rPr>
          <w:rFonts w:ascii="Figtree" w:hAnsi="Figtree"/>
          <w:b/>
          <w:i w:val="0"/>
          <w:sz w:val="22"/>
        </w:rPr>
        <w:t>Client:</w:t>
      </w:r>
      <w:r>
        <w:rPr>
          <w:rFonts w:ascii="Figtree" w:hAnsi="Figtree"/>
          <w:b w:val="0"/>
          <w:i w:val="0"/>
          <w:sz w:val="22"/>
        </w:rPr>
        <w:t xml:space="preserve"> South African Reserve Bank (SARB)</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SARB's Project Khokha-aligned CBDC programme builds on years of research and proof-of-concept work. The commercial decision is about moving from research to production infrastructure. The question is not whether CBDC is technically feasible — Project Khokha I and II answered that — but which platform provides the production-grade governance, SAMOS/Strate integration, and South African data sovereignty posture needed for SARB to operate a live CBDC programme responsibly.</w:t>
      </w:r>
    </w:p>
    <w:p>
      <w:r>
        <w:rPr>
          <w:rFonts w:ascii="Figtree" w:hAnsi="Figtree"/>
          <w:b w:val="0"/>
          <w:i w:val="0"/>
          <w:sz w:val="22"/>
        </w:rPr>
        <w:t>SettleMint recommends DALP Sovereign tier with CBDC-enhanced 24/7 support, South Africa-region private cloud, and SARB-controlled HSM.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3"/>
        <w:gridCol w:w="1427"/>
        <w:gridCol w:w="1427"/>
        <w:gridCol w:w="1427"/>
        <w:gridCol w:w="142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(Sovereign)</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$2,160,000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$460,000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(ZA Private Cloud)</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CBDC-Enhanced Support</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$648,000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$36,000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w:t>
            </w:r>
          </w:p>
        </w:tc>
        <w:tc>
          <w:tcPr>
            <w:tcW w:type="dxa" w:w="1949"/>
            <w:vAlign w:val="center"/>
          </w:tcPr>
          <w:p>
            <w:pPr>
              <w:spacing w:line="276" w:lineRule="auto" w:before="0" w:after="0"/>
            </w:pPr>
            <w:r/>
            <w:r>
              <w:rPr>
                <w:rFonts w:ascii="Figtree" w:hAnsi="Figtree"/>
                <w:b w:val="0"/>
                <w:i w:val="0"/>
                <w:sz w:val="20"/>
              </w:rPr>
              <w:t>$54,000</w:t>
            </w:r>
          </w:p>
        </w:tc>
      </w:tr>
      <w:tr>
        <w:trPr>
          <w:trHeight w:val="425" w:hRule="atLeast"/>
        </w:trPr>
        <w:tc>
          <w:tcPr>
            <w:tcW w:type="dxa" w:w="1949"/>
            <w:vAlign w:val="center"/>
          </w:tcPr>
          <w:p>
            <w:pPr>
              <w:spacing w:line="276" w:lineRule="auto" w:before="0" w:after="0"/>
            </w:pPr>
            <w:r/>
            <w:r>
              <w:rPr>
                <w:rFonts w:ascii="Figtree" w:hAnsi="Figtree"/>
                <w:b w:val="0"/>
                <w:i w:val="0"/>
                <w:sz w:val="20"/>
              </w:rPr>
              <w:t>HSM Commissioning</w:t>
            </w:r>
          </w:p>
        </w:tc>
        <w:tc>
          <w:tcPr>
            <w:tcW w:type="dxa" w:w="1949"/>
            <w:vAlign w:val="center"/>
          </w:tcPr>
          <w:p>
            <w:pPr>
              <w:spacing w:line="276" w:lineRule="auto" w:before="0" w:after="0"/>
            </w:pPr>
            <w:r/>
            <w:r>
              <w:rPr>
                <w:rFonts w:ascii="Figtree" w:hAnsi="Figtree"/>
                <w:b w:val="0"/>
                <w:i w:val="0"/>
                <w:sz w:val="20"/>
              </w:rPr>
              <w:t>$55,000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$55,000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$1,607,000</w:t>
            </w:r>
          </w:p>
        </w:tc>
        <w:tc>
          <w:tcPr>
            <w:tcW w:type="dxa" w:w="1949"/>
            <w:vAlign w:val="center"/>
          </w:tcPr>
          <w:p>
            <w:pPr>
              <w:spacing w:line="276" w:lineRule="auto" w:before="0" w:after="0"/>
            </w:pPr>
            <w:r/>
            <w:r>
              <w:rPr>
                <w:rFonts w:ascii="Figtree" w:hAnsi="Figtree"/>
                <w:b/>
                <w:i w:val="0"/>
                <w:sz w:val="20"/>
              </w:rPr>
              <w:t>$1,056,000</w:t>
            </w:r>
          </w:p>
        </w:tc>
        <w:tc>
          <w:tcPr>
            <w:tcW w:type="dxa" w:w="1949"/>
            <w:vAlign w:val="center"/>
          </w:tcPr>
          <w:p>
            <w:pPr>
              <w:spacing w:line="276" w:lineRule="auto" w:before="0" w:after="0"/>
            </w:pPr>
            <w:r/>
            <w:r>
              <w:rPr>
                <w:rFonts w:ascii="Figtree" w:hAnsi="Figtree"/>
                <w:b/>
                <w:i w:val="0"/>
                <w:sz w:val="20"/>
              </w:rPr>
              <w:t>$1,074,000</w:t>
            </w:r>
          </w:p>
        </w:tc>
        <w:tc>
          <w:tcPr>
            <w:tcW w:type="dxa" w:w="1949"/>
            <w:vAlign w:val="center"/>
          </w:tcPr>
          <w:p>
            <w:pPr>
              <w:spacing w:line="276" w:lineRule="auto" w:before="0" w:after="0"/>
            </w:pPr>
            <w:r/>
            <w:r>
              <w:rPr>
                <w:rFonts w:ascii="Figtree" w:hAnsi="Figtree"/>
                <w:b/>
                <w:i w:val="0"/>
                <w:sz w:val="20"/>
              </w:rPr>
              <w:t>$3,737,000</w:t>
            </w:r>
          </w:p>
        </w:tc>
      </w:tr>
    </w:tbl>
    <w:p>
      <w:pPr>
        <w:spacing w:before="0" w:after="0" w:line="120" w:lineRule="exact"/>
      </w:pPr>
    </w:p>
    <w:p>
      <w:r>
        <w:rPr>
          <w:rFonts w:ascii="Figtree" w:hAnsi="Figtree"/>
          <w:b w:val="0"/>
          <w:i w:val="0"/>
          <w:sz w:val="22"/>
        </w:rPr>
        <w:t>&gt; Indicative USD amounts. Infrastructure estimated for AWS af-south-1 Cape Town or Azure South Africa North Johannesburg. ZAR-denominated pricing available at contract exchange rate.</w:t>
      </w:r>
    </w:p>
    <w:p>
      <w:pPr>
        <w:pStyle w:val="H2"/>
        <w:numPr>
          <w:ilvl w:val="1"/>
          <w:numId w:val="1"/>
        </w:numPr>
      </w:pPr>
      <w:r>
        <w:t>1.2 Why Platform over Bespoke</w:t>
      </w:r>
    </w:p>
    <w:p>
      <w:r>
        <w:rPr>
          <w:rFonts w:ascii="Figtree" w:hAnsi="Figtree"/>
          <w:b w:val="0"/>
          <w:i w:val="0"/>
          <w:sz w:val="22"/>
        </w:rPr>
        <w:t>SARB's existing investment in Project Khokha created institutional knowledge of Hyperledger Besu and IBFT 2.0. DALP runs on the same stack. The investment in a platform licence builds on this foundation rather than abandoning it.</w:t>
      </w:r>
    </w:p>
    <w:p>
      <w:r>
        <w:rPr>
          <w:rFonts w:ascii="Figtree" w:hAnsi="Figtree"/>
          <w:b/>
          <w:i w:val="0"/>
          <w:sz w:val="22"/>
        </w:rPr>
        <w:t>Bespoke continuation cost:</w:t>
      </w:r>
      <w:r>
        <w:rPr>
          <w:rFonts w:ascii="Figtree" w:hAnsi="Figtree"/>
          <w:b w:val="0"/>
          <w:i w:val="0"/>
          <w:sz w:val="22"/>
        </w:rPr>
        <w:t xml:space="preserve"> Extending Project Khokha's proof-of-concept to a production-capable platform with SAMOS/Strate integration, governance controls, and operations tooling would require: 6-8 senior engineers for 18-24 months ($1.5M-$2.5M), external security and regulatory review ($400K-$600K), integration architecture build ($500K-$800K). Total: $2.4M-$3.9M before ongoing maintenance.</w:t>
      </w:r>
    </w:p>
    <w:p>
      <w:r>
        <w:rPr>
          <w:rFonts w:ascii="Figtree" w:hAnsi="Figtree"/>
          <w:b/>
          <w:i w:val="0"/>
          <w:sz w:val="22"/>
        </w:rPr>
        <w:t>DALP advantage:</w:t>
      </w:r>
      <w:r>
        <w:rPr>
          <w:rFonts w:ascii="Figtree" w:hAnsi="Figtree"/>
          <w:b w:val="0"/>
          <w:i w:val="0"/>
          <w:sz w:val="22"/>
        </w:rPr>
        <w:t xml:space="preserve"> DALP provides the production layer that converts Khokha's research foundation into an operational platform. SARB pays for configuration and integration, not for rebuilding capabilities that already exist in production.</w:t>
      </w:r>
    </w:p>
    <w:p>
      <w:r>
        <w:br w:type="page"/>
      </w:r>
    </w:p>
    <w:p>
      <w:pPr>
        <w:pStyle w:val="H1"/>
        <w:numPr>
          <w:ilvl w:val="0"/>
          <w:numId w:val="1"/>
        </w:numPr>
      </w:pPr>
      <w:r>
        <w:t>2. Investment Rationale</w:t>
      </w:r>
    </w:p>
    <w:p>
      <w:pPr>
        <w:pStyle w:val="H2"/>
        <w:numPr>
          <w:ilvl w:val="1"/>
          <w:numId w:val="1"/>
        </w:numPr>
      </w:pPr>
      <w:r>
        <w:t>2.1 Project Khokha to Production: The Investment Bridge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2"/>
        <w:gridCol w:w="3169"/>
        <w:gridCol w:w="31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Implication</w:t>
            </w:r>
          </w:p>
        </w:tc>
      </w:tr>
      <w:tr>
        <w:trPr>
          <w:trHeight w:val="425" w:hRule="atLeast"/>
        </w:trPr>
        <w:tc>
          <w:tcPr>
            <w:tcW w:type="dxa" w:w="3249"/>
            <w:vAlign w:val="center"/>
          </w:tcPr>
          <w:p>
            <w:pPr>
              <w:spacing w:line="276" w:lineRule="auto" w:before="0" w:after="0"/>
            </w:pPr>
            <w:r/>
            <w:r>
              <w:rPr>
                <w:rFonts w:ascii="Figtree" w:hAnsi="Figtree"/>
                <w:b w:val="0"/>
                <w:i w:val="0"/>
                <w:sz w:val="20"/>
              </w:rPr>
              <w:t>Project Khokha I (2018)</w:t>
            </w:r>
          </w:p>
        </w:tc>
        <w:tc>
          <w:tcPr>
            <w:tcW w:type="dxa" w:w="3249"/>
            <w:vAlign w:val="center"/>
          </w:tcPr>
          <w:p>
            <w:pPr>
              <w:spacing w:line="276" w:lineRule="auto" w:before="0" w:after="0"/>
            </w:pPr>
            <w:r/>
            <w:r>
              <w:rPr>
                <w:rFonts w:ascii="Figtree" w:hAnsi="Figtree"/>
                <w:b w:val="0"/>
                <w:i w:val="0"/>
                <w:sz w:val="20"/>
              </w:rPr>
              <w:t>Wholesale CBDC PoC on Besu</w:t>
            </w:r>
          </w:p>
        </w:tc>
        <w:tc>
          <w:tcPr>
            <w:tcW w:type="dxa" w:w="3249"/>
            <w:vAlign w:val="center"/>
          </w:tcPr>
          <w:p>
            <w:pPr>
              <w:spacing w:line="276" w:lineRule="auto" w:before="0" w:after="0"/>
            </w:pPr>
            <w:r/>
            <w:r>
              <w:rPr>
                <w:rFonts w:ascii="Figtree" w:hAnsi="Figtree"/>
                <w:b w:val="0"/>
                <w:i w:val="0"/>
                <w:sz w:val="20"/>
              </w:rPr>
              <w:t>Research investment (sunk)</w:t>
            </w:r>
          </w:p>
        </w:tc>
      </w:tr>
      <w:tr>
        <w:trPr>
          <w:trHeight w:val="425" w:hRule="atLeast"/>
        </w:trPr>
        <w:tc>
          <w:tcPr>
            <w:tcW w:type="dxa" w:w="3249"/>
            <w:vAlign w:val="center"/>
          </w:tcPr>
          <w:p>
            <w:pPr>
              <w:spacing w:line="276" w:lineRule="auto" w:before="0" w:after="0"/>
            </w:pPr>
            <w:r/>
            <w:r>
              <w:rPr>
                <w:rFonts w:ascii="Figtree" w:hAnsi="Figtree"/>
                <w:b w:val="0"/>
                <w:i w:val="0"/>
                <w:sz w:val="20"/>
              </w:rPr>
              <w:t>Project Khokha II (2021)</w:t>
            </w:r>
          </w:p>
        </w:tc>
        <w:tc>
          <w:tcPr>
            <w:tcW w:type="dxa" w:w="3249"/>
            <w:vAlign w:val="center"/>
          </w:tcPr>
          <w:p>
            <w:pPr>
              <w:spacing w:line="276" w:lineRule="auto" w:before="0" w:after="0"/>
            </w:pPr>
            <w:r/>
            <w:r>
              <w:rPr>
                <w:rFonts w:ascii="Figtree" w:hAnsi="Figtree"/>
                <w:b w:val="0"/>
                <w:i w:val="0"/>
                <w:sz w:val="20"/>
              </w:rPr>
              <w:t>DvP securities settlement PoC</w:t>
            </w:r>
          </w:p>
        </w:tc>
        <w:tc>
          <w:tcPr>
            <w:tcW w:type="dxa" w:w="3249"/>
            <w:vAlign w:val="center"/>
          </w:tcPr>
          <w:p>
            <w:pPr>
              <w:spacing w:line="276" w:lineRule="auto" w:before="0" w:after="0"/>
            </w:pPr>
            <w:r/>
            <w:r>
              <w:rPr>
                <w:rFonts w:ascii="Figtree" w:hAnsi="Figtree"/>
                <w:b w:val="0"/>
                <w:i w:val="0"/>
                <w:sz w:val="20"/>
              </w:rPr>
              <w:t>Research investment (sunk)</w:t>
            </w:r>
          </w:p>
        </w:tc>
      </w:tr>
      <w:tr>
        <w:trPr>
          <w:trHeight w:val="425" w:hRule="atLeast"/>
        </w:trPr>
        <w:tc>
          <w:tcPr>
            <w:tcW w:type="dxa" w:w="3249"/>
            <w:vAlign w:val="center"/>
          </w:tcPr>
          <w:p>
            <w:pPr>
              <w:spacing w:line="276" w:lineRule="auto" w:before="0" w:after="0"/>
            </w:pPr>
            <w:r/>
            <w:r>
              <w:rPr>
                <w:rFonts w:ascii="Figtree" w:hAnsi="Figtree"/>
                <w:b w:val="0"/>
                <w:i w:val="0"/>
                <w:sz w:val="20"/>
              </w:rPr>
              <w:t>Project Khokha III (DALP)</w:t>
            </w:r>
          </w:p>
        </w:tc>
        <w:tc>
          <w:tcPr>
            <w:tcW w:type="dxa" w:w="3249"/>
            <w:vAlign w:val="center"/>
          </w:tcPr>
          <w:p>
            <w:pPr>
              <w:spacing w:line="276" w:lineRule="auto" w:before="0" w:after="0"/>
            </w:pPr>
            <w:r/>
            <w:r>
              <w:rPr>
                <w:rFonts w:ascii="Figtree" w:hAnsi="Figtree"/>
                <w:b w:val="0"/>
                <w:i w:val="0"/>
                <w:sz w:val="20"/>
              </w:rPr>
              <w:t>Production-capable platform</w:t>
            </w:r>
          </w:p>
        </w:tc>
        <w:tc>
          <w:tcPr>
            <w:tcW w:type="dxa" w:w="3249"/>
            <w:vAlign w:val="center"/>
          </w:tcPr>
          <w:p>
            <w:pPr>
              <w:spacing w:line="276" w:lineRule="auto" w:before="0" w:after="0"/>
            </w:pPr>
            <w:r/>
            <w:r>
              <w:rPr>
                <w:rFonts w:ascii="Figtree" w:hAnsi="Figtree"/>
                <w:b w:val="0"/>
                <w:i w:val="0"/>
                <w:sz w:val="20"/>
              </w:rPr>
              <w:t>This procurement</w:t>
            </w:r>
          </w:p>
        </w:tc>
      </w:tr>
      <w:tr>
        <w:trPr>
          <w:trHeight w:val="425" w:hRule="atLeast"/>
        </w:trPr>
        <w:tc>
          <w:tcPr>
            <w:tcW w:type="dxa" w:w="3249"/>
            <w:vAlign w:val="center"/>
          </w:tcPr>
          <w:p>
            <w:pPr>
              <w:spacing w:line="276" w:lineRule="auto" w:before="0" w:after="0"/>
            </w:pPr>
            <w:r/>
            <w:r>
              <w:rPr>
                <w:rFonts w:ascii="Figtree" w:hAnsi="Figtree"/>
                <w:b w:val="0"/>
                <w:i w:val="0"/>
                <w:sz w:val="20"/>
              </w:rPr>
              <w:t>Future: Broader CBDC</w:t>
            </w:r>
          </w:p>
        </w:tc>
        <w:tc>
          <w:tcPr>
            <w:tcW w:type="dxa" w:w="3249"/>
            <w:vAlign w:val="center"/>
          </w:tcPr>
          <w:p>
            <w:pPr>
              <w:spacing w:line="276" w:lineRule="auto" w:before="0" w:after="0"/>
            </w:pPr>
            <w:r/>
            <w:r>
              <w:rPr>
                <w:rFonts w:ascii="Figtree" w:hAnsi="Figtree"/>
                <w:b w:val="0"/>
                <w:i w:val="0"/>
                <w:sz w:val="20"/>
              </w:rPr>
              <w:t>Retail CBDC, cross-border</w:t>
            </w:r>
          </w:p>
        </w:tc>
        <w:tc>
          <w:tcPr>
            <w:tcW w:type="dxa" w:w="3249"/>
            <w:vAlign w:val="center"/>
          </w:tcPr>
          <w:p>
            <w:pPr>
              <w:spacing w:line="276" w:lineRule="auto" w:before="0" w:after="0"/>
            </w:pPr>
            <w:r/>
            <w:r>
              <w:rPr>
                <w:rFonts w:ascii="Figtree" w:hAnsi="Figtree"/>
                <w:b w:val="0"/>
                <w:i w:val="0"/>
                <w:sz w:val="20"/>
              </w:rPr>
              <w:t>Platform expansion (included)</w:t>
            </w:r>
          </w:p>
        </w:tc>
      </w:tr>
    </w:tbl>
    <w:p>
      <w:pPr>
        <w:spacing w:before="0" w:after="0" w:line="120" w:lineRule="exact"/>
      </w:pPr>
    </w:p>
    <w:p>
      <w:r>
        <w:rPr>
          <w:rFonts w:ascii="Figtree" w:hAnsi="Figtree"/>
          <w:b w:val="0"/>
          <w:i w:val="0"/>
          <w:sz w:val="22"/>
        </w:rPr>
        <w:t>DALP's Sovereign tier includes the capability to expand from wholesale CBDC pilot to broader retail or cross-border scope without platform replacement. The Sovereign licence covers unlimited environments, all asset types, and all participant scales.</w:t>
      </w:r>
    </w:p>
    <w:p>
      <w:pPr>
        <w:pStyle w:val="H2"/>
        <w:numPr>
          <w:ilvl w:val="1"/>
          <w:numId w:val="1"/>
        </w:numPr>
      </w:pPr>
      <w:r>
        <w:t>2.2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6"/>
        <w:gridCol w:w="2206"/>
        <w:gridCol w:w="2451"/>
        <w:gridCol w:w="220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Without Platform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Advantage</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24+ months bespoke</w:t>
            </w:r>
          </w:p>
        </w:tc>
        <w:tc>
          <w:tcPr>
            <w:tcW w:type="dxa" w:w="2436"/>
            <w:vAlign w:val="center"/>
          </w:tcPr>
          <w:p>
            <w:pPr>
              <w:spacing w:line="276" w:lineRule="auto" w:before="0" w:after="0"/>
            </w:pPr>
            <w:r/>
            <w:r>
              <w:rPr>
                <w:rFonts w:ascii="Figtree" w:hAnsi="Figtree"/>
                <w:b w:val="0"/>
                <w:i w:val="0"/>
                <w:sz w:val="20"/>
              </w:rPr>
              <w:t>20 weeks</w:t>
            </w:r>
          </w:p>
        </w:tc>
        <w:tc>
          <w:tcPr>
            <w:tcW w:type="dxa" w:w="2436"/>
            <w:vAlign w:val="center"/>
          </w:tcPr>
          <w:p>
            <w:pPr>
              <w:spacing w:line="276" w:lineRule="auto" w:before="0" w:after="0"/>
            </w:pPr>
            <w:r/>
            <w:r>
              <w:rPr>
                <w:rFonts w:ascii="Figtree" w:hAnsi="Figtree"/>
                <w:b w:val="0"/>
                <w:i w:val="0"/>
                <w:sz w:val="20"/>
              </w:rPr>
              <w:t>18+ months earlier</w:t>
            </w:r>
          </w:p>
        </w:tc>
      </w:tr>
      <w:tr>
        <w:trPr>
          <w:trHeight w:val="425" w:hRule="atLeast"/>
        </w:trPr>
        <w:tc>
          <w:tcPr>
            <w:tcW w:type="dxa" w:w="2436"/>
            <w:vAlign w:val="center"/>
          </w:tcPr>
          <w:p>
            <w:pPr>
              <w:spacing w:line="276" w:lineRule="auto" w:before="0" w:after="0"/>
            </w:pPr>
            <w:r/>
            <w:r>
              <w:rPr>
                <w:rFonts w:ascii="Figtree" w:hAnsi="Figtree"/>
                <w:b w:val="0"/>
                <w:i w:val="0"/>
                <w:sz w:val="20"/>
              </w:rPr>
              <w:t>Build cost</w:t>
            </w:r>
          </w:p>
        </w:tc>
        <w:tc>
          <w:tcPr>
            <w:tcW w:type="dxa" w:w="2436"/>
            <w:vAlign w:val="center"/>
          </w:tcPr>
          <w:p>
            <w:pPr>
              <w:spacing w:line="276" w:lineRule="auto" w:before="0" w:after="0"/>
            </w:pPr>
            <w:r/>
            <w:r>
              <w:rPr>
                <w:rFonts w:ascii="Figtree" w:hAnsi="Figtree"/>
                <w:b w:val="0"/>
                <w:i w:val="0"/>
                <w:sz w:val="20"/>
              </w:rPr>
              <w:t>$2.4M-$3.9M</w:t>
            </w:r>
          </w:p>
        </w:tc>
        <w:tc>
          <w:tcPr>
            <w:tcW w:type="dxa" w:w="2436"/>
            <w:vAlign w:val="center"/>
          </w:tcPr>
          <w:p>
            <w:pPr>
              <w:spacing w:line="276" w:lineRule="auto" w:before="0" w:after="0"/>
            </w:pPr>
            <w:r/>
            <w:r>
              <w:rPr>
                <w:rFonts w:ascii="Figtree" w:hAnsi="Figtree"/>
                <w:b w:val="0"/>
                <w:i w:val="0"/>
                <w:sz w:val="20"/>
              </w:rPr>
              <w:t>$460K implementation</w:t>
            </w:r>
          </w:p>
        </w:tc>
        <w:tc>
          <w:tcPr>
            <w:tcW w:type="dxa" w:w="2436"/>
            <w:vAlign w:val="center"/>
          </w:tcPr>
          <w:p>
            <w:pPr>
              <w:spacing w:line="276" w:lineRule="auto" w:before="0" w:after="0"/>
            </w:pPr>
            <w:r/>
            <w:r>
              <w:rPr>
                <w:rFonts w:ascii="Figtree" w:hAnsi="Figtree"/>
                <w:b w:val="0"/>
                <w:i w:val="0"/>
                <w:sz w:val="20"/>
              </w:rPr>
              <w:t>$2M-$3.4M Year 1</w:t>
            </w:r>
          </w:p>
        </w:tc>
      </w:tr>
      <w:tr>
        <w:trPr>
          <w:trHeight w:val="425" w:hRule="atLeast"/>
        </w:trPr>
        <w:tc>
          <w:tcPr>
            <w:tcW w:type="dxa" w:w="2436"/>
            <w:vAlign w:val="center"/>
          </w:tcPr>
          <w:p>
            <w:pPr>
              <w:spacing w:line="276" w:lineRule="auto" w:before="0" w:after="0"/>
            </w:pPr>
            <w:r/>
            <w:r>
              <w:rPr>
                <w:rFonts w:ascii="Figtree" w:hAnsi="Figtree"/>
                <w:b w:val="0"/>
                <w:i w:val="0"/>
                <w:sz w:val="20"/>
              </w:rPr>
              <w:t>SAMOS integration</w:t>
            </w:r>
          </w:p>
        </w:tc>
        <w:tc>
          <w:tcPr>
            <w:tcW w:type="dxa" w:w="2436"/>
            <w:vAlign w:val="center"/>
          </w:tcPr>
          <w:p>
            <w:pPr>
              <w:spacing w:line="276" w:lineRule="auto" w:before="0" w:after="0"/>
            </w:pPr>
            <w:r/>
            <w:r>
              <w:rPr>
                <w:rFonts w:ascii="Figtree" w:hAnsi="Figtree"/>
                <w:b w:val="0"/>
                <w:i w:val="0"/>
                <w:sz w:val="20"/>
              </w:rPr>
              <w:t>Custom development</w:t>
            </w:r>
          </w:p>
        </w:tc>
        <w:tc>
          <w:tcPr>
            <w:tcW w:type="dxa" w:w="2436"/>
            <w:vAlign w:val="center"/>
          </w:tcPr>
          <w:p>
            <w:pPr>
              <w:spacing w:line="276" w:lineRule="auto" w:before="0" w:after="0"/>
            </w:pPr>
            <w:r/>
            <w:r>
              <w:rPr>
                <w:rFonts w:ascii="Figtree" w:hAnsi="Figtree"/>
                <w:b w:val="0"/>
                <w:i w:val="0"/>
                <w:sz w:val="20"/>
              </w:rPr>
              <w:t>Pre-built ISO 20022</w:t>
            </w:r>
          </w:p>
        </w:tc>
        <w:tc>
          <w:tcPr>
            <w:tcW w:type="dxa" w:w="2436"/>
            <w:vAlign w:val="center"/>
          </w:tcPr>
          <w:p>
            <w:pPr>
              <w:spacing w:line="276" w:lineRule="auto" w:before="0" w:after="0"/>
            </w:pPr>
            <w:r/>
            <w:r>
              <w:rPr>
                <w:rFonts w:ascii="Figtree" w:hAnsi="Figtree"/>
                <w:b w:val="0"/>
                <w:i w:val="0"/>
                <w:sz w:val="20"/>
              </w:rPr>
              <w:t>$200K-$400K saving</w:t>
            </w:r>
          </w:p>
        </w:tc>
      </w:tr>
      <w:tr>
        <w:trPr>
          <w:trHeight w:val="425" w:hRule="atLeast"/>
        </w:trPr>
        <w:tc>
          <w:tcPr>
            <w:tcW w:type="dxa" w:w="2436"/>
            <w:vAlign w:val="center"/>
          </w:tcPr>
          <w:p>
            <w:pPr>
              <w:spacing w:line="276" w:lineRule="auto" w:before="0" w:after="0"/>
            </w:pPr>
            <w:r/>
            <w:r>
              <w:rPr>
                <w:rFonts w:ascii="Figtree" w:hAnsi="Figtree"/>
                <w:b w:val="0"/>
                <w:i w:val="0"/>
                <w:sz w:val="20"/>
              </w:rPr>
              <w:t>Strate integration</w:t>
            </w:r>
          </w:p>
        </w:tc>
        <w:tc>
          <w:tcPr>
            <w:tcW w:type="dxa" w:w="2436"/>
            <w:vAlign w:val="center"/>
          </w:tcPr>
          <w:p>
            <w:pPr>
              <w:spacing w:line="276" w:lineRule="auto" w:before="0" w:after="0"/>
            </w:pPr>
            <w:r/>
            <w:r>
              <w:rPr>
                <w:rFonts w:ascii="Figtree" w:hAnsi="Figtree"/>
                <w:b w:val="0"/>
                <w:i w:val="0"/>
                <w:sz w:val="20"/>
              </w:rPr>
              <w:t>Custom development</w:t>
            </w:r>
          </w:p>
        </w:tc>
        <w:tc>
          <w:tcPr>
            <w:tcW w:type="dxa" w:w="2436"/>
            <w:vAlign w:val="center"/>
          </w:tcPr>
          <w:p>
            <w:pPr>
              <w:spacing w:line="276" w:lineRule="auto" w:before="0" w:after="0"/>
            </w:pPr>
            <w:r/>
            <w:r>
              <w:rPr>
                <w:rFonts w:ascii="Figtree" w:hAnsi="Figtree"/>
                <w:b w:val="0"/>
                <w:i w:val="0"/>
                <w:sz w:val="20"/>
              </w:rPr>
              <w:t>Pre-built patterns</w:t>
            </w:r>
          </w:p>
        </w:tc>
        <w:tc>
          <w:tcPr>
            <w:tcW w:type="dxa" w:w="2436"/>
            <w:vAlign w:val="center"/>
          </w:tcPr>
          <w:p>
            <w:pPr>
              <w:spacing w:line="276" w:lineRule="auto" w:before="0" w:after="0"/>
            </w:pPr>
            <w:r/>
            <w:r>
              <w:rPr>
                <w:rFonts w:ascii="Figtree" w:hAnsi="Figtree"/>
                <w:b w:val="0"/>
                <w:i w:val="0"/>
                <w:sz w:val="20"/>
              </w:rPr>
              <w:t>$150K-$300K saving</w:t>
            </w:r>
          </w:p>
        </w:tc>
      </w:tr>
      <w:tr>
        <w:trPr>
          <w:trHeight w:val="425" w:hRule="atLeast"/>
        </w:trPr>
        <w:tc>
          <w:tcPr>
            <w:tcW w:type="dxa" w:w="2436"/>
            <w:vAlign w:val="center"/>
          </w:tcPr>
          <w:p>
            <w:pPr>
              <w:spacing w:line="276" w:lineRule="auto" w:before="0" w:after="0"/>
            </w:pPr>
            <w:r/>
            <w:r>
              <w:rPr>
                <w:rFonts w:ascii="Figtree" w:hAnsi="Figtree"/>
                <w:b w:val="0"/>
                <w:i w:val="0"/>
                <w:sz w:val="20"/>
              </w:rPr>
              <w:t>Annual maintenance</w:t>
            </w:r>
          </w:p>
        </w:tc>
        <w:tc>
          <w:tcPr>
            <w:tcW w:type="dxa" w:w="2436"/>
            <w:vAlign w:val="center"/>
          </w:tcPr>
          <w:p>
            <w:pPr>
              <w:spacing w:line="276" w:lineRule="auto" w:before="0" w:after="0"/>
            </w:pPr>
            <w:r/>
            <w:r>
              <w:rPr>
                <w:rFonts w:ascii="Figtree" w:hAnsi="Figtree"/>
                <w:b w:val="0"/>
                <w:i w:val="0"/>
                <w:sz w:val="20"/>
              </w:rPr>
              <w:t>$800K-$1.2M team</w:t>
            </w:r>
          </w:p>
        </w:tc>
        <w:tc>
          <w:tcPr>
            <w:tcW w:type="dxa" w:w="2436"/>
            <w:vAlign w:val="center"/>
          </w:tcPr>
          <w:p>
            <w:pPr>
              <w:spacing w:line="276" w:lineRule="auto" w:before="0" w:after="0"/>
            </w:pPr>
            <w:r/>
            <w:r>
              <w:rPr>
                <w:rFonts w:ascii="Figtree" w:hAnsi="Figtree"/>
                <w:b w:val="0"/>
                <w:i w:val="0"/>
                <w:sz w:val="20"/>
              </w:rPr>
              <w:t>Included in licence</w:t>
            </w:r>
          </w:p>
        </w:tc>
        <w:tc>
          <w:tcPr>
            <w:tcW w:type="dxa" w:w="2436"/>
            <w:vAlign w:val="center"/>
          </w:tcPr>
          <w:p>
            <w:pPr>
              <w:spacing w:line="276" w:lineRule="auto" w:before="0" w:after="0"/>
            </w:pPr>
            <w:r/>
            <w:r>
              <w:rPr>
                <w:rFonts w:ascii="Figtree" w:hAnsi="Figtree"/>
                <w:b w:val="0"/>
                <w:i w:val="0"/>
                <w:sz w:val="20"/>
              </w:rPr>
              <w:t>Ongoing saving</w:t>
            </w:r>
          </w:p>
        </w:tc>
      </w:tr>
      <w:tr>
        <w:trPr>
          <w:trHeight w:val="425" w:hRule="atLeast"/>
        </w:trPr>
        <w:tc>
          <w:tcPr>
            <w:tcW w:type="dxa" w:w="2436"/>
            <w:vAlign w:val="center"/>
          </w:tcPr>
          <w:p>
            <w:pPr>
              <w:spacing w:line="276" w:lineRule="auto" w:before="0" w:after="0"/>
            </w:pPr>
            <w:r/>
            <w:r>
              <w:rPr>
                <w:rFonts w:ascii="Figtree" w:hAnsi="Figtree"/>
                <w:b w:val="0"/>
                <w:i w:val="0"/>
                <w:sz w:val="20"/>
              </w:rPr>
              <w:t>BIS/G20 evidence</w:t>
            </w:r>
          </w:p>
        </w:tc>
        <w:tc>
          <w:tcPr>
            <w:tcW w:type="dxa" w:w="2436"/>
            <w:vAlign w:val="center"/>
          </w:tcPr>
          <w:p>
            <w:pPr>
              <w:spacing w:line="276" w:lineRule="auto" w:before="0" w:after="0"/>
            </w:pPr>
            <w:r/>
            <w:r>
              <w:rPr>
                <w:rFonts w:ascii="Figtree" w:hAnsi="Figtree"/>
                <w:b w:val="0"/>
                <w:i w:val="0"/>
                <w:sz w:val="20"/>
              </w:rPr>
              <w:t>Must build</w:t>
            </w:r>
          </w:p>
        </w:tc>
        <w:tc>
          <w:tcPr>
            <w:tcW w:type="dxa" w:w="2436"/>
            <w:vAlign w:val="center"/>
          </w:tcPr>
          <w:p>
            <w:pPr>
              <w:spacing w:line="276" w:lineRule="auto" w:before="0" w:after="0"/>
            </w:pPr>
            <w:r/>
            <w:r>
              <w:rPr>
                <w:rFonts w:ascii="Figtree" w:hAnsi="Figtree"/>
                <w:b w:val="0"/>
                <w:i w:val="0"/>
                <w:sz w:val="20"/>
              </w:rPr>
              <w:t>Native platform</w:t>
            </w:r>
          </w:p>
        </w:tc>
        <w:tc>
          <w:tcPr>
            <w:tcW w:type="dxa" w:w="2436"/>
            <w:vAlign w:val="center"/>
          </w:tcPr>
          <w:p>
            <w:pPr>
              <w:spacing w:line="276" w:lineRule="auto" w:before="0" w:after="0"/>
            </w:pPr>
            <w:r/>
            <w:r>
              <w:rPr>
                <w:rFonts w:ascii="Figtree" w:hAnsi="Figtree"/>
                <w:b w:val="0"/>
                <w:i w:val="0"/>
                <w:sz w:val="20"/>
              </w:rPr>
              <w:t>$100K-$200K saving</w:t>
            </w:r>
          </w:p>
        </w:tc>
      </w:tr>
    </w:tbl>
    <w:p>
      <w:pPr>
        <w:spacing w:before="0" w:after="0" w:line="120" w:lineRule="exact"/>
      </w:pPr>
    </w:p>
    <w:p>
      <w:r>
        <w:br w:type="page"/>
      </w:r>
    </w:p>
    <w:p>
      <w:pPr>
        <w:pStyle w:val="H1"/>
        <w:numPr>
          <w:ilvl w:val="0"/>
          <w:numId w:val="1"/>
        </w:numPr>
      </w:pPr>
      <w:r>
        <w:t>3. Licensing Model</w:t>
      </w:r>
    </w:p>
    <w:p>
      <w:pPr>
        <w:pStyle w:val="H2"/>
        <w:numPr>
          <w:ilvl w:val="1"/>
          <w:numId w:val="1"/>
        </w:numPr>
      </w:pPr>
      <w:r>
        <w:t>3.1 Sovereign Tier — NPS Infrastructure</w:t>
      </w:r>
    </w:p>
    <w:p>
      <w:r>
        <w:rPr>
          <w:rFonts w:ascii="Figtree" w:hAnsi="Figtree"/>
          <w:b w:val="0"/>
          <w:i w:val="0"/>
          <w:sz w:val="22"/>
        </w:rPr>
        <w:t>SARB's programme is National Payments System (NPS) infrastructure. The Sovereign tier is appropriate:</w:t>
      </w:r>
    </w:p>
    <w:p>
      <w:pPr>
        <w:pStyle w:val="ListParagraph"/>
        <w:numPr>
          <w:ilvl w:val="0"/>
          <w:numId w:val="4"/>
        </w:numPr>
      </w:pPr>
      <w:r>
        <w:rPr>
          <w:rFonts w:ascii="Figtree" w:hAnsi="Figtree"/>
          <w:b w:val="0"/>
          <w:i w:val="0"/>
          <w:sz w:val="22"/>
        </w:rPr>
        <w:t>Fully isolated instance (no shared infrastructure with other SettleMint clients)</w:t>
      </w:r>
    </w:p>
    <w:p>
      <w:pPr>
        <w:pStyle w:val="ListParagraph"/>
        <w:numPr>
          <w:ilvl w:val="0"/>
          <w:numId w:val="4"/>
        </w:numPr>
      </w:pPr>
      <w:r>
        <w:rPr>
          <w:rFonts w:ascii="Figtree" w:hAnsi="Figtree"/>
          <w:b w:val="0"/>
          <w:i w:val="0"/>
          <w:sz w:val="22"/>
        </w:rPr>
        <w:t>SARB-controlled key custody (Tier 3 — SARB holds all keys)</w:t>
      </w:r>
    </w:p>
    <w:p>
      <w:pPr>
        <w:pStyle w:val="ListParagraph"/>
        <w:numPr>
          <w:ilvl w:val="0"/>
          <w:numId w:val="4"/>
        </w:numPr>
      </w:pPr>
      <w:r>
        <w:rPr>
          <w:rFonts w:ascii="Figtree" w:hAnsi="Figtree"/>
          <w:b w:val="0"/>
          <w:i w:val="0"/>
          <w:sz w:val="22"/>
        </w:rPr>
        <w:t>Unlimited environments</w:t>
      </w:r>
    </w:p>
    <w:p>
      <w:pPr>
        <w:pStyle w:val="ListParagraph"/>
        <w:numPr>
          <w:ilvl w:val="0"/>
          <w:numId w:val="4"/>
        </w:numPr>
      </w:pPr>
      <w:r>
        <w:rPr>
          <w:rFonts w:ascii="Figtree" w:hAnsi="Figtree"/>
          <w:b w:val="0"/>
          <w:i w:val="0"/>
          <w:sz w:val="22"/>
        </w:rPr>
        <w:t>CBDC-specific minting controls and monitoring</w:t>
      </w:r>
    </w:p>
    <w:p>
      <w:pPr>
        <w:pStyle w:val="ListParagraph"/>
        <w:numPr>
          <w:ilvl w:val="0"/>
          <w:numId w:val="4"/>
        </w:numPr>
      </w:pPr>
      <w:r>
        <w:rPr>
          <w:rFonts w:ascii="Figtree" w:hAnsi="Figtree"/>
          <w:b w:val="0"/>
          <w:i w:val="0"/>
          <w:sz w:val="22"/>
        </w:rPr>
        <w:t>SAMOS and Strate integration adapters included</w:t>
      </w:r>
    </w:p>
    <w:p>
      <w:pPr>
        <w:pStyle w:val="ListParagraph"/>
        <w:numPr>
          <w:ilvl w:val="0"/>
          <w:numId w:val="4"/>
        </w:numPr>
      </w:pPr>
      <w:r>
        <w:rPr>
          <w:rFonts w:ascii="Figtree" w:hAnsi="Figtree"/>
          <w:b w:val="0"/>
          <w:i w:val="0"/>
          <w:sz w:val="22"/>
        </w:rPr>
        <w:t>PA/FSCA evidence export capability included</w:t>
      </w:r>
    </w:p>
    <w:p>
      <w:pPr>
        <w:pStyle w:val="ListParagraph"/>
        <w:numPr>
          <w:ilvl w:val="0"/>
          <w:numId w:val="4"/>
        </w:numPr>
      </w:pPr>
      <w:r>
        <w:rPr>
          <w:rFonts w:ascii="Figtree" w:hAnsi="Figtree"/>
          <w:b w:val="0"/>
          <w:i w:val="0"/>
          <w:sz w:val="22"/>
        </w:rPr>
        <w:t>Cybercrimes Act cybersecurity controls documented</w:t>
      </w:r>
    </w:p>
    <w:p>
      <w:r>
        <w:rPr>
          <w:rFonts w:ascii="Figtree" w:hAnsi="Figtree"/>
          <w:b w:val="0"/>
          <w:i w:val="0"/>
          <w:sz w:val="22"/>
        </w:rPr>
        <w:t>Annual licence: $720,000 (Sovereign tier). Multi-year committed discount: -10% ($216,000 total saving).</w:t>
      </w:r>
    </w:p>
    <w:p>
      <w:pPr>
        <w:pStyle w:val="H2"/>
        <w:numPr>
          <w:ilvl w:val="1"/>
          <w:numId w:val="1"/>
        </w:numPr>
      </w:pPr>
      <w:r>
        <w:t>3.2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2"/>
        <w:gridCol w:w="2633"/>
        <w:gridCol w:w="33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Sovereign (Recommended)</w:t>
            </w:r>
          </w:p>
        </w:tc>
      </w:tr>
      <w:tr>
        <w:trPr>
          <w:trHeight w:val="425" w:hRule="atLeast"/>
        </w:trPr>
        <w:tc>
          <w:tcPr>
            <w:tcW w:type="dxa" w:w="3249"/>
            <w:vAlign w:val="center"/>
          </w:tcPr>
          <w:p>
            <w:pPr>
              <w:spacing w:line="276" w:lineRule="auto" w:before="0" w:after="0"/>
            </w:pPr>
            <w:r/>
            <w:r>
              <w:rPr>
                <w:rFonts w:ascii="Figtree" w:hAnsi="Figtree"/>
                <w:b w:val="0"/>
                <w:i w:val="0"/>
                <w:sz w:val="20"/>
              </w:rPr>
              <w:t>Instance isolation</w:t>
            </w:r>
          </w:p>
        </w:tc>
        <w:tc>
          <w:tcPr>
            <w:tcW w:type="dxa" w:w="3249"/>
            <w:vAlign w:val="center"/>
          </w:tcPr>
          <w:p>
            <w:pPr>
              <w:spacing w:line="276" w:lineRule="auto" w:before="0" w:after="0"/>
            </w:pPr>
            <w:r/>
            <w:r>
              <w:rPr>
                <w:rFonts w:ascii="Figtree" w:hAnsi="Figtree"/>
                <w:b w:val="0"/>
                <w:i w:val="0"/>
                <w:sz w:val="20"/>
              </w:rPr>
              <w:t>Dedicated software</w:t>
            </w:r>
          </w:p>
        </w:tc>
        <w:tc>
          <w:tcPr>
            <w:tcW w:type="dxa" w:w="3249"/>
            <w:vAlign w:val="center"/>
          </w:tcPr>
          <w:p>
            <w:pPr>
              <w:spacing w:line="276" w:lineRule="auto" w:before="0" w:after="0"/>
            </w:pPr>
            <w:r/>
            <w:r>
              <w:rPr>
                <w:rFonts w:ascii="Figtree" w:hAnsi="Figtree"/>
                <w:b w:val="0"/>
                <w:i w:val="0"/>
                <w:sz w:val="20"/>
              </w:rPr>
              <w:t>Fully isolated instance</w:t>
            </w:r>
          </w:p>
        </w:tc>
      </w:tr>
      <w:tr>
        <w:trPr>
          <w:trHeight w:val="425" w:hRule="atLeast"/>
        </w:trPr>
        <w:tc>
          <w:tcPr>
            <w:tcW w:type="dxa" w:w="3249"/>
            <w:vAlign w:val="center"/>
          </w:tcPr>
          <w:p>
            <w:pPr>
              <w:spacing w:line="276" w:lineRule="auto" w:before="0" w:after="0"/>
            </w:pPr>
            <w:r/>
            <w:r>
              <w:rPr>
                <w:rFonts w:ascii="Figtree" w:hAnsi="Figtree"/>
                <w:b w:val="0"/>
                <w:i w:val="0"/>
                <w:sz w:val="20"/>
              </w:rPr>
              <w:t>SAMOS integration</w:t>
            </w:r>
          </w:p>
        </w:tc>
        <w:tc>
          <w:tcPr>
            <w:tcW w:type="dxa" w:w="3249"/>
            <w:vAlign w:val="center"/>
          </w:tcPr>
          <w:p>
            <w:pPr>
              <w:spacing w:line="276" w:lineRule="auto" w:before="0" w:after="0"/>
            </w:pPr>
            <w:r/>
            <w:r>
              <w:rPr>
                <w:rFonts w:ascii="Figtree" w:hAnsi="Figtree"/>
                <w:b w:val="0"/>
                <w:i w:val="0"/>
                <w:sz w:val="20"/>
              </w:rPr>
              <w:t>Not included</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Strate integration</w:t>
            </w:r>
          </w:p>
        </w:tc>
        <w:tc>
          <w:tcPr>
            <w:tcW w:type="dxa" w:w="3249"/>
            <w:vAlign w:val="center"/>
          </w:tcPr>
          <w:p>
            <w:pPr>
              <w:spacing w:line="276" w:lineRule="auto" w:before="0" w:after="0"/>
            </w:pPr>
            <w:r/>
            <w:r>
              <w:rPr>
                <w:rFonts w:ascii="Figtree" w:hAnsi="Figtree"/>
                <w:b w:val="0"/>
                <w:i w:val="0"/>
                <w:sz w:val="20"/>
              </w:rPr>
              <w:t>Not included</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CBDC minting controls</w:t>
            </w:r>
          </w:p>
        </w:tc>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NPS-grade</w:t>
            </w:r>
          </w:p>
        </w:tc>
      </w:tr>
      <w:tr>
        <w:trPr>
          <w:trHeight w:val="425" w:hRule="atLeast"/>
        </w:trPr>
        <w:tc>
          <w:tcPr>
            <w:tcW w:type="dxa" w:w="3249"/>
            <w:vAlign w:val="center"/>
          </w:tcPr>
          <w:p>
            <w:pPr>
              <w:spacing w:line="276" w:lineRule="auto" w:before="0" w:after="0"/>
            </w:pPr>
            <w:r/>
            <w:r>
              <w:rPr>
                <w:rFonts w:ascii="Figtree" w:hAnsi="Figtree"/>
                <w:b w:val="0"/>
                <w:i w:val="0"/>
                <w:sz w:val="20"/>
              </w:rPr>
              <w:t>PA/FSCA evidence tags</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SLA</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99.95%</w:t>
            </w:r>
          </w:p>
        </w:tc>
      </w:tr>
      <w:tr>
        <w:trPr>
          <w:trHeight w:val="425" w:hRule="atLeast"/>
        </w:trPr>
        <w:tc>
          <w:tcPr>
            <w:tcW w:type="dxa" w:w="3249"/>
            <w:vAlign w:val="center"/>
          </w:tcPr>
          <w:p>
            <w:pPr>
              <w:spacing w:line="276" w:lineRule="auto" w:before="0" w:after="0"/>
            </w:pPr>
            <w:r/>
            <w:r>
              <w:rPr>
                <w:rFonts w:ascii="Figtree" w:hAnsi="Figtree"/>
                <w:b w:val="0"/>
                <w:i w:val="0"/>
                <w:sz w:val="20"/>
              </w:rPr>
              <w:t>P1 response</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30 minutes</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$480,000</w:t>
            </w:r>
          </w:p>
        </w:tc>
        <w:tc>
          <w:tcPr>
            <w:tcW w:type="dxa" w:w="3249"/>
            <w:vAlign w:val="center"/>
          </w:tcPr>
          <w:p>
            <w:pPr>
              <w:spacing w:line="276" w:lineRule="auto" w:before="0" w:after="0"/>
            </w:pPr>
            <w:r/>
            <w:r>
              <w:rPr>
                <w:rFonts w:ascii="Figtree" w:hAnsi="Figtree"/>
                <w:b w:val="0"/>
                <w:i w:val="0"/>
                <w:sz w:val="20"/>
              </w:rPr>
              <w:t>$720,000</w:t>
            </w:r>
          </w:p>
        </w:tc>
      </w:tr>
    </w:tbl>
    <w:p>
      <w:pPr>
        <w:spacing w:before="0" w:after="0" w:line="120" w:lineRule="exact"/>
      </w:pPr>
    </w:p>
    <w:p>
      <w:r>
        <w:br w:type="page"/>
      </w:r>
    </w:p>
    <w:p>
      <w:pPr>
        <w:pStyle w:val="H1"/>
        <w:numPr>
          <w:ilvl w:val="0"/>
          <w:numId w:val="1"/>
        </w:numPr>
      </w:pPr>
      <w:r>
        <w:t>4. Deployment Options and Pricing</w:t>
      </w:r>
    </w:p>
    <w:p>
      <w:pPr>
        <w:pStyle w:val="H2"/>
        <w:numPr>
          <w:ilvl w:val="1"/>
          <w:numId w:val="1"/>
        </w:numPr>
      </w:pPr>
      <w:r>
        <w:t>4.1 South Africa Cloud Region — Recommended</w:t>
      </w:r>
    </w:p>
    <w:p>
      <w:r>
        <w:rPr>
          <w:rFonts w:ascii="Figtree" w:hAnsi="Figtree"/>
          <w:b w:val="0"/>
          <w:i w:val="0"/>
          <w:sz w:val="22"/>
        </w:rPr>
        <w:t>AWS af-south-1 (Cape Town) or Azure South Africa North (Johannesburg) provide:</w:t>
      </w:r>
    </w:p>
    <w:p>
      <w:pPr>
        <w:pStyle w:val="ListParagraph"/>
        <w:numPr>
          <w:ilvl w:val="0"/>
          <w:numId w:val="4"/>
        </w:numPr>
      </w:pPr>
      <w:r>
        <w:rPr>
          <w:rFonts w:ascii="Figtree" w:hAnsi="Figtree"/>
          <w:b w:val="0"/>
          <w:i w:val="0"/>
          <w:sz w:val="22"/>
        </w:rPr>
        <w:t>South African data residency (POPIA compliance)</w:t>
      </w:r>
    </w:p>
    <w:p>
      <w:pPr>
        <w:pStyle w:val="ListParagraph"/>
        <w:numPr>
          <w:ilvl w:val="0"/>
          <w:numId w:val="4"/>
        </w:numPr>
      </w:pPr>
      <w:r>
        <w:rPr>
          <w:rFonts w:ascii="Figtree" w:hAnsi="Figtree"/>
          <w:b w:val="0"/>
          <w:i w:val="0"/>
          <w:sz w:val="22"/>
        </w:rPr>
        <w:t>Sub-20ms latency to Johannesburg financial district</w:t>
      </w:r>
    </w:p>
    <w:p>
      <w:pPr>
        <w:pStyle w:val="ListParagraph"/>
        <w:numPr>
          <w:ilvl w:val="0"/>
          <w:numId w:val="4"/>
        </w:numPr>
      </w:pPr>
      <w:r>
        <w:rPr>
          <w:rFonts w:ascii="Figtree" w:hAnsi="Figtree"/>
          <w:b w:val="0"/>
          <w:i w:val="0"/>
          <w:sz w:val="22"/>
        </w:rPr>
        <w:t>Financial services security certification</w:t>
      </w:r>
    </w:p>
    <w:p>
      <w:pPr>
        <w:pStyle w:val="ListParagraph"/>
        <w:numPr>
          <w:ilvl w:val="0"/>
          <w:numId w:val="4"/>
        </w:numPr>
      </w:pPr>
      <w:r>
        <w:rPr>
          <w:rFonts w:ascii="Figtree" w:hAnsi="Figtree"/>
          <w:b w:val="0"/>
          <w:i w:val="0"/>
          <w:sz w:val="22"/>
        </w:rPr>
        <w:t>ZAR-denominated infrastructure billing option</w:t>
      </w:r>
    </w:p>
    <w:p>
      <w:r>
        <w:rPr>
          <w:rFonts w:ascii="Figtree" w:hAnsi="Figtree"/>
          <w:b w:val="0"/>
          <w:i w:val="0"/>
          <w:sz w:val="22"/>
        </w:rPr>
        <w:t>Indicative annual infrastructure: $120,000. Basis: AWS af-south-1 — 4 Besu validators (r6g.2xlarge), 2 application instances (m6g.4xlarge), RDS PostgreSQL (db.r6g.2xlarge multi-AZ), ElastiCache, KMS, WAF + Shield, CloudWatch, S3, both primary (Cape Town) and DR (ZA secondary zone).</w:t>
      </w:r>
    </w:p>
    <w:p>
      <w:pPr>
        <w:pStyle w:val="H2"/>
        <w:numPr>
          <w:ilvl w:val="1"/>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1649"/>
        <w:gridCol w:w="1649"/>
        <w:gridCol w:w="1649"/>
        <w:gridCol w:w="164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Sovereign Licence</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$720,000</w:t>
            </w:r>
          </w:p>
        </w:tc>
        <w:tc>
          <w:tcPr>
            <w:tcW w:type="dxa" w:w="1949"/>
            <w:vAlign w:val="center"/>
          </w:tcPr>
          <w:p>
            <w:pPr>
              <w:spacing w:line="276" w:lineRule="auto" w:before="0" w:after="0"/>
            </w:pPr>
            <w:r/>
            <w:r>
              <w:rPr>
                <w:rFonts w:ascii="Figtree" w:hAnsi="Figtree"/>
                <w:b w:val="0"/>
                <w:i w:val="0"/>
                <w:sz w:val="20"/>
              </w:rPr>
              <w:t>$2,160,000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$460,000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(ZA)</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CBDC-Enhanced Support</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$216,000</w:t>
            </w:r>
          </w:p>
        </w:tc>
        <w:tc>
          <w:tcPr>
            <w:tcW w:type="dxa" w:w="1949"/>
            <w:vAlign w:val="center"/>
          </w:tcPr>
          <w:p>
            <w:pPr>
              <w:spacing w:line="276" w:lineRule="auto" w:before="0" w:after="0"/>
            </w:pPr>
            <w:r/>
            <w:r>
              <w:rPr>
                <w:rFonts w:ascii="Figtree" w:hAnsi="Figtree"/>
                <w:b w:val="0"/>
                <w:i w:val="0"/>
                <w:sz w:val="20"/>
              </w:rPr>
              <w:t>$648,000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$36,000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w:t>
            </w:r>
          </w:p>
        </w:tc>
        <w:tc>
          <w:tcPr>
            <w:tcW w:type="dxa" w:w="1949"/>
            <w:vAlign w:val="center"/>
          </w:tcPr>
          <w:p>
            <w:pPr>
              <w:spacing w:line="276" w:lineRule="auto" w:before="0" w:after="0"/>
            </w:pPr>
            <w:r/>
            <w:r>
              <w:rPr>
                <w:rFonts w:ascii="Figtree" w:hAnsi="Figtree"/>
                <w:b w:val="0"/>
                <w:i w:val="0"/>
                <w:sz w:val="20"/>
              </w:rPr>
              <w:t>$54,000</w:t>
            </w:r>
          </w:p>
        </w:tc>
      </w:tr>
      <w:tr>
        <w:trPr>
          <w:trHeight w:val="425" w:hRule="atLeast"/>
        </w:trPr>
        <w:tc>
          <w:tcPr>
            <w:tcW w:type="dxa" w:w="1949"/>
            <w:vAlign w:val="center"/>
          </w:tcPr>
          <w:p>
            <w:pPr>
              <w:spacing w:line="276" w:lineRule="auto" w:before="0" w:after="0"/>
            </w:pPr>
            <w:r/>
            <w:r>
              <w:rPr>
                <w:rFonts w:ascii="Figtree" w:hAnsi="Figtree"/>
                <w:b w:val="0"/>
                <w:i w:val="0"/>
                <w:sz w:val="20"/>
              </w:rPr>
              <w:t>HSM Commissioning</w:t>
            </w:r>
          </w:p>
        </w:tc>
        <w:tc>
          <w:tcPr>
            <w:tcW w:type="dxa" w:w="1949"/>
            <w:vAlign w:val="center"/>
          </w:tcPr>
          <w:p>
            <w:pPr>
              <w:spacing w:line="276" w:lineRule="auto" w:before="0" w:after="0"/>
            </w:pPr>
            <w:r/>
            <w:r>
              <w:rPr>
                <w:rFonts w:ascii="Figtree" w:hAnsi="Figtree"/>
                <w:b w:val="0"/>
                <w:i w:val="0"/>
                <w:sz w:val="20"/>
              </w:rPr>
              <w:t>$55,000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$55,000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$1,607,000</w:t>
            </w:r>
          </w:p>
        </w:tc>
        <w:tc>
          <w:tcPr>
            <w:tcW w:type="dxa" w:w="1949"/>
            <w:vAlign w:val="center"/>
          </w:tcPr>
          <w:p>
            <w:pPr>
              <w:spacing w:line="276" w:lineRule="auto" w:before="0" w:after="0"/>
            </w:pPr>
            <w:r/>
            <w:r>
              <w:rPr>
                <w:rFonts w:ascii="Figtree" w:hAnsi="Figtree"/>
                <w:b/>
                <w:i w:val="0"/>
                <w:sz w:val="20"/>
              </w:rPr>
              <w:t>$1,056,000</w:t>
            </w:r>
          </w:p>
        </w:tc>
        <w:tc>
          <w:tcPr>
            <w:tcW w:type="dxa" w:w="1949"/>
            <w:vAlign w:val="center"/>
          </w:tcPr>
          <w:p>
            <w:pPr>
              <w:spacing w:line="276" w:lineRule="auto" w:before="0" w:after="0"/>
            </w:pPr>
            <w:r/>
            <w:r>
              <w:rPr>
                <w:rFonts w:ascii="Figtree" w:hAnsi="Figtree"/>
                <w:b/>
                <w:i w:val="0"/>
                <w:sz w:val="20"/>
              </w:rPr>
              <w:t>$1,074,000</w:t>
            </w:r>
          </w:p>
        </w:tc>
        <w:tc>
          <w:tcPr>
            <w:tcW w:type="dxa" w:w="1949"/>
            <w:vAlign w:val="center"/>
          </w:tcPr>
          <w:p>
            <w:pPr>
              <w:spacing w:line="276" w:lineRule="auto" w:before="0" w:after="0"/>
            </w:pPr>
            <w:r/>
            <w:r>
              <w:rPr>
                <w:rFonts w:ascii="Figtree" w:hAnsi="Figtree"/>
                <w:b/>
                <w:i w:val="0"/>
                <w:sz w:val="20"/>
              </w:rPr>
              <w:t>$3,737,000</w:t>
            </w:r>
          </w:p>
        </w:tc>
      </w:tr>
    </w:tbl>
    <w:p>
      <w:pPr>
        <w:spacing w:before="0" w:after="0" w:line="120" w:lineRule="exact"/>
      </w:pPr>
    </w:p>
    <w:p>
      <w:pPr>
        <w:pStyle w:val="H2"/>
        <w:numPr>
          <w:ilvl w:val="1"/>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43"/>
        <w:gridCol w:w="372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Non-standard SAMOS message format</w:t>
            </w:r>
          </w:p>
        </w:tc>
        <w:tc>
          <w:tcPr>
            <w:tcW w:type="dxa" w:w="4873"/>
            <w:vAlign w:val="center"/>
          </w:tcPr>
          <w:p>
            <w:pPr>
              <w:spacing w:line="276" w:lineRule="auto" w:before="0" w:after="0"/>
            </w:pPr>
            <w:r/>
            <w:r>
              <w:rPr>
                <w:rFonts w:ascii="Figtree" w:hAnsi="Figtree"/>
                <w:b w:val="0"/>
                <w:i w:val="0"/>
                <w:sz w:val="20"/>
              </w:rPr>
              <w:t>+$25,000-$50,000</w:t>
            </w:r>
          </w:p>
        </w:tc>
      </w:tr>
      <w:tr>
        <w:trPr>
          <w:trHeight w:val="425" w:hRule="atLeast"/>
        </w:trPr>
        <w:tc>
          <w:tcPr>
            <w:tcW w:type="dxa" w:w="4873"/>
            <w:vAlign w:val="center"/>
          </w:tcPr>
          <w:p>
            <w:pPr>
              <w:spacing w:line="276" w:lineRule="auto" w:before="0" w:after="0"/>
            </w:pPr>
            <w:r/>
            <w:r>
              <w:rPr>
                <w:rFonts w:ascii="Figtree" w:hAnsi="Figtree"/>
                <w:b w:val="0"/>
                <w:i w:val="0"/>
                <w:sz w:val="20"/>
              </w:rPr>
              <w:t>Tessera privacy extension integration</w:t>
            </w:r>
          </w:p>
        </w:tc>
        <w:tc>
          <w:tcPr>
            <w:tcW w:type="dxa" w:w="4873"/>
            <w:vAlign w:val="center"/>
          </w:tcPr>
          <w:p>
            <w:pPr>
              <w:spacing w:line="276" w:lineRule="auto" w:before="0" w:after="0"/>
            </w:pPr>
            <w:r/>
            <w:r>
              <w:rPr>
                <w:rFonts w:ascii="Figtree" w:hAnsi="Figtree"/>
                <w:b w:val="0"/>
                <w:i w:val="0"/>
                <w:sz w:val="20"/>
              </w:rPr>
              <w:t>+$30,000-$60,000</w:t>
            </w:r>
          </w:p>
        </w:tc>
      </w:tr>
      <w:tr>
        <w:trPr>
          <w:trHeight w:val="425" w:hRule="atLeast"/>
        </w:trPr>
        <w:tc>
          <w:tcPr>
            <w:tcW w:type="dxa" w:w="4873"/>
            <w:vAlign w:val="center"/>
          </w:tcPr>
          <w:p>
            <w:pPr>
              <w:spacing w:line="276" w:lineRule="auto" w:before="0" w:after="0"/>
            </w:pPr>
            <w:r/>
            <w:r>
              <w:rPr>
                <w:rFonts w:ascii="Figtree" w:hAnsi="Figtree"/>
                <w:b w:val="0"/>
                <w:i w:val="0"/>
                <w:sz w:val="20"/>
              </w:rPr>
              <w:t>Additional bank participant integrations</w:t>
            </w:r>
          </w:p>
        </w:tc>
        <w:tc>
          <w:tcPr>
            <w:tcW w:type="dxa" w:w="4873"/>
            <w:vAlign w:val="center"/>
          </w:tcPr>
          <w:p>
            <w:pPr>
              <w:spacing w:line="276" w:lineRule="auto" w:before="0" w:after="0"/>
            </w:pPr>
            <w:r/>
            <w:r>
              <w:rPr>
                <w:rFonts w:ascii="Figtree" w:hAnsi="Figtree"/>
                <w:b w:val="0"/>
                <w:i w:val="0"/>
                <w:sz w:val="20"/>
              </w:rPr>
              <w:t>+$15,000-$30,000/bank</w:t>
            </w:r>
          </w:p>
        </w:tc>
      </w:tr>
      <w:tr>
        <w:trPr>
          <w:trHeight w:val="425" w:hRule="atLeast"/>
        </w:trPr>
        <w:tc>
          <w:tcPr>
            <w:tcW w:type="dxa" w:w="4873"/>
            <w:vAlign w:val="center"/>
          </w:tcPr>
          <w:p>
            <w:pPr>
              <w:spacing w:line="276" w:lineRule="auto" w:before="0" w:after="0"/>
            </w:pPr>
            <w:r/>
            <w:r>
              <w:rPr>
                <w:rFonts w:ascii="Figtree" w:hAnsi="Figtree"/>
                <w:b w:val="0"/>
                <w:i w:val="0"/>
                <w:sz w:val="20"/>
              </w:rPr>
              <w:t>Cross-border CBDC interoperability (future)</w:t>
            </w:r>
          </w:p>
        </w:tc>
        <w:tc>
          <w:tcPr>
            <w:tcW w:type="dxa" w:w="4873"/>
            <w:vAlign w:val="center"/>
          </w:tcPr>
          <w:p>
            <w:pPr>
              <w:spacing w:line="276" w:lineRule="auto" w:before="0" w:after="0"/>
            </w:pPr>
            <w:r/>
            <w:r>
              <w:rPr>
                <w:rFonts w:ascii="Figtree" w:hAnsi="Figtree"/>
                <w:b w:val="0"/>
                <w:i w:val="0"/>
                <w:sz w:val="20"/>
              </w:rPr>
              <w:t>Scope addendum</w:t>
            </w:r>
          </w:p>
        </w:tc>
      </w:tr>
      <w:tr>
        <w:trPr>
          <w:trHeight w:val="425" w:hRule="atLeast"/>
        </w:trPr>
        <w:tc>
          <w:tcPr>
            <w:tcW w:type="dxa" w:w="4873"/>
            <w:vAlign w:val="center"/>
          </w:tcPr>
          <w:p>
            <w:pPr>
              <w:spacing w:line="276" w:lineRule="auto" w:before="0" w:after="0"/>
            </w:pPr>
            <w:r/>
            <w:r>
              <w:rPr>
                <w:rFonts w:ascii="Figtree" w:hAnsi="Figtree"/>
                <w:b w:val="0"/>
                <w:i w:val="0"/>
                <w:sz w:val="20"/>
              </w:rPr>
              <w:t>3-year committed discount</w:t>
            </w:r>
          </w:p>
        </w:tc>
        <w:tc>
          <w:tcPr>
            <w:tcW w:type="dxa" w:w="4873"/>
            <w:vAlign w:val="center"/>
          </w:tcPr>
          <w:p>
            <w:pPr>
              <w:spacing w:line="276" w:lineRule="auto" w:before="0" w:after="0"/>
            </w:pPr>
            <w:r/>
            <w:r>
              <w:rPr>
                <w:rFonts w:ascii="Figtree" w:hAnsi="Figtree"/>
                <w:b w:val="0"/>
                <w:i w:val="0"/>
                <w:sz w:val="20"/>
              </w:rPr>
              <w:t>-$216,000 on licence</w:t>
            </w:r>
          </w:p>
        </w:tc>
      </w:tr>
      <w:tr>
        <w:trPr>
          <w:trHeight w:val="425" w:hRule="atLeast"/>
        </w:trPr>
        <w:tc>
          <w:tcPr>
            <w:tcW w:type="dxa" w:w="4873"/>
            <w:vAlign w:val="center"/>
          </w:tcPr>
          <w:p>
            <w:pPr>
              <w:spacing w:line="276" w:lineRule="auto" w:before="0" w:after="0"/>
            </w:pPr>
            <w:r/>
            <w:r>
              <w:rPr>
                <w:rFonts w:ascii="Figtree" w:hAnsi="Figtree"/>
                <w:b w:val="0"/>
                <w:i w:val="0"/>
                <w:sz w:val="20"/>
              </w:rPr>
              <w:t>ZAR-denominated pricing</w:t>
            </w:r>
          </w:p>
        </w:tc>
        <w:tc>
          <w:tcPr>
            <w:tcW w:type="dxa" w:w="4873"/>
            <w:vAlign w:val="center"/>
          </w:tcPr>
          <w:p>
            <w:pPr>
              <w:spacing w:line="276" w:lineRule="auto" w:before="0" w:after="0"/>
            </w:pPr>
            <w:r/>
            <w:r>
              <w:rPr>
                <w:rFonts w:ascii="Figtree" w:hAnsi="Figtree"/>
                <w:b w:val="0"/>
                <w:i w:val="0"/>
                <w:sz w:val="20"/>
              </w:rPr>
              <w:t>At contract date exchange rate</w:t>
            </w:r>
          </w:p>
        </w:tc>
      </w:tr>
    </w:tbl>
    <w:p>
      <w:pPr>
        <w:spacing w:before="0" w:after="0" w:line="120" w:lineRule="exact"/>
      </w:pPr>
    </w:p>
    <w:p>
      <w:r>
        <w:br w:type="page"/>
      </w:r>
    </w:p>
    <w:p>
      <w:pPr>
        <w:pStyle w:val="H1"/>
        <w:numPr>
          <w:ilvl w:val="0"/>
          <w:numId w:val="1"/>
        </w:numPr>
      </w:pPr>
      <w:r>
        <w:t>5. Support and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27"/>
        <w:gridCol w:w="524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CBDC-Enhanced</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30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Production uptime</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DR test</w:t>
            </w:r>
          </w:p>
        </w:tc>
        <w:tc>
          <w:tcPr>
            <w:tcW w:type="dxa" w:w="4873"/>
            <w:vAlign w:val="center"/>
          </w:tcPr>
          <w:p>
            <w:pPr>
              <w:spacing w:line="276" w:lineRule="auto" w:before="0" w:after="0"/>
            </w:pPr>
            <w:r/>
            <w:r>
              <w:rPr>
                <w:rFonts w:ascii="Figtree" w:hAnsi="Figtree"/>
                <w:b w:val="0"/>
                <w:i w:val="0"/>
                <w:sz w:val="20"/>
              </w:rPr>
              <w:t>Monthly (SARB-witnessed)</w:t>
            </w:r>
          </w:p>
        </w:tc>
      </w:tr>
      <w:tr>
        <w:trPr>
          <w:trHeight w:val="425" w:hRule="atLeast"/>
        </w:trPr>
        <w:tc>
          <w:tcPr>
            <w:tcW w:type="dxa" w:w="4873"/>
            <w:vAlign w:val="center"/>
          </w:tcPr>
          <w:p>
            <w:pPr>
              <w:spacing w:line="276" w:lineRule="auto" w:before="0" w:after="0"/>
            </w:pPr>
            <w:r/>
            <w:r>
              <w:rPr>
                <w:rFonts w:ascii="Figtree" w:hAnsi="Figtree"/>
                <w:b w:val="0"/>
                <w:i w:val="0"/>
                <w:sz w:val="20"/>
              </w:rPr>
              <w:t>PA/FSCA examination support</w:t>
            </w:r>
          </w:p>
        </w:tc>
        <w:tc>
          <w:tcPr>
            <w:tcW w:type="dxa" w:w="4873"/>
            <w:vAlign w:val="center"/>
          </w:tcPr>
          <w:p>
            <w:pPr>
              <w:spacing w:line="276" w:lineRule="auto" w:before="0" w:after="0"/>
            </w:pPr>
            <w:r/>
            <w:r>
              <w:rPr>
                <w:rFonts w:ascii="Figtree" w:hAnsi="Figtree"/>
                <w:b w:val="0"/>
                <w:i w:val="0"/>
                <w:sz w:val="20"/>
              </w:rPr>
              <w:t>Evidence packs within 5 business days</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CSM + CBDC technical lead</w:t>
            </w:r>
          </w:p>
        </w:tc>
      </w:tr>
      <w:tr>
        <w:trPr>
          <w:trHeight w:val="425" w:hRule="atLeast"/>
        </w:trPr>
        <w:tc>
          <w:tcPr>
            <w:tcW w:type="dxa" w:w="4873"/>
            <w:vAlign w:val="center"/>
          </w:tcPr>
          <w:p>
            <w:pPr>
              <w:spacing w:line="276" w:lineRule="auto" w:before="0" w:after="0"/>
            </w:pPr>
            <w:r/>
            <w:r>
              <w:rPr>
                <w:rFonts w:ascii="Figtree" w:hAnsi="Figtree"/>
                <w:b w:val="0"/>
                <w:i w:val="0"/>
                <w:sz w:val="20"/>
              </w:rPr>
              <w:t>Annual cost</w:t>
            </w:r>
          </w:p>
        </w:tc>
        <w:tc>
          <w:tcPr>
            <w:tcW w:type="dxa" w:w="4873"/>
            <w:vAlign w:val="center"/>
          </w:tcPr>
          <w:p>
            <w:pPr>
              <w:spacing w:line="276" w:lineRule="auto" w:before="0" w:after="0"/>
            </w:pPr>
            <w:r/>
            <w:r>
              <w:rPr>
                <w:rFonts w:ascii="Figtree" w:hAnsi="Figtree"/>
                <w:b w:val="0"/>
                <w:i w:val="0"/>
                <w:sz w:val="20"/>
              </w:rPr>
              <w:t>$216,000</w:t>
            </w:r>
          </w:p>
        </w:tc>
      </w:tr>
    </w:tbl>
    <w:p>
      <w:pPr>
        <w:spacing w:before="0" w:after="0" w:line="120" w:lineRule="exact"/>
      </w:pPr>
    </w:p>
    <w:p>
      <w:pPr>
        <w:pStyle w:val="H2"/>
        <w:numPr>
          <w:ilvl w:val="1"/>
          <w:numId w:val="1"/>
        </w:numPr>
      </w:pPr>
      <w:r>
        <w:t>5.1 P1 Definitions for NPS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6"/>
        <w:gridCol w:w="717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P1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4873"/>
            <w:vAlign w:val="center"/>
          </w:tcPr>
          <w:p>
            <w:pPr>
              <w:spacing w:line="276" w:lineRule="auto" w:before="0" w:after="0"/>
            </w:pPr>
            <w:r/>
            <w:r>
              <w:rPr>
                <w:rFonts w:ascii="Figtree" w:hAnsi="Figtree"/>
                <w:b w:val="0"/>
                <w:i w:val="0"/>
                <w:sz w:val="20"/>
              </w:rPr>
              <w:t>CBDC P1</w:t>
            </w:r>
          </w:p>
        </w:tc>
        <w:tc>
          <w:tcPr>
            <w:tcW w:type="dxa" w:w="4873"/>
            <w:vAlign w:val="center"/>
          </w:tcPr>
          <w:p>
            <w:pPr>
              <w:spacing w:line="276" w:lineRule="auto" w:before="0" w:after="0"/>
            </w:pPr>
            <w:r/>
            <w:r>
              <w:rPr>
                <w:rFonts w:ascii="Figtree" w:hAnsi="Figtree"/>
                <w:b w:val="0"/>
                <w:i w:val="0"/>
                <w:sz w:val="20"/>
              </w:rPr>
              <w:t>ZAR CBDC transfers failing, SARB minting unavailable, HSM unreachable</w:t>
            </w:r>
          </w:p>
        </w:tc>
      </w:tr>
      <w:tr>
        <w:trPr>
          <w:trHeight w:val="425" w:hRule="atLeast"/>
        </w:trPr>
        <w:tc>
          <w:tcPr>
            <w:tcW w:type="dxa" w:w="4873"/>
            <w:vAlign w:val="center"/>
          </w:tcPr>
          <w:p>
            <w:pPr>
              <w:spacing w:line="276" w:lineRule="auto" w:before="0" w:after="0"/>
            </w:pPr>
            <w:r/>
            <w:r>
              <w:rPr>
                <w:rFonts w:ascii="Figtree" w:hAnsi="Figtree"/>
                <w:b w:val="0"/>
                <w:i w:val="0"/>
                <w:sz w:val="20"/>
              </w:rPr>
              <w:t>Settlement P1</w:t>
            </w:r>
          </w:p>
        </w:tc>
        <w:tc>
          <w:tcPr>
            <w:tcW w:type="dxa" w:w="4873"/>
            <w:vAlign w:val="center"/>
          </w:tcPr>
          <w:p>
            <w:pPr>
              <w:spacing w:line="276" w:lineRule="auto" w:before="0" w:after="0"/>
            </w:pPr>
            <w:r/>
            <w:r>
              <w:rPr>
                <w:rFonts w:ascii="Figtree" w:hAnsi="Figtree"/>
                <w:b w:val="0"/>
                <w:i w:val="0"/>
                <w:sz w:val="20"/>
              </w:rPr>
              <w:t>DvP instruction processing blocked, SAMOS connectivity lost</w:t>
            </w:r>
          </w:p>
        </w:tc>
      </w:tr>
      <w:tr>
        <w:trPr>
          <w:trHeight w:val="425" w:hRule="atLeast"/>
        </w:trPr>
        <w:tc>
          <w:tcPr>
            <w:tcW w:type="dxa" w:w="4873"/>
            <w:vAlign w:val="center"/>
          </w:tcPr>
          <w:p>
            <w:pPr>
              <w:spacing w:line="276" w:lineRule="auto" w:before="0" w:after="0"/>
            </w:pPr>
            <w:r/>
            <w:r>
              <w:rPr>
                <w:rFonts w:ascii="Figtree" w:hAnsi="Figtree"/>
                <w:b w:val="0"/>
                <w:i w:val="0"/>
                <w:sz w:val="20"/>
              </w:rPr>
              <w:t>Platform P1</w:t>
            </w:r>
          </w:p>
        </w:tc>
        <w:tc>
          <w:tcPr>
            <w:tcW w:type="dxa" w:w="4873"/>
            <w:vAlign w:val="center"/>
          </w:tcPr>
          <w:p>
            <w:pPr>
              <w:spacing w:line="276" w:lineRule="auto" w:before="0" w:after="0"/>
            </w:pPr>
            <w:r/>
            <w:r>
              <w:rPr>
                <w:rFonts w:ascii="Figtree" w:hAnsi="Figtree"/>
                <w:b w:val="0"/>
                <w:i w:val="0"/>
                <w:sz w:val="20"/>
              </w:rPr>
              <w:t>Platform unreachable, database connection failure</w:t>
            </w:r>
          </w:p>
        </w:tc>
      </w:tr>
    </w:tbl>
    <w:p>
      <w:pPr>
        <w:spacing w:before="0" w:after="0" w:line="120" w:lineRule="exact"/>
      </w:pPr>
    </w:p>
    <w:p>
      <w:pPr>
        <w:pStyle w:val="H2"/>
        <w:numPr>
          <w:ilvl w:val="1"/>
          <w:numId w:val="1"/>
        </w:numPr>
      </w:pPr>
      <w:r>
        <w:t>5.2 Uptime SLA with 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28"/>
        <w:gridCol w:w="59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Band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99.9%-99.95%</w:t>
            </w:r>
          </w:p>
        </w:tc>
        <w:tc>
          <w:tcPr>
            <w:tcW w:type="dxa" w:w="4873"/>
            <w:vAlign w:val="center"/>
          </w:tcPr>
          <w:p>
            <w:pPr>
              <w:spacing w:line="276" w:lineRule="auto" w:before="0" w:after="0"/>
            </w:pPr>
            <w:r/>
            <w:r>
              <w:rPr>
                <w:rFonts w:ascii="Figtree" w:hAnsi="Figtree"/>
                <w:b w:val="0"/>
                <w:i w:val="0"/>
                <w:sz w:val="20"/>
              </w:rPr>
              <w:t>10% monthly support credit</w:t>
            </w:r>
          </w:p>
        </w:tc>
      </w:tr>
      <w:tr>
        <w:trPr>
          <w:trHeight w:val="425" w:hRule="atLeast"/>
        </w:trPr>
        <w:tc>
          <w:tcPr>
            <w:tcW w:type="dxa" w:w="4873"/>
            <w:vAlign w:val="center"/>
          </w:tcPr>
          <w:p>
            <w:pPr>
              <w:spacing w:line="276" w:lineRule="auto" w:before="0" w:after="0"/>
            </w:pPr>
            <w:r/>
            <w:r>
              <w:rPr>
                <w:rFonts w:ascii="Figtree" w:hAnsi="Figtree"/>
                <w:b w:val="0"/>
                <w:i w:val="0"/>
                <w:sz w:val="20"/>
              </w:rPr>
              <w:t>99.5%-99.9%</w:t>
            </w:r>
          </w:p>
        </w:tc>
        <w:tc>
          <w:tcPr>
            <w:tcW w:type="dxa" w:w="4873"/>
            <w:vAlign w:val="center"/>
          </w:tcPr>
          <w:p>
            <w:pPr>
              <w:spacing w:line="276" w:lineRule="auto" w:before="0" w:after="0"/>
            </w:pPr>
            <w:r/>
            <w:r>
              <w:rPr>
                <w:rFonts w:ascii="Figtree" w:hAnsi="Figtree"/>
                <w:b w:val="0"/>
                <w:i w:val="0"/>
                <w:sz w:val="20"/>
              </w:rPr>
              <w:t>25% credit</w:t>
            </w:r>
          </w:p>
        </w:tc>
      </w:tr>
      <w:tr>
        <w:trPr>
          <w:trHeight w:val="425" w:hRule="atLeast"/>
        </w:trPr>
        <w:tc>
          <w:tcPr>
            <w:tcW w:type="dxa" w:w="4873"/>
            <w:vAlign w:val="center"/>
          </w:tcPr>
          <w:p>
            <w:pPr>
              <w:spacing w:line="276" w:lineRule="auto" w:before="0" w:after="0"/>
            </w:pPr>
            <w:r/>
            <w:r>
              <w:rPr>
                <w:rFonts w:ascii="Figtree" w:hAnsi="Figtree"/>
                <w:b w:val="0"/>
                <w:i w:val="0"/>
                <w:sz w:val="20"/>
              </w:rPr>
              <w:t>Below 99.5%</w:t>
            </w:r>
          </w:p>
        </w:tc>
        <w:tc>
          <w:tcPr>
            <w:tcW w:type="dxa" w:w="4873"/>
            <w:vAlign w:val="center"/>
          </w:tcPr>
          <w:p>
            <w:pPr>
              <w:spacing w:line="276" w:lineRule="auto" w:before="0" w:after="0"/>
            </w:pPr>
            <w:r/>
            <w:r>
              <w:rPr>
                <w:rFonts w:ascii="Figtree" w:hAnsi="Figtree"/>
                <w:b w:val="0"/>
                <w:i w:val="0"/>
                <w:sz w:val="20"/>
              </w:rPr>
              <w:t>50% credit</w:t>
            </w:r>
          </w:p>
        </w:tc>
      </w:tr>
    </w:tbl>
    <w:p>
      <w:pPr>
        <w:spacing w:before="0" w:after="0" w:line="120" w:lineRule="exact"/>
      </w:pPr>
    </w:p>
    <w:p>
      <w:r>
        <w:br w:type="page"/>
      </w:r>
    </w:p>
    <w:p>
      <w:pPr>
        <w:pStyle w:val="H1"/>
        <w:numPr>
          <w:ilvl w:val="0"/>
          <w:numId w:val="1"/>
        </w:numPr>
      </w:pPr>
      <w:r>
        <w:t>6. Implementation Investment</w:t>
      </w:r>
    </w:p>
    <w:p>
      <w:pPr>
        <w:pStyle w:val="H2"/>
        <w:numPr>
          <w:ilvl w:val="1"/>
          <w:numId w:val="1"/>
        </w:numPr>
      </w:pPr>
      <w:r>
        <w:t>6.1 Phase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4"/>
        <w:gridCol w:w="1778"/>
        <w:gridCol w:w="17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Phase 1 — 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$46,000</w:t>
            </w:r>
          </w:p>
        </w:tc>
      </w:tr>
      <w:tr>
        <w:trPr>
          <w:trHeight w:val="425" w:hRule="atLeast"/>
        </w:trPr>
        <w:tc>
          <w:tcPr>
            <w:tcW w:type="dxa" w:w="3249"/>
            <w:vAlign w:val="center"/>
          </w:tcPr>
          <w:p>
            <w:pPr>
              <w:spacing w:line="276" w:lineRule="auto" w:before="0" w:after="0"/>
            </w:pPr>
            <w:r/>
            <w:r>
              <w:rPr>
                <w:rFonts w:ascii="Figtree" w:hAnsi="Figtree"/>
                <w:b w:val="0"/>
                <w:i w:val="0"/>
                <w:sz w:val="20"/>
              </w:rPr>
              <w:t>Phase 2 — Foundation + HSM</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$69,000</w:t>
            </w:r>
          </w:p>
        </w:tc>
      </w:tr>
      <w:tr>
        <w:trPr>
          <w:trHeight w:val="425" w:hRule="atLeast"/>
        </w:trPr>
        <w:tc>
          <w:tcPr>
            <w:tcW w:type="dxa" w:w="3249"/>
            <w:vAlign w:val="center"/>
          </w:tcPr>
          <w:p>
            <w:pPr>
              <w:spacing w:line="276" w:lineRule="auto" w:before="0" w:after="0"/>
            </w:pPr>
            <w:r/>
            <w:r>
              <w:rPr>
                <w:rFonts w:ascii="Figtree" w:hAnsi="Figtree"/>
                <w:b w:val="0"/>
                <w:i w:val="0"/>
                <w:sz w:val="20"/>
              </w:rPr>
              <w:t>Phase 2b — SARB Security Review</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$23,000</w:t>
            </w:r>
          </w:p>
        </w:tc>
      </w:tr>
      <w:tr>
        <w:trPr>
          <w:trHeight w:val="425" w:hRule="atLeast"/>
        </w:trPr>
        <w:tc>
          <w:tcPr>
            <w:tcW w:type="dxa" w:w="3249"/>
            <w:vAlign w:val="center"/>
          </w:tcPr>
          <w:p>
            <w:pPr>
              <w:spacing w:line="276" w:lineRule="auto" w:before="0" w:after="0"/>
            </w:pPr>
            <w:r/>
            <w:r>
              <w:rPr>
                <w:rFonts w:ascii="Figtree" w:hAnsi="Figtree"/>
                <w:b w:val="0"/>
                <w:i w:val="0"/>
                <w:sz w:val="20"/>
              </w:rPr>
              <w:t>Phase 3 — CBDC + DvP Config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$115,000</w:t>
            </w:r>
          </w:p>
        </w:tc>
      </w:tr>
      <w:tr>
        <w:trPr>
          <w:trHeight w:val="425" w:hRule="atLeast"/>
        </w:trPr>
        <w:tc>
          <w:tcPr>
            <w:tcW w:type="dxa" w:w="3249"/>
            <w:vAlign w:val="center"/>
          </w:tcPr>
          <w:p>
            <w:pPr>
              <w:spacing w:line="276" w:lineRule="auto" w:before="0" w:after="0"/>
            </w:pPr>
            <w:r/>
            <w:r>
              <w:rPr>
                <w:rFonts w:ascii="Figtree" w:hAnsi="Figtree"/>
                <w:b w:val="0"/>
                <w:i w:val="0"/>
                <w:sz w:val="20"/>
              </w:rPr>
              <w:t>Phase 4 — SAMOS + Strate + Integration</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$92,000</w:t>
            </w:r>
          </w:p>
        </w:tc>
      </w:tr>
      <w:tr>
        <w:trPr>
          <w:trHeight w:val="425" w:hRule="atLeast"/>
        </w:trPr>
        <w:tc>
          <w:tcPr>
            <w:tcW w:type="dxa" w:w="3249"/>
            <w:vAlign w:val="center"/>
          </w:tcPr>
          <w:p>
            <w:pPr>
              <w:spacing w:line="276" w:lineRule="auto" w:before="0" w:after="0"/>
            </w:pPr>
            <w:r/>
            <w:r>
              <w:rPr>
                <w:rFonts w:ascii="Figtree" w:hAnsi="Figtree"/>
                <w:b w:val="0"/>
                <w:i w:val="0"/>
                <w:sz w:val="20"/>
              </w:rPr>
              <w:t>Phase 5 — Pilot Testing</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$69,000</w:t>
            </w:r>
          </w:p>
        </w:tc>
      </w:tr>
      <w:tr>
        <w:trPr>
          <w:trHeight w:val="425" w:hRule="atLeast"/>
        </w:trPr>
        <w:tc>
          <w:tcPr>
            <w:tcW w:type="dxa" w:w="3249"/>
            <w:vAlign w:val="center"/>
          </w:tcPr>
          <w:p>
            <w:pPr>
              <w:spacing w:line="276" w:lineRule="auto" w:before="0" w:after="0"/>
            </w:pPr>
            <w:r/>
            <w:r>
              <w:rPr>
                <w:rFonts w:ascii="Figtree" w:hAnsi="Figtree"/>
                <w:b w:val="0"/>
                <w:i w:val="0"/>
                <w:sz w:val="20"/>
              </w:rPr>
              <w:t>Phase 6 — Production + Hypercare</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$46,000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20 weeks</w:t>
            </w:r>
          </w:p>
        </w:tc>
        <w:tc>
          <w:tcPr>
            <w:tcW w:type="dxa" w:w="3249"/>
            <w:vAlign w:val="center"/>
          </w:tcPr>
          <w:p>
            <w:pPr>
              <w:spacing w:line="276" w:lineRule="auto" w:before="0" w:after="0"/>
            </w:pPr>
            <w:r/>
            <w:r>
              <w:rPr>
                <w:rFonts w:ascii="Figtree" w:hAnsi="Figtree"/>
                <w:b/>
                <w:i w:val="0"/>
                <w:sz w:val="20"/>
              </w:rPr>
              <w:t>$460,000</w:t>
            </w:r>
          </w:p>
        </w:tc>
      </w:tr>
    </w:tbl>
    <w:p>
      <w:pPr>
        <w:spacing w:before="0" w:after="0" w:line="120" w:lineRule="exact"/>
      </w:pPr>
    </w:p>
    <w:p>
      <w:pPr>
        <w:pStyle w:val="H2"/>
        <w:numPr>
          <w:ilvl w:val="1"/>
          <w:numId w:val="1"/>
        </w:numPr>
      </w:pPr>
      <w:r>
        <w:t>6.2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12"/>
        <w:gridCol w:w="33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(Licence Y1 + Support Y1)</w:t>
            </w:r>
          </w:p>
        </w:tc>
        <w:tc>
          <w:tcPr>
            <w:tcW w:type="dxa" w:w="4873"/>
            <w:vAlign w:val="center"/>
          </w:tcPr>
          <w:p>
            <w:pPr>
              <w:spacing w:line="276" w:lineRule="auto" w:before="0" w:after="0"/>
            </w:pPr>
            <w:r/>
            <w:r>
              <w:rPr>
                <w:rFonts w:ascii="Figtree" w:hAnsi="Figtree"/>
                <w:b w:val="0"/>
                <w:i w:val="0"/>
                <w:sz w:val="20"/>
              </w:rPr>
              <w:t>$936,000</w:t>
            </w:r>
          </w:p>
        </w:tc>
      </w:tr>
      <w:tr>
        <w:trPr>
          <w:trHeight w:val="425" w:hRule="atLeast"/>
        </w:trPr>
        <w:tc>
          <w:tcPr>
            <w:tcW w:type="dxa" w:w="4873"/>
            <w:vAlign w:val="center"/>
          </w:tcPr>
          <w:p>
            <w:pPr>
              <w:spacing w:line="276" w:lineRule="auto" w:before="0" w:after="0"/>
            </w:pPr>
            <w:r/>
            <w:r>
              <w:rPr>
                <w:rFonts w:ascii="Figtree" w:hAnsi="Figtree"/>
                <w:b w:val="0"/>
                <w:i w:val="0"/>
                <w:sz w:val="20"/>
              </w:rPr>
              <w:t>Phase 1 gate</w:t>
            </w:r>
          </w:p>
        </w:tc>
        <w:tc>
          <w:tcPr>
            <w:tcW w:type="dxa" w:w="4873"/>
            <w:vAlign w:val="center"/>
          </w:tcPr>
          <w:p>
            <w:pPr>
              <w:spacing w:line="276" w:lineRule="auto" w:before="0" w:after="0"/>
            </w:pPr>
            <w:r/>
            <w:r>
              <w:rPr>
                <w:rFonts w:ascii="Figtree" w:hAnsi="Figtree"/>
                <w:b w:val="0"/>
                <w:i w:val="0"/>
                <w:sz w:val="20"/>
              </w:rPr>
              <w:t>$69,000 (15%)</w:t>
            </w:r>
          </w:p>
        </w:tc>
      </w:tr>
      <w:tr>
        <w:trPr>
          <w:trHeight w:val="425" w:hRule="atLeast"/>
        </w:trPr>
        <w:tc>
          <w:tcPr>
            <w:tcW w:type="dxa" w:w="4873"/>
            <w:vAlign w:val="center"/>
          </w:tcPr>
          <w:p>
            <w:pPr>
              <w:spacing w:line="276" w:lineRule="auto" w:before="0" w:after="0"/>
            </w:pPr>
            <w:r/>
            <w:r>
              <w:rPr>
                <w:rFonts w:ascii="Figtree" w:hAnsi="Figtree"/>
                <w:b w:val="0"/>
                <w:i w:val="0"/>
                <w:sz w:val="20"/>
              </w:rPr>
              <w:t>Phase 2b gate (CISO approval)</w:t>
            </w:r>
          </w:p>
        </w:tc>
        <w:tc>
          <w:tcPr>
            <w:tcW w:type="dxa" w:w="4873"/>
            <w:vAlign w:val="center"/>
          </w:tcPr>
          <w:p>
            <w:pPr>
              <w:spacing w:line="276" w:lineRule="auto" w:before="0" w:after="0"/>
            </w:pPr>
            <w:r/>
            <w:r>
              <w:rPr>
                <w:rFonts w:ascii="Figtree" w:hAnsi="Figtree"/>
                <w:b w:val="0"/>
                <w:i w:val="0"/>
                <w:sz w:val="20"/>
              </w:rPr>
              <w:t>$46,000 (10%)</w:t>
            </w:r>
          </w:p>
        </w:tc>
      </w:tr>
      <w:tr>
        <w:trPr>
          <w:trHeight w:val="425" w:hRule="atLeast"/>
        </w:trPr>
        <w:tc>
          <w:tcPr>
            <w:tcW w:type="dxa" w:w="4873"/>
            <w:vAlign w:val="center"/>
          </w:tcPr>
          <w:p>
            <w:pPr>
              <w:spacing w:line="276" w:lineRule="auto" w:before="0" w:after="0"/>
            </w:pPr>
            <w:r/>
            <w:r>
              <w:rPr>
                <w:rFonts w:ascii="Figtree" w:hAnsi="Figtree"/>
                <w:b w:val="0"/>
                <w:i w:val="0"/>
                <w:sz w:val="20"/>
              </w:rPr>
              <w:t>Phase 3 gate</w:t>
            </w:r>
          </w:p>
        </w:tc>
        <w:tc>
          <w:tcPr>
            <w:tcW w:type="dxa" w:w="4873"/>
            <w:vAlign w:val="center"/>
          </w:tcPr>
          <w:p>
            <w:pPr>
              <w:spacing w:line="276" w:lineRule="auto" w:before="0" w:after="0"/>
            </w:pPr>
            <w:r/>
            <w:r>
              <w:rPr>
                <w:rFonts w:ascii="Figtree" w:hAnsi="Figtree"/>
                <w:b w:val="0"/>
                <w:i w:val="0"/>
                <w:sz w:val="20"/>
              </w:rPr>
              <w:t>$115,000 (25%)</w:t>
            </w:r>
          </w:p>
        </w:tc>
      </w:tr>
      <w:tr>
        <w:trPr>
          <w:trHeight w:val="425" w:hRule="atLeast"/>
        </w:trPr>
        <w:tc>
          <w:tcPr>
            <w:tcW w:type="dxa" w:w="4873"/>
            <w:vAlign w:val="center"/>
          </w:tcPr>
          <w:p>
            <w:pPr>
              <w:spacing w:line="276" w:lineRule="auto" w:before="0" w:after="0"/>
            </w:pPr>
            <w:r/>
            <w:r>
              <w:rPr>
                <w:rFonts w:ascii="Figtree" w:hAnsi="Figtree"/>
                <w:b w:val="0"/>
                <w:i w:val="0"/>
                <w:sz w:val="20"/>
              </w:rPr>
              <w:t>Phase 6 completion</w:t>
            </w:r>
          </w:p>
        </w:tc>
        <w:tc>
          <w:tcPr>
            <w:tcW w:type="dxa" w:w="4873"/>
            <w:vAlign w:val="center"/>
          </w:tcPr>
          <w:p>
            <w:pPr>
              <w:spacing w:line="276" w:lineRule="auto" w:before="0" w:after="0"/>
            </w:pPr>
            <w:r/>
            <w:r>
              <w:rPr>
                <w:rFonts w:ascii="Figtree" w:hAnsi="Figtree"/>
                <w:b w:val="0"/>
                <w:i w:val="0"/>
                <w:sz w:val="20"/>
              </w:rPr>
              <w:t>$230,000 (50% remaining)</w:t>
            </w:r>
          </w:p>
        </w:tc>
      </w:tr>
    </w:tbl>
    <w:p>
      <w:pPr>
        <w:spacing w:before="0" w:after="0" w:line="120" w:lineRule="exact"/>
      </w:pPr>
    </w:p>
    <w:p>
      <w:r>
        <w:br w:type="page"/>
      </w:r>
    </w:p>
    <w:p>
      <w:pPr>
        <w:pStyle w:val="H1"/>
        <w:numPr>
          <w:ilvl w:val="0"/>
          <w:numId w:val="1"/>
        </w:numPr>
      </w:pPr>
      <w:r>
        <w:t>7. Commercial Terms</w:t>
      </w:r>
    </w:p>
    <w:p>
      <w:pPr>
        <w:pStyle w:val="H2"/>
        <w:numPr>
          <w:ilvl w:val="1"/>
          <w:numId w:val="1"/>
        </w:numPr>
      </w:pPr>
      <w:r>
        <w:t>7.1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Sovereign Platform Licence</w:t>
            </w:r>
          </w:p>
        </w:tc>
        <w:tc>
          <w:tcPr>
            <w:tcW w:type="dxa" w:w="4873"/>
            <w:vAlign w:val="center"/>
          </w:tcPr>
          <w:p>
            <w:pPr>
              <w:spacing w:line="276" w:lineRule="auto" w:before="0" w:after="0"/>
            </w:pPr>
            <w:r/>
            <w:r>
              <w:rPr>
                <w:rFonts w:ascii="Figtree" w:hAnsi="Figtree"/>
                <w:b w:val="0"/>
                <w:i w:val="0"/>
                <w:sz w:val="20"/>
              </w:rPr>
              <w:t>DALP software, sovereignty terms, key custody rights</w:t>
            </w:r>
          </w:p>
        </w:tc>
      </w:tr>
      <w:tr>
        <w:trPr>
          <w:trHeight w:val="425" w:hRule="atLeast"/>
        </w:trPr>
        <w:tc>
          <w:tcPr>
            <w:tcW w:type="dxa" w:w="4873"/>
            <w:vAlign w:val="center"/>
          </w:tcPr>
          <w:p>
            <w:pPr>
              <w:spacing w:line="276" w:lineRule="auto" w:before="0" w:after="0"/>
            </w:pPr>
            <w:r/>
            <w:r>
              <w:rPr>
                <w:rFonts w:ascii="Figtree" w:hAnsi="Figtree"/>
                <w:b w:val="0"/>
                <w:i w:val="0"/>
                <w:sz w:val="20"/>
              </w:rPr>
              <w:t>Professional Services</w:t>
            </w:r>
          </w:p>
        </w:tc>
        <w:tc>
          <w:tcPr>
            <w:tcW w:type="dxa" w:w="4873"/>
            <w:vAlign w:val="center"/>
          </w:tcPr>
          <w:p>
            <w:pPr>
              <w:spacing w:line="276" w:lineRule="auto" w:before="0" w:after="0"/>
            </w:pPr>
            <w:r/>
            <w:r>
              <w:rPr>
                <w:rFonts w:ascii="Figtree" w:hAnsi="Figtree"/>
                <w:b w:val="0"/>
                <w:i w:val="0"/>
                <w:sz w:val="20"/>
              </w:rPr>
              <w:t>Implementation, HSM commissioning, training</w:t>
            </w:r>
          </w:p>
        </w:tc>
      </w:tr>
      <w:tr>
        <w:trPr>
          <w:trHeight w:val="425" w:hRule="atLeast"/>
        </w:trPr>
        <w:tc>
          <w:tcPr>
            <w:tcW w:type="dxa" w:w="4873"/>
            <w:vAlign w:val="center"/>
          </w:tcPr>
          <w:p>
            <w:pPr>
              <w:spacing w:line="276" w:lineRule="auto" w:before="0" w:after="0"/>
            </w:pPr>
            <w:r/>
            <w:r>
              <w:rPr>
                <w:rFonts w:ascii="Figtree" w:hAnsi="Figtree"/>
                <w:b w:val="0"/>
                <w:i w:val="0"/>
                <w:sz w:val="20"/>
              </w:rPr>
              <w:t>NPS Support Agreement</w:t>
            </w:r>
          </w:p>
        </w:tc>
        <w:tc>
          <w:tcPr>
            <w:tcW w:type="dxa" w:w="4873"/>
            <w:vAlign w:val="center"/>
          </w:tcPr>
          <w:p>
            <w:pPr>
              <w:spacing w:line="276" w:lineRule="auto" w:before="0" w:after="0"/>
            </w:pPr>
            <w:r/>
            <w:r>
              <w:rPr>
                <w:rFonts w:ascii="Figtree" w:hAnsi="Figtree"/>
                <w:b w:val="0"/>
                <w:i w:val="0"/>
                <w:sz w:val="20"/>
              </w:rPr>
              <w:t>CBDC-enhanced support, evidence obligations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POPIA compliance, ZA data handling</w:t>
            </w:r>
          </w:p>
        </w:tc>
      </w:tr>
    </w:tbl>
    <w:p>
      <w:pPr>
        <w:spacing w:before="0" w:after="0" w:line="120" w:lineRule="exact"/>
      </w:pPr>
    </w:p>
    <w:p>
      <w:pPr>
        <w:pStyle w:val="H2"/>
        <w:numPr>
          <w:ilvl w:val="1"/>
          <w:numId w:val="1"/>
        </w:numPr>
      </w:pPr>
      <w:r>
        <w:t>7.2 SARB-Specific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648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Key custody</w:t>
            </w:r>
          </w:p>
        </w:tc>
        <w:tc>
          <w:tcPr>
            <w:tcW w:type="dxa" w:w="4873"/>
            <w:vAlign w:val="center"/>
          </w:tcPr>
          <w:p>
            <w:pPr>
              <w:spacing w:line="276" w:lineRule="auto" w:before="0" w:after="0"/>
            </w:pPr>
            <w:r/>
            <w:r>
              <w:rPr>
                <w:rFonts w:ascii="Figtree" w:hAnsi="Figtree"/>
                <w:b w:val="0"/>
                <w:i w:val="0"/>
                <w:sz w:val="20"/>
              </w:rPr>
              <w:t>SARB holds all keys; SettleMint has no key access</w:t>
            </w:r>
          </w:p>
        </w:tc>
      </w:tr>
      <w:tr>
        <w:trPr>
          <w:trHeight w:val="425" w:hRule="atLeast"/>
        </w:trPr>
        <w:tc>
          <w:tcPr>
            <w:tcW w:type="dxa" w:w="4873"/>
            <w:vAlign w:val="center"/>
          </w:tcPr>
          <w:p>
            <w:pPr>
              <w:spacing w:line="276" w:lineRule="auto" w:before="0" w:after="0"/>
            </w:pPr>
            <w:r/>
            <w:r>
              <w:rPr>
                <w:rFonts w:ascii="Figtree" w:hAnsi="Figtree"/>
                <w:b w:val="0"/>
                <w:i w:val="0"/>
                <w:sz w:val="20"/>
              </w:rPr>
              <w:t>System access</w:t>
            </w:r>
          </w:p>
        </w:tc>
        <w:tc>
          <w:tcPr>
            <w:tcW w:type="dxa" w:w="4873"/>
            <w:vAlign w:val="center"/>
          </w:tcPr>
          <w:p>
            <w:pPr>
              <w:spacing w:line="276" w:lineRule="auto" w:before="0" w:after="0"/>
            </w:pPr>
            <w:r/>
            <w:r>
              <w:rPr>
                <w:rFonts w:ascii="Figtree" w:hAnsi="Figtree"/>
                <w:b w:val="0"/>
                <w:i w:val="0"/>
                <w:sz w:val="20"/>
              </w:rPr>
              <w:t>SARB-issued credentials; all sessions logged</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SARB and its regulators (PA, FSCA) have full audit access</w:t>
            </w:r>
          </w:p>
        </w:tc>
      </w:tr>
      <w:tr>
        <w:trPr>
          <w:trHeight w:val="425" w:hRule="atLeast"/>
        </w:trPr>
        <w:tc>
          <w:tcPr>
            <w:tcW w:type="dxa" w:w="4873"/>
            <w:vAlign w:val="center"/>
          </w:tcPr>
          <w:p>
            <w:pPr>
              <w:spacing w:line="276" w:lineRule="auto" w:before="0" w:after="0"/>
            </w:pPr>
            <w:r/>
            <w:r>
              <w:rPr>
                <w:rFonts w:ascii="Figtree" w:hAnsi="Figtree"/>
                <w:b w:val="0"/>
                <w:i w:val="0"/>
                <w:sz w:val="20"/>
              </w:rPr>
              <w:t>Data location</w:t>
            </w:r>
          </w:p>
        </w:tc>
        <w:tc>
          <w:tcPr>
            <w:tcW w:type="dxa" w:w="4873"/>
            <w:vAlign w:val="center"/>
          </w:tcPr>
          <w:p>
            <w:pPr>
              <w:spacing w:line="276" w:lineRule="auto" w:before="0" w:after="0"/>
            </w:pPr>
            <w:r/>
            <w:r>
              <w:rPr>
                <w:rFonts w:ascii="Figtree" w:hAnsi="Figtree"/>
                <w:b w:val="0"/>
                <w:i w:val="0"/>
                <w:sz w:val="20"/>
              </w:rPr>
              <w:t>All data in ZA territory</w:t>
            </w:r>
          </w:p>
        </w:tc>
      </w:tr>
      <w:tr>
        <w:trPr>
          <w:trHeight w:val="425" w:hRule="atLeast"/>
        </w:trPr>
        <w:tc>
          <w:tcPr>
            <w:tcW w:type="dxa" w:w="4873"/>
            <w:vAlign w:val="center"/>
          </w:tcPr>
          <w:p>
            <w:pPr>
              <w:spacing w:line="276" w:lineRule="auto" w:before="0" w:after="0"/>
            </w:pPr>
            <w:r/>
            <w:r>
              <w:rPr>
                <w:rFonts w:ascii="Figtree" w:hAnsi="Figtree"/>
                <w:b w:val="0"/>
                <w:i w:val="0"/>
                <w:sz w:val="20"/>
              </w:rPr>
              <w:t>Update approval</w:t>
            </w:r>
          </w:p>
        </w:tc>
        <w:tc>
          <w:tcPr>
            <w:tcW w:type="dxa" w:w="4873"/>
            <w:vAlign w:val="center"/>
          </w:tcPr>
          <w:p>
            <w:pPr>
              <w:spacing w:line="276" w:lineRule="auto" w:before="0" w:after="0"/>
            </w:pPr>
            <w:r/>
            <w:r>
              <w:rPr>
                <w:rFonts w:ascii="Figtree" w:hAnsi="Figtree"/>
                <w:b w:val="0"/>
                <w:i w:val="0"/>
                <w:sz w:val="20"/>
              </w:rPr>
              <w:t>All production updates require SARB approval</w:t>
            </w:r>
          </w:p>
        </w:tc>
      </w:tr>
      <w:tr>
        <w:trPr>
          <w:trHeight w:val="425" w:hRule="atLeast"/>
        </w:trPr>
        <w:tc>
          <w:tcPr>
            <w:tcW w:type="dxa" w:w="4873"/>
            <w:vAlign w:val="center"/>
          </w:tcPr>
          <w:p>
            <w:pPr>
              <w:spacing w:line="276" w:lineRule="auto" w:before="0" w:after="0"/>
            </w:pPr>
            <w:r/>
            <w:r>
              <w:rPr>
                <w:rFonts w:ascii="Figtree" w:hAnsi="Figtree"/>
                <w:b w:val="0"/>
                <w:i w:val="0"/>
                <w:sz w:val="20"/>
              </w:rPr>
              <w:t>NPS Act compliance</w:t>
            </w:r>
          </w:p>
        </w:tc>
        <w:tc>
          <w:tcPr>
            <w:tcW w:type="dxa" w:w="4873"/>
            <w:vAlign w:val="center"/>
          </w:tcPr>
          <w:p>
            <w:pPr>
              <w:spacing w:line="276" w:lineRule="auto" w:before="0" w:after="0"/>
            </w:pPr>
            <w:r/>
            <w:r>
              <w:rPr>
                <w:rFonts w:ascii="Figtree" w:hAnsi="Figtree"/>
                <w:b w:val="0"/>
                <w:i w:val="0"/>
                <w:sz w:val="20"/>
              </w:rPr>
              <w:t>Platform supports SARB's NPS obligations</w:t>
            </w:r>
          </w:p>
        </w:tc>
      </w:tr>
      <w:tr>
        <w:trPr>
          <w:trHeight w:val="425" w:hRule="atLeast"/>
        </w:trPr>
        <w:tc>
          <w:tcPr>
            <w:tcW w:type="dxa" w:w="4873"/>
            <w:vAlign w:val="center"/>
          </w:tcPr>
          <w:p>
            <w:pPr>
              <w:spacing w:line="276" w:lineRule="auto" w:before="0" w:after="0"/>
            </w:pPr>
            <w:r/>
            <w:r>
              <w:rPr>
                <w:rFonts w:ascii="Figtree" w:hAnsi="Figtree"/>
                <w:b w:val="0"/>
                <w:i w:val="0"/>
                <w:sz w:val="20"/>
              </w:rPr>
              <w:t>Escrow</w:t>
            </w:r>
          </w:p>
        </w:tc>
        <w:tc>
          <w:tcPr>
            <w:tcW w:type="dxa" w:w="4873"/>
            <w:vAlign w:val="center"/>
          </w:tcPr>
          <w:p>
            <w:pPr>
              <w:spacing w:line="276" w:lineRule="auto" w:before="0" w:after="0"/>
            </w:pPr>
            <w:r/>
            <w:r>
              <w:rPr>
                <w:rFonts w:ascii="Figtree" w:hAnsi="Figtree"/>
                <w:b w:val="0"/>
                <w:i w:val="0"/>
                <w:sz w:val="20"/>
              </w:rPr>
              <w:t>Strongly recommended; source code + configuration</w:t>
            </w:r>
          </w:p>
        </w:tc>
      </w:tr>
    </w:tbl>
    <w:p>
      <w:pPr>
        <w:spacing w:before="0" w:after="0" w:line="120" w:lineRule="exact"/>
      </w:pPr>
    </w:p>
    <w:p>
      <w:pPr>
        <w:pStyle w:val="H2"/>
        <w:numPr>
          <w:ilvl w:val="1"/>
          <w:numId w:val="1"/>
        </w:numPr>
      </w:pPr>
      <w:r>
        <w:t>7.3 Duration</w:t>
      </w:r>
    </w:p>
    <w:p>
      <w:pPr>
        <w:pStyle w:val="ListParagraph"/>
        <w:numPr>
          <w:ilvl w:val="0"/>
          <w:numId w:val="4"/>
        </w:numPr>
      </w:pPr>
      <w:r>
        <w:rPr>
          <w:rFonts w:ascii="Figtree" w:hAnsi="Figtree"/>
          <w:b/>
          <w:i w:val="0"/>
          <w:sz w:val="22"/>
        </w:rPr>
        <w:t>Initial term:</w:t>
      </w:r>
      <w:r>
        <w:rPr>
          <w:rFonts w:ascii="Figtree" w:hAnsi="Figtree"/>
          <w:b w:val="0"/>
          <w:i w:val="0"/>
          <w:sz w:val="22"/>
        </w:rPr>
        <w:t xml:space="preserve"> 3 years from contract execution</w:t>
      </w:r>
    </w:p>
    <w:p>
      <w:pPr>
        <w:pStyle w:val="ListParagraph"/>
        <w:numPr>
          <w:ilvl w:val="0"/>
          <w:numId w:val="4"/>
        </w:numPr>
      </w:pPr>
      <w:r>
        <w:rPr>
          <w:rFonts w:ascii="Figtree" w:hAnsi="Figtree"/>
          <w:b/>
          <w:i w:val="0"/>
          <w:sz w:val="22"/>
        </w:rPr>
        <w:t>Currency:</w:t>
      </w:r>
      <w:r>
        <w:rPr>
          <w:rFonts w:ascii="Figtree" w:hAnsi="Figtree"/>
          <w:b w:val="0"/>
          <w:i w:val="0"/>
          <w:sz w:val="22"/>
        </w:rPr>
        <w:t xml:space="preserve"> USD or ZAR at contract rate</w:t>
      </w:r>
    </w:p>
    <w:p>
      <w:pPr>
        <w:pStyle w:val="ListParagraph"/>
        <w:numPr>
          <w:ilvl w:val="0"/>
          <w:numId w:val="4"/>
        </w:numPr>
      </w:pPr>
      <w:r>
        <w:rPr>
          <w:rFonts w:ascii="Figtree" w:hAnsi="Figtree"/>
          <w:b/>
          <w:i w:val="0"/>
          <w:sz w:val="22"/>
        </w:rPr>
        <w:t>Multi-year discount:</w:t>
      </w:r>
      <w:r>
        <w:rPr>
          <w:rFonts w:ascii="Figtree" w:hAnsi="Figtree"/>
          <w:b w:val="0"/>
          <w:i w:val="0"/>
          <w:sz w:val="22"/>
        </w:rPr>
        <w:t xml:space="preserve"> 10% on platform licence fees ($216,000 total)</w:t>
      </w:r>
    </w:p>
    <w:p>
      <w:pPr>
        <w:pStyle w:val="H2"/>
        <w:numPr>
          <w:ilvl w:val="1"/>
          <w:numId w:val="1"/>
        </w:numPr>
      </w:pPr>
      <w:r>
        <w:t>7.4 Liability</w:t>
      </w:r>
    </w:p>
    <w:p>
      <w:r>
        <w:rPr>
          <w:rFonts w:ascii="Figtree" w:hAnsi="Figtree"/>
          <w:b w:val="0"/>
          <w:i w:val="0"/>
          <w:sz w:val="22"/>
        </w:rPr>
        <w:t>SARB is a statutory institution. Liability terms are subject to negotiation consistent with applicable South African law and SARB's procurement policy. Default liability cap is 12 months of licence fees. SettleMint is open to liability structures appropriate for NPS critical infrastructure contracts.</w:t>
      </w:r>
    </w:p>
    <w:p>
      <w:r>
        <w:br w:type="page"/>
      </w:r>
    </w:p>
    <w:p>
      <w:pPr>
        <w:pStyle w:val="H1"/>
        <w:numPr>
          <w:ilvl w:val="0"/>
          <w:numId w:val="1"/>
        </w:numPr>
      </w:pPr>
      <w:r>
        <w:t>8. Total Cost of Ownership</w:t>
      </w:r>
    </w:p>
    <w:p>
      <w:pPr>
        <w:pStyle w:val="H2"/>
        <w:numPr>
          <w:ilvl w:val="1"/>
          <w:numId w:val="1"/>
        </w:numPr>
      </w:pPr>
      <w:r>
        <w:t>8.1 Three-Year TCO vs Bespoke Build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41"/>
        <w:gridCol w:w="1853"/>
        <w:gridCol w:w="2438"/>
        <w:gridCol w:w="24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Sovereign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Bespoke CBDC Extension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$1,607,000</w:t>
            </w:r>
          </w:p>
        </w:tc>
        <w:tc>
          <w:tcPr>
            <w:tcW w:type="dxa" w:w="2436"/>
            <w:vAlign w:val="center"/>
          </w:tcPr>
          <w:p>
            <w:pPr>
              <w:spacing w:line="276" w:lineRule="auto" w:before="0" w:after="0"/>
            </w:pPr>
            <w:r/>
            <w:r>
              <w:rPr>
                <w:rFonts w:ascii="Figtree" w:hAnsi="Figtree"/>
                <w:b w:val="0"/>
                <w:i w:val="0"/>
                <w:sz w:val="20"/>
              </w:rPr>
              <w:t>$3,800,000-$5,500,000</w:t>
            </w:r>
          </w:p>
        </w:tc>
        <w:tc>
          <w:tcPr>
            <w:tcW w:type="dxa" w:w="2436"/>
            <w:vAlign w:val="center"/>
          </w:tcPr>
          <w:p>
            <w:pPr>
              <w:spacing w:line="276" w:lineRule="auto" w:before="0" w:after="0"/>
            </w:pPr>
            <w:r/>
            <w:r>
              <w:rPr>
                <w:rFonts w:ascii="Figtree" w:hAnsi="Figtree"/>
                <w:b w:val="0"/>
                <w:i w:val="0"/>
                <w:sz w:val="20"/>
              </w:rPr>
              <w:t>$2,800,000-$4,000,000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$1,056,000</w:t>
            </w:r>
          </w:p>
        </w:tc>
        <w:tc>
          <w:tcPr>
            <w:tcW w:type="dxa" w:w="2436"/>
            <w:vAlign w:val="center"/>
          </w:tcPr>
          <w:p>
            <w:pPr>
              <w:spacing w:line="276" w:lineRule="auto" w:before="0" w:after="0"/>
            </w:pPr>
            <w:r/>
            <w:r>
              <w:rPr>
                <w:rFonts w:ascii="Figtree" w:hAnsi="Figtree"/>
                <w:b w:val="0"/>
                <w:i w:val="0"/>
                <w:sz w:val="20"/>
              </w:rPr>
              <w:t>$1,200,000-$1,500,000</w:t>
            </w:r>
          </w:p>
        </w:tc>
        <w:tc>
          <w:tcPr>
            <w:tcW w:type="dxa" w:w="2436"/>
            <w:vAlign w:val="center"/>
          </w:tcPr>
          <w:p>
            <w:pPr>
              <w:spacing w:line="276" w:lineRule="auto" w:before="0" w:after="0"/>
            </w:pPr>
            <w:r/>
            <w:r>
              <w:rPr>
                <w:rFonts w:ascii="Figtree" w:hAnsi="Figtree"/>
                <w:b w:val="0"/>
                <w:i w:val="0"/>
                <w:sz w:val="20"/>
              </w:rPr>
              <w:t>$1,400,000-$1,800,000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$1,074,000</w:t>
            </w:r>
          </w:p>
        </w:tc>
        <w:tc>
          <w:tcPr>
            <w:tcW w:type="dxa" w:w="2436"/>
            <w:vAlign w:val="center"/>
          </w:tcPr>
          <w:p>
            <w:pPr>
              <w:spacing w:line="276" w:lineRule="auto" w:before="0" w:after="0"/>
            </w:pPr>
            <w:r/>
            <w:r>
              <w:rPr>
                <w:rFonts w:ascii="Figtree" w:hAnsi="Figtree"/>
                <w:b w:val="0"/>
                <w:i w:val="0"/>
                <w:sz w:val="20"/>
              </w:rPr>
              <w:t>$1,200,000-$1,500,000</w:t>
            </w:r>
          </w:p>
        </w:tc>
        <w:tc>
          <w:tcPr>
            <w:tcW w:type="dxa" w:w="2436"/>
            <w:vAlign w:val="center"/>
          </w:tcPr>
          <w:p>
            <w:pPr>
              <w:spacing w:line="276" w:lineRule="auto" w:before="0" w:after="0"/>
            </w:pPr>
            <w:r/>
            <w:r>
              <w:rPr>
                <w:rFonts w:ascii="Figtree" w:hAnsi="Figtree"/>
                <w:b w:val="0"/>
                <w:i w:val="0"/>
                <w:sz w:val="20"/>
              </w:rPr>
              <w:t>$1,400,000-$1,800,000</w:t>
            </w:r>
          </w:p>
        </w:tc>
      </w:tr>
      <w:tr>
        <w:trPr>
          <w:trHeight w:val="425" w:hRule="atLeast"/>
        </w:trPr>
        <w:tc>
          <w:tcPr>
            <w:tcW w:type="dxa" w:w="2436"/>
            <w:vAlign w:val="center"/>
          </w:tcPr>
          <w:p>
            <w:pPr>
              <w:spacing w:line="276" w:lineRule="auto" w:before="0" w:after="0"/>
            </w:pPr>
            <w:r/>
            <w:r>
              <w:rPr>
                <w:rFonts w:ascii="Figtree" w:hAnsi="Figtree"/>
                <w:b/>
                <w:i w:val="0"/>
                <w:sz w:val="20"/>
              </w:rPr>
              <w:t>3-Year</w:t>
            </w:r>
          </w:p>
        </w:tc>
        <w:tc>
          <w:tcPr>
            <w:tcW w:type="dxa" w:w="2436"/>
            <w:vAlign w:val="center"/>
          </w:tcPr>
          <w:p>
            <w:pPr>
              <w:spacing w:line="276" w:lineRule="auto" w:before="0" w:after="0"/>
            </w:pPr>
            <w:r/>
            <w:r>
              <w:rPr>
                <w:rFonts w:ascii="Figtree" w:hAnsi="Figtree"/>
                <w:b/>
                <w:i w:val="0"/>
                <w:sz w:val="20"/>
              </w:rPr>
              <w:t>$3,737,000</w:t>
            </w:r>
          </w:p>
        </w:tc>
        <w:tc>
          <w:tcPr>
            <w:tcW w:type="dxa" w:w="2436"/>
            <w:vAlign w:val="center"/>
          </w:tcPr>
          <w:p>
            <w:pPr>
              <w:spacing w:line="276" w:lineRule="auto" w:before="0" w:after="0"/>
            </w:pPr>
            <w:r/>
            <w:r>
              <w:rPr>
                <w:rFonts w:ascii="Figtree" w:hAnsi="Figtree"/>
                <w:b/>
                <w:i w:val="0"/>
                <w:sz w:val="20"/>
              </w:rPr>
              <w:t>$6,200,000-$8,500,000</w:t>
            </w:r>
          </w:p>
        </w:tc>
        <w:tc>
          <w:tcPr>
            <w:tcW w:type="dxa" w:w="2436"/>
            <w:vAlign w:val="center"/>
          </w:tcPr>
          <w:p>
            <w:pPr>
              <w:spacing w:line="276" w:lineRule="auto" w:before="0" w:after="0"/>
            </w:pPr>
            <w:r/>
            <w:r>
              <w:rPr>
                <w:rFonts w:ascii="Figtree" w:hAnsi="Figtree"/>
                <w:b/>
                <w:i w:val="0"/>
                <w:sz w:val="20"/>
              </w:rPr>
              <w:t>$5,600,000-$7,600,000</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20 weeks</w:t>
            </w:r>
          </w:p>
        </w:tc>
        <w:tc>
          <w:tcPr>
            <w:tcW w:type="dxa" w:w="2436"/>
            <w:vAlign w:val="center"/>
          </w:tcPr>
          <w:p>
            <w:pPr>
              <w:spacing w:line="276" w:lineRule="auto" w:before="0" w:after="0"/>
            </w:pPr>
            <w:r/>
            <w:r>
              <w:rPr>
                <w:rFonts w:ascii="Figtree" w:hAnsi="Figtree"/>
                <w:b w:val="0"/>
                <w:i w:val="0"/>
                <w:sz w:val="20"/>
              </w:rPr>
              <w:t>24+ months</w:t>
            </w:r>
          </w:p>
        </w:tc>
        <w:tc>
          <w:tcPr>
            <w:tcW w:type="dxa" w:w="2436"/>
            <w:vAlign w:val="center"/>
          </w:tcPr>
          <w:p>
            <w:pPr>
              <w:spacing w:line="276" w:lineRule="auto" w:before="0" w:after="0"/>
            </w:pPr>
            <w:r/>
            <w:r>
              <w:rPr>
                <w:rFonts w:ascii="Figtree" w:hAnsi="Figtree"/>
                <w:b w:val="0"/>
                <w:i w:val="0"/>
                <w:sz w:val="20"/>
              </w:rPr>
              <w:t>18+ months</w:t>
            </w:r>
          </w:p>
        </w:tc>
      </w:tr>
      <w:tr>
        <w:trPr>
          <w:trHeight w:val="425" w:hRule="atLeast"/>
        </w:trPr>
        <w:tc>
          <w:tcPr>
            <w:tcW w:type="dxa" w:w="2436"/>
            <w:vAlign w:val="center"/>
          </w:tcPr>
          <w:p>
            <w:pPr>
              <w:spacing w:line="276" w:lineRule="auto" w:before="0" w:after="0"/>
            </w:pPr>
            <w:r/>
            <w:r>
              <w:rPr>
                <w:rFonts w:ascii="Figtree" w:hAnsi="Figtree"/>
                <w:b w:val="0"/>
                <w:i w:val="0"/>
                <w:sz w:val="20"/>
              </w:rPr>
              <w:t>Khokha alignment</w:t>
            </w:r>
          </w:p>
        </w:tc>
        <w:tc>
          <w:tcPr>
            <w:tcW w:type="dxa" w:w="2436"/>
            <w:vAlign w:val="center"/>
          </w:tcPr>
          <w:p>
            <w:pPr>
              <w:spacing w:line="276" w:lineRule="auto" w:before="0" w:after="0"/>
            </w:pPr>
            <w:r/>
            <w:r>
              <w:rPr>
                <w:rFonts w:ascii="Figtree" w:hAnsi="Figtree"/>
                <w:b w:val="0"/>
                <w:i w:val="0"/>
                <w:sz w:val="20"/>
              </w:rPr>
              <w:t>Native (same stack)</w:t>
            </w:r>
          </w:p>
        </w:tc>
        <w:tc>
          <w:tcPr>
            <w:tcW w:type="dxa" w:w="2436"/>
            <w:vAlign w:val="center"/>
          </w:tcPr>
          <w:p>
            <w:pPr>
              <w:spacing w:line="276" w:lineRule="auto" w:before="0" w:after="0"/>
            </w:pPr>
            <w:r/>
            <w:r>
              <w:rPr>
                <w:rFonts w:ascii="Figtree" w:hAnsi="Figtree"/>
                <w:b w:val="0"/>
                <w:i w:val="0"/>
                <w:sz w:val="20"/>
              </w:rPr>
              <w:t>Design from scratch</w:t>
            </w:r>
          </w:p>
        </w:tc>
        <w:tc>
          <w:tcPr>
            <w:tcW w:type="dxa" w:w="2436"/>
            <w:vAlign w:val="center"/>
          </w:tcPr>
          <w:p>
            <w:pPr>
              <w:spacing w:line="276" w:lineRule="auto" w:before="0" w:after="0"/>
            </w:pPr>
            <w:r/>
            <w:r>
              <w:rPr>
                <w:rFonts w:ascii="Figtree" w:hAnsi="Figtree"/>
                <w:b w:val="0"/>
                <w:i w:val="0"/>
                <w:sz w:val="20"/>
              </w:rPr>
              <w:t>Uncertain</w:t>
            </w:r>
          </w:p>
        </w:tc>
      </w:tr>
      <w:tr>
        <w:trPr>
          <w:trHeight w:val="425" w:hRule="atLeast"/>
        </w:trPr>
        <w:tc>
          <w:tcPr>
            <w:tcW w:type="dxa" w:w="2436"/>
            <w:vAlign w:val="center"/>
          </w:tcPr>
          <w:p>
            <w:pPr>
              <w:spacing w:line="276" w:lineRule="auto" w:before="0" w:after="0"/>
            </w:pPr>
            <w:r/>
            <w:r>
              <w:rPr>
                <w:rFonts w:ascii="Figtree" w:hAnsi="Figtree"/>
                <w:b w:val="0"/>
                <w:i w:val="0"/>
                <w:sz w:val="20"/>
              </w:rPr>
              <w:t>SAMOS/Strate integration</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Custom development</w:t>
            </w:r>
          </w:p>
        </w:tc>
        <w:tc>
          <w:tcPr>
            <w:tcW w:type="dxa" w:w="2436"/>
            <w:vAlign w:val="center"/>
          </w:tcPr>
          <w:p>
            <w:pPr>
              <w:spacing w:line="276" w:lineRule="auto" w:before="0" w:after="0"/>
            </w:pPr>
            <w:r/>
            <w:r>
              <w:rPr>
                <w:rFonts w:ascii="Figtree" w:hAnsi="Figtree"/>
                <w:b w:val="0"/>
                <w:i w:val="0"/>
                <w:sz w:val="20"/>
              </w:rPr>
              <w:t>Separate vendor</w:t>
            </w:r>
          </w:p>
        </w:tc>
      </w:tr>
    </w:tbl>
    <w:p>
      <w:pPr>
        <w:spacing w:before="0" w:after="0" w:line="120" w:lineRule="exact"/>
      </w:pPr>
    </w:p>
    <w:p>
      <w:pPr>
        <w:pStyle w:val="H2"/>
        <w:numPr>
          <w:ilvl w:val="1"/>
          <w:numId w:val="1"/>
        </w:numPr>
      </w:pPr>
      <w:r>
        <w:t>8.2 Five-Year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6"/>
        <w:gridCol w:w="3256"/>
        <w:gridCol w:w="34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Bespoke</w:t>
            </w:r>
          </w:p>
        </w:tc>
      </w:tr>
      <w:tr>
        <w:trPr>
          <w:trHeight w:val="425" w:hRule="atLeast"/>
        </w:trPr>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$1,607,000</w:t>
            </w:r>
          </w:p>
        </w:tc>
        <w:tc>
          <w:tcPr>
            <w:tcW w:type="dxa" w:w="3249"/>
            <w:vAlign w:val="center"/>
          </w:tcPr>
          <w:p>
            <w:pPr>
              <w:spacing w:line="276" w:lineRule="auto" w:before="0" w:after="0"/>
            </w:pPr>
            <w:r/>
            <w:r>
              <w:rPr>
                <w:rFonts w:ascii="Figtree" w:hAnsi="Figtree"/>
                <w:b w:val="0"/>
                <w:i w:val="0"/>
                <w:sz w:val="20"/>
              </w:rPr>
              <w:t>$4,500,000</w:t>
            </w:r>
          </w:p>
        </w:tc>
      </w:tr>
      <w:tr>
        <w:trPr>
          <w:trHeight w:val="425" w:hRule="atLeast"/>
        </w:trPr>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$1,056,000</w:t>
            </w:r>
          </w:p>
        </w:tc>
        <w:tc>
          <w:tcPr>
            <w:tcW w:type="dxa" w:w="3249"/>
            <w:vAlign w:val="center"/>
          </w:tcPr>
          <w:p>
            <w:pPr>
              <w:spacing w:line="276" w:lineRule="auto" w:before="0" w:after="0"/>
            </w:pPr>
            <w:r/>
            <w:r>
              <w:rPr>
                <w:rFonts w:ascii="Figtree" w:hAnsi="Figtree"/>
                <w:b w:val="0"/>
                <w:i w:val="0"/>
                <w:sz w:val="20"/>
              </w:rPr>
              <w:t>$1,350,000</w:t>
            </w:r>
          </w:p>
        </w:tc>
      </w:tr>
      <w:tr>
        <w:trPr>
          <w:trHeight w:val="425" w:hRule="atLeast"/>
        </w:trPr>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$1,074,000</w:t>
            </w:r>
          </w:p>
        </w:tc>
        <w:tc>
          <w:tcPr>
            <w:tcW w:type="dxa" w:w="3249"/>
            <w:vAlign w:val="center"/>
          </w:tcPr>
          <w:p>
            <w:pPr>
              <w:spacing w:line="276" w:lineRule="auto" w:before="0" w:after="0"/>
            </w:pPr>
            <w:r/>
            <w:r>
              <w:rPr>
                <w:rFonts w:ascii="Figtree" w:hAnsi="Figtree"/>
                <w:b w:val="0"/>
                <w:i w:val="0"/>
                <w:sz w:val="20"/>
              </w:rPr>
              <w:t>$1,400,000</w:t>
            </w:r>
          </w:p>
        </w:tc>
      </w:tr>
      <w:tr>
        <w:trPr>
          <w:trHeight w:val="425" w:hRule="atLeast"/>
        </w:trPr>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$1,074,000</w:t>
            </w:r>
          </w:p>
        </w:tc>
        <w:tc>
          <w:tcPr>
            <w:tcW w:type="dxa" w:w="3249"/>
            <w:vAlign w:val="center"/>
          </w:tcPr>
          <w:p>
            <w:pPr>
              <w:spacing w:line="276" w:lineRule="auto" w:before="0" w:after="0"/>
            </w:pPr>
            <w:r/>
            <w:r>
              <w:rPr>
                <w:rFonts w:ascii="Figtree" w:hAnsi="Figtree"/>
                <w:b w:val="0"/>
                <w:i w:val="0"/>
                <w:sz w:val="20"/>
              </w:rPr>
              <w:t>$1,450,000</w:t>
            </w:r>
          </w:p>
        </w:tc>
      </w:tr>
      <w:tr>
        <w:trPr>
          <w:trHeight w:val="425" w:hRule="atLeast"/>
        </w:trPr>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$1,074,000</w:t>
            </w:r>
          </w:p>
        </w:tc>
        <w:tc>
          <w:tcPr>
            <w:tcW w:type="dxa" w:w="3249"/>
            <w:vAlign w:val="center"/>
          </w:tcPr>
          <w:p>
            <w:pPr>
              <w:spacing w:line="276" w:lineRule="auto" w:before="0" w:after="0"/>
            </w:pPr>
            <w:r/>
            <w:r>
              <w:rPr>
                <w:rFonts w:ascii="Figtree" w:hAnsi="Figtree"/>
                <w:b w:val="0"/>
                <w:i w:val="0"/>
                <w:sz w:val="20"/>
              </w:rPr>
              <w:t>$1,500,000</w:t>
            </w:r>
          </w:p>
        </w:tc>
      </w:tr>
      <w:tr>
        <w:trPr>
          <w:trHeight w:val="425" w:hRule="atLeast"/>
        </w:trPr>
        <w:tc>
          <w:tcPr>
            <w:tcW w:type="dxa" w:w="3249"/>
            <w:vAlign w:val="center"/>
          </w:tcPr>
          <w:p>
            <w:pPr>
              <w:spacing w:line="276" w:lineRule="auto" w:before="0" w:after="0"/>
            </w:pPr>
            <w:r/>
            <w:r>
              <w:rPr>
                <w:rFonts w:ascii="Figtree" w:hAnsi="Figtree"/>
                <w:b/>
                <w:i w:val="0"/>
                <w:sz w:val="20"/>
              </w:rPr>
              <w:t>5-Year</w:t>
            </w:r>
          </w:p>
        </w:tc>
        <w:tc>
          <w:tcPr>
            <w:tcW w:type="dxa" w:w="3249"/>
            <w:vAlign w:val="center"/>
          </w:tcPr>
          <w:p>
            <w:pPr>
              <w:spacing w:line="276" w:lineRule="auto" w:before="0" w:after="0"/>
            </w:pPr>
            <w:r/>
            <w:r>
              <w:rPr>
                <w:rFonts w:ascii="Figtree" w:hAnsi="Figtree"/>
                <w:b/>
                <w:i w:val="0"/>
                <w:sz w:val="20"/>
              </w:rPr>
              <w:t>$5,885,000</w:t>
            </w:r>
          </w:p>
        </w:tc>
        <w:tc>
          <w:tcPr>
            <w:tcW w:type="dxa" w:w="3249"/>
            <w:vAlign w:val="center"/>
          </w:tcPr>
          <w:p>
            <w:pPr>
              <w:spacing w:line="276" w:lineRule="auto" w:before="0" w:after="0"/>
            </w:pPr>
            <w:r/>
            <w:r>
              <w:rPr>
                <w:rFonts w:ascii="Figtree" w:hAnsi="Figtree"/>
                <w:b/>
                <w:i w:val="0"/>
                <w:sz w:val="20"/>
              </w:rPr>
              <w:t>$10,200,000</w:t>
            </w:r>
          </w:p>
        </w:tc>
      </w:tr>
    </w:tbl>
    <w:p>
      <w:pPr>
        <w:spacing w:before="0" w:after="0" w:line="120" w:lineRule="exact"/>
      </w:pPr>
    </w:p>
    <w:p>
      <w:r>
        <w:rPr>
          <w:rFonts w:ascii="Figtree" w:hAnsi="Figtree"/>
          <w:b w:val="0"/>
          <w:i w:val="0"/>
          <w:sz w:val="22"/>
        </w:rPr>
        <w:t>5-year DALP advantage: $4,315,000 vs bespoke; $3,700,000+ vs multi-vendor.</w:t>
      </w:r>
    </w:p>
    <w:p>
      <w:r>
        <w:br w:type="page"/>
      </w:r>
    </w:p>
    <w:p>
      <w:pPr>
        <w:pStyle w:val="H1"/>
        <w:numPr>
          <w:ilvl w:val="0"/>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2520"/>
        <w:gridCol w:w="39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SARB Relevance</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Digital Dirham CBDC</w:t>
            </w:r>
          </w:p>
        </w:tc>
        <w:tc>
          <w:tcPr>
            <w:tcW w:type="dxa" w:w="3249"/>
            <w:vAlign w:val="center"/>
          </w:tcPr>
          <w:p>
            <w:pPr>
              <w:spacing w:line="276" w:lineRule="auto" w:before="0" w:after="0"/>
            </w:pPr>
            <w:r/>
            <w:r>
              <w:rPr>
                <w:rFonts w:ascii="Figtree" w:hAnsi="Figtree"/>
                <w:b w:val="0"/>
                <w:i w:val="0"/>
                <w:sz w:val="20"/>
              </w:rPr>
              <w:t>Central bank CBDC deployment; sovereign control model</w:t>
            </w:r>
          </w:p>
        </w:tc>
      </w:tr>
      <w:tr>
        <w:trPr>
          <w:trHeight w:val="425" w:hRule="atLeast"/>
        </w:trPr>
        <w:tc>
          <w:tcPr>
            <w:tcW w:type="dxa" w:w="3249"/>
            <w:vAlign w:val="center"/>
          </w:tcPr>
          <w:p>
            <w:pPr>
              <w:spacing w:line="276" w:lineRule="auto" w:before="0" w:after="0"/>
            </w:pPr>
            <w:r/>
            <w:r>
              <w:rPr>
                <w:rFonts w:ascii="Figtree" w:hAnsi="Figtree"/>
                <w:b w:val="0"/>
                <w:i w:val="0"/>
                <w:sz w:val="20"/>
              </w:rPr>
              <w:t>Project Khokha I/II (SARB)</w:t>
            </w:r>
          </w:p>
        </w:tc>
        <w:tc>
          <w:tcPr>
            <w:tcW w:type="dxa" w:w="3249"/>
            <w:vAlign w:val="center"/>
          </w:tcPr>
          <w:p>
            <w:pPr>
              <w:spacing w:line="276" w:lineRule="auto" w:before="0" w:after="0"/>
            </w:pPr>
            <w:r/>
            <w:r>
              <w:rPr>
                <w:rFonts w:ascii="Figtree" w:hAnsi="Figtree"/>
                <w:b w:val="0"/>
                <w:i w:val="0"/>
                <w:sz w:val="20"/>
              </w:rPr>
              <w:t>Wholesale CBDC PoC</w:t>
            </w:r>
          </w:p>
        </w:tc>
        <w:tc>
          <w:tcPr>
            <w:tcW w:type="dxa" w:w="3249"/>
            <w:vAlign w:val="center"/>
          </w:tcPr>
          <w:p>
            <w:pPr>
              <w:spacing w:line="276" w:lineRule="auto" w:before="0" w:after="0"/>
            </w:pPr>
            <w:r/>
            <w:r>
              <w:rPr>
                <w:rFonts w:ascii="Figtree" w:hAnsi="Figtree"/>
                <w:b w:val="0"/>
                <w:i w:val="0"/>
                <w:sz w:val="20"/>
              </w:rPr>
              <w:t>Same technical stack (Besu/IBFT 2.0); direct continuity</w:t>
            </w:r>
          </w:p>
        </w:tc>
      </w:tr>
      <w:tr>
        <w:trPr>
          <w:trHeight w:val="425" w:hRule="atLeast"/>
        </w:trPr>
        <w:tc>
          <w:tcPr>
            <w:tcW w:type="dxa" w:w="3249"/>
            <w:vAlign w:val="center"/>
          </w:tcPr>
          <w:p>
            <w:pPr>
              <w:spacing w:line="276" w:lineRule="auto" w:before="0" w:after="0"/>
            </w:pPr>
            <w:r/>
            <w:r>
              <w:rPr>
                <w:rFonts w:ascii="Figtree" w:hAnsi="Figtree"/>
                <w:b w:val="0"/>
                <w:i w:val="0"/>
                <w:sz w:val="20"/>
              </w:rPr>
              <w:t>JSE Digital Post-Trade</w:t>
            </w:r>
          </w:p>
        </w:tc>
        <w:tc>
          <w:tcPr>
            <w:tcW w:type="dxa" w:w="3249"/>
            <w:vAlign w:val="center"/>
          </w:tcPr>
          <w:p>
            <w:pPr>
              <w:spacing w:line="276" w:lineRule="auto" w:before="0" w:after="0"/>
            </w:pPr>
            <w:r/>
            <w:r>
              <w:rPr>
                <w:rFonts w:ascii="Figtree" w:hAnsi="Figtree"/>
                <w:b w:val="0"/>
                <w:i w:val="0"/>
                <w:sz w:val="20"/>
              </w:rPr>
              <w:t>South African market infrastructure</w:t>
            </w:r>
          </w:p>
        </w:tc>
        <w:tc>
          <w:tcPr>
            <w:tcW w:type="dxa" w:w="3249"/>
            <w:vAlign w:val="center"/>
          </w:tcPr>
          <w:p>
            <w:pPr>
              <w:spacing w:line="276" w:lineRule="auto" w:before="0" w:after="0"/>
            </w:pPr>
            <w:r/>
            <w:r>
              <w:rPr>
                <w:rFonts w:ascii="Figtree" w:hAnsi="Figtree"/>
                <w:b w:val="0"/>
                <w:i w:val="0"/>
                <w:sz w:val="20"/>
              </w:rPr>
              <w:t>Local market context; Strate interaction patterns</w:t>
            </w:r>
          </w:p>
        </w:tc>
      </w:tr>
      <w:tr>
        <w:trPr>
          <w:trHeight w:val="425" w:hRule="atLeast"/>
        </w:trPr>
        <w:tc>
          <w:tcPr>
            <w:tcW w:type="dxa" w:w="3249"/>
            <w:vAlign w:val="center"/>
          </w:tcPr>
          <w:p>
            <w:pPr>
              <w:spacing w:line="276" w:lineRule="auto" w:before="0" w:after="0"/>
            </w:pPr>
            <w:r/>
            <w:r>
              <w:rPr>
                <w:rFonts w:ascii="Figtree" w:hAnsi="Figtree"/>
                <w:b w:val="0"/>
                <w:i w:val="0"/>
                <w:sz w:val="20"/>
              </w:rPr>
              <w:t>Standard Bank (South Africa context)</w:t>
            </w:r>
          </w:p>
        </w:tc>
        <w:tc>
          <w:tcPr>
            <w:tcW w:type="dxa" w:w="3249"/>
            <w:vAlign w:val="center"/>
          </w:tcPr>
          <w:p>
            <w:pPr>
              <w:spacing w:line="276" w:lineRule="auto" w:before="0" w:after="0"/>
            </w:pPr>
            <w:r/>
            <w:r>
              <w:rPr>
                <w:rFonts w:ascii="Figtree" w:hAnsi="Figtree"/>
                <w:b w:val="0"/>
                <w:i w:val="0"/>
                <w:sz w:val="20"/>
              </w:rPr>
              <w:t>Digital assets</w:t>
            </w:r>
          </w:p>
        </w:tc>
        <w:tc>
          <w:tcPr>
            <w:tcW w:type="dxa" w:w="3249"/>
            <w:vAlign w:val="center"/>
          </w:tcPr>
          <w:p>
            <w:pPr>
              <w:spacing w:line="276" w:lineRule="auto" w:before="0" w:after="0"/>
            </w:pPr>
            <w:r/>
            <w:r>
              <w:rPr>
                <w:rFonts w:ascii="Figtree" w:hAnsi="Figtree"/>
                <w:b w:val="0"/>
                <w:i w:val="0"/>
                <w:sz w:val="20"/>
              </w:rPr>
              <w:t>South African regulatory environment</w:t>
            </w:r>
          </w:p>
        </w:tc>
      </w:tr>
      <w:tr>
        <w:trPr>
          <w:trHeight w:val="425" w:hRule="atLeast"/>
        </w:trPr>
        <w:tc>
          <w:tcPr>
            <w:tcW w:type="dxa" w:w="3249"/>
            <w:vAlign w:val="center"/>
          </w:tcPr>
          <w:p>
            <w:pPr>
              <w:spacing w:line="276" w:lineRule="auto" w:before="0" w:after="0"/>
            </w:pPr>
            <w:r/>
            <w:r>
              <w:rPr>
                <w:rFonts w:ascii="Figtree" w:hAnsi="Figtree"/>
                <w:b w:val="0"/>
                <w:i w:val="0"/>
                <w:sz w:val="20"/>
              </w:rPr>
              <w:t>BIS Innovation Hub</w:t>
            </w:r>
          </w:p>
        </w:tc>
        <w:tc>
          <w:tcPr>
            <w:tcW w:type="dxa" w:w="3249"/>
            <w:vAlign w:val="center"/>
          </w:tcPr>
          <w:p>
            <w:pPr>
              <w:spacing w:line="276" w:lineRule="auto" w:before="0" w:after="0"/>
            </w:pPr>
            <w:r/>
            <w:r>
              <w:rPr>
                <w:rFonts w:ascii="Figtree" w:hAnsi="Figtree"/>
                <w:b w:val="0"/>
                <w:i w:val="0"/>
                <w:sz w:val="20"/>
              </w:rPr>
              <w:t>CBDC research</w:t>
            </w:r>
          </w:p>
        </w:tc>
        <w:tc>
          <w:tcPr>
            <w:tcW w:type="dxa" w:w="3249"/>
            <w:vAlign w:val="center"/>
          </w:tcPr>
          <w:p>
            <w:pPr>
              <w:spacing w:line="276" w:lineRule="auto" w:before="0" w:after="0"/>
            </w:pPr>
            <w:r/>
            <w:r>
              <w:rPr>
                <w:rFonts w:ascii="Figtree" w:hAnsi="Figtree"/>
                <w:b w:val="0"/>
                <w:i w:val="0"/>
                <w:sz w:val="20"/>
              </w:rPr>
              <w:t>BIS evidence standards; international CBDC engagement</w:t>
            </w:r>
          </w:p>
        </w:tc>
      </w:tr>
    </w:tbl>
    <w:p>
      <w:pPr>
        <w:spacing w:before="0" w:after="0" w:line="120" w:lineRule="exact"/>
      </w:pPr>
    </w:p>
    <w:p>
      <w:r>
        <w:br w:type="page"/>
      </w:r>
    </w:p>
    <w:p>
      <w:pPr>
        <w:pStyle w:val="H1"/>
        <w:numPr>
          <w:ilvl w:val="0"/>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40"/>
        <w:gridCol w:w="2268"/>
        <w:gridCol w:w="25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SARB evaluation period</w:t>
            </w:r>
          </w:p>
        </w:tc>
        <w:tc>
          <w:tcPr>
            <w:tcW w:type="dxa" w:w="3249"/>
            <w:vAlign w:val="center"/>
          </w:tcPr>
          <w:p>
            <w:pPr>
              <w:spacing w:line="276" w:lineRule="auto" w:before="0" w:after="0"/>
            </w:pPr>
            <w:r/>
            <w:r>
              <w:rPr>
                <w:rFonts w:ascii="Figtree" w:hAnsi="Figtree"/>
                <w:b w:val="0"/>
                <w:i w:val="0"/>
                <w:sz w:val="20"/>
              </w:rPr>
              <w:t>SARB Innovation/IT</w:t>
            </w:r>
          </w:p>
        </w:tc>
        <w:tc>
          <w:tcPr>
            <w:tcW w:type="dxa" w:w="3249"/>
            <w:vAlign w:val="center"/>
          </w:tcPr>
          <w:p>
            <w:pPr>
              <w:spacing w:line="276" w:lineRule="auto" w:before="0" w:after="0"/>
            </w:pPr>
            <w:r/>
            <w:r>
              <w:rPr>
                <w:rFonts w:ascii="Figtree" w:hAnsi="Figtree"/>
                <w:b w:val="0"/>
                <w:i w:val="0"/>
                <w:sz w:val="20"/>
              </w:rPr>
              <w:t>Week 1-3</w:t>
            </w:r>
          </w:p>
        </w:tc>
      </w:tr>
      <w:tr>
        <w:trPr>
          <w:trHeight w:val="425" w:hRule="atLeast"/>
        </w:trPr>
        <w:tc>
          <w:tcPr>
            <w:tcW w:type="dxa" w:w="3249"/>
            <w:vAlign w:val="center"/>
          </w:tcPr>
          <w:p>
            <w:pPr>
              <w:spacing w:line="276" w:lineRule="auto" w:before="0" w:after="0"/>
            </w:pPr>
            <w:r/>
            <w:r>
              <w:rPr>
                <w:rFonts w:ascii="Figtree" w:hAnsi="Figtree"/>
                <w:b w:val="0"/>
                <w:i w:val="0"/>
                <w:sz w:val="20"/>
              </w:rPr>
              <w:t>Technical presentation to SARB Architecture</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2-3</w:t>
            </w:r>
          </w:p>
        </w:tc>
      </w:tr>
      <w:tr>
        <w:trPr>
          <w:trHeight w:val="425" w:hRule="atLeast"/>
        </w:trPr>
        <w:tc>
          <w:tcPr>
            <w:tcW w:type="dxa" w:w="3249"/>
            <w:vAlign w:val="center"/>
          </w:tcPr>
          <w:p>
            <w:pPr>
              <w:spacing w:line="276" w:lineRule="auto" w:before="0" w:after="0"/>
            </w:pPr>
            <w:r/>
            <w:r>
              <w:rPr>
                <w:rFonts w:ascii="Figtree" w:hAnsi="Figtree"/>
                <w:b w:val="0"/>
                <w:i w:val="0"/>
                <w:sz w:val="20"/>
              </w:rPr>
              <w:t>SAMOS integration specification workshop</w:t>
            </w:r>
          </w:p>
        </w:tc>
        <w:tc>
          <w:tcPr>
            <w:tcW w:type="dxa" w:w="3249"/>
            <w:vAlign w:val="center"/>
          </w:tcPr>
          <w:p>
            <w:pPr>
              <w:spacing w:line="276" w:lineRule="auto" w:before="0" w:after="0"/>
            </w:pPr>
            <w:r/>
            <w:r>
              <w:rPr>
                <w:rFonts w:ascii="Figtree" w:hAnsi="Figtree"/>
                <w:b w:val="0"/>
                <w:i w:val="0"/>
                <w:sz w:val="20"/>
              </w:rPr>
              <w:t>Both + SAMOS team</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Strate integration design session</w:t>
            </w:r>
          </w:p>
        </w:tc>
        <w:tc>
          <w:tcPr>
            <w:tcW w:type="dxa" w:w="3249"/>
            <w:vAlign w:val="center"/>
          </w:tcPr>
          <w:p>
            <w:pPr>
              <w:spacing w:line="276" w:lineRule="auto" w:before="0" w:after="0"/>
            </w:pPr>
            <w:r/>
            <w:r>
              <w:rPr>
                <w:rFonts w:ascii="Figtree" w:hAnsi="Figtree"/>
                <w:b w:val="0"/>
                <w:i w:val="0"/>
                <w:sz w:val="20"/>
              </w:rPr>
              <w:t>Both + Strate team</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SARB Security review session</w:t>
            </w:r>
          </w:p>
        </w:tc>
        <w:tc>
          <w:tcPr>
            <w:tcW w:type="dxa" w:w="3249"/>
            <w:vAlign w:val="center"/>
          </w:tcPr>
          <w:p>
            <w:pPr>
              <w:spacing w:line="276" w:lineRule="auto" w:before="0" w:after="0"/>
            </w:pPr>
            <w:r/>
            <w:r>
              <w:rPr>
                <w:rFonts w:ascii="Figtree" w:hAnsi="Figtree"/>
                <w:b w:val="0"/>
                <w:i w:val="0"/>
                <w:sz w:val="20"/>
              </w:rPr>
              <w:t>SettleMint + SARB IS</w:t>
            </w:r>
          </w:p>
        </w:tc>
        <w:tc>
          <w:tcPr>
            <w:tcW w:type="dxa" w:w="3249"/>
            <w:vAlign w:val="center"/>
          </w:tcPr>
          <w:p>
            <w:pPr>
              <w:spacing w:line="276" w:lineRule="auto" w:before="0" w:after="0"/>
            </w:pPr>
            <w:r/>
            <w:r>
              <w:rPr>
                <w:rFonts w:ascii="Figtree" w:hAnsi="Figtree"/>
                <w:b w:val="0"/>
                <w:i w:val="0"/>
                <w:sz w:val="20"/>
              </w:rPr>
              <w:t>Week 4</w:t>
            </w:r>
          </w:p>
        </w:tc>
      </w:tr>
      <w:tr>
        <w:trPr>
          <w:trHeight w:val="425" w:hRule="atLeast"/>
        </w:trPr>
        <w:tc>
          <w:tcPr>
            <w:tcW w:type="dxa" w:w="3249"/>
            <w:vAlign w:val="center"/>
          </w:tcPr>
          <w:p>
            <w:pPr>
              <w:spacing w:line="276" w:lineRule="auto" w:before="0" w:after="0"/>
            </w:pPr>
            <w:r/>
            <w:r>
              <w:rPr>
                <w:rFonts w:ascii="Figtree" w:hAnsi="Figtree"/>
                <w:b w:val="0"/>
                <w:i w:val="0"/>
                <w:sz w:val="20"/>
              </w:rPr>
              <w:t>HSM vendor selection discussion</w:t>
            </w:r>
          </w:p>
        </w:tc>
        <w:tc>
          <w:tcPr>
            <w:tcW w:type="dxa" w:w="3249"/>
            <w:vAlign w:val="center"/>
          </w:tcPr>
          <w:p>
            <w:pPr>
              <w:spacing w:line="276" w:lineRule="auto" w:before="0" w:after="0"/>
            </w:pPr>
            <w:r/>
            <w:r>
              <w:rPr>
                <w:rFonts w:ascii="Figtree" w:hAnsi="Figtree"/>
                <w:b w:val="0"/>
                <w:i w:val="0"/>
                <w:sz w:val="20"/>
              </w:rPr>
              <w:t>SARB IT + SettleMint</w:t>
            </w:r>
          </w:p>
        </w:tc>
        <w:tc>
          <w:tcPr>
            <w:tcW w:type="dxa" w:w="3249"/>
            <w:vAlign w:val="center"/>
          </w:tcPr>
          <w:p>
            <w:pPr>
              <w:spacing w:line="276" w:lineRule="auto" w:before="0" w:after="0"/>
            </w:pPr>
            <w:r/>
            <w:r>
              <w:rPr>
                <w:rFonts w:ascii="Figtree" w:hAnsi="Figtree"/>
                <w:b w:val="0"/>
                <w:i w:val="0"/>
                <w:sz w:val="20"/>
              </w:rPr>
              <w:t>Week 4</w:t>
            </w:r>
          </w:p>
        </w:tc>
      </w:tr>
      <w:tr>
        <w:trPr>
          <w:trHeight w:val="425" w:hRule="atLeast"/>
        </w:trPr>
        <w:tc>
          <w:tcPr>
            <w:tcW w:type="dxa" w:w="3249"/>
            <w:vAlign w:val="center"/>
          </w:tcPr>
          <w:p>
            <w:pPr>
              <w:spacing w:line="276" w:lineRule="auto" w:before="0" w:after="0"/>
            </w:pPr>
            <w:r/>
            <w:r>
              <w:rPr>
                <w:rFonts w:ascii="Figtree" w:hAnsi="Figtree"/>
                <w:b w:val="0"/>
                <w:i w:val="0"/>
                <w:sz w:val="20"/>
              </w:rPr>
              <w:t>Sovereign contract discussion</w:t>
            </w:r>
          </w:p>
        </w:tc>
        <w:tc>
          <w:tcPr>
            <w:tcW w:type="dxa" w:w="3249"/>
            <w:vAlign w:val="center"/>
          </w:tcPr>
          <w:p>
            <w:pPr>
              <w:spacing w:line="276" w:lineRule="auto" w:before="0" w:after="0"/>
            </w:pPr>
            <w:r/>
            <w:r>
              <w:rPr>
                <w:rFonts w:ascii="Figtree" w:hAnsi="Figtree"/>
                <w:b w:val="0"/>
                <w:i w:val="0"/>
                <w:sz w:val="20"/>
              </w:rPr>
              <w:t>SARB Legal + SettleMint</w:t>
            </w:r>
          </w:p>
        </w:tc>
        <w:tc>
          <w:tcPr>
            <w:tcW w:type="dxa" w:w="3249"/>
            <w:vAlign w:val="center"/>
          </w:tcPr>
          <w:p>
            <w:pPr>
              <w:spacing w:line="276" w:lineRule="auto" w:before="0" w:after="0"/>
            </w:pPr>
            <w:r/>
            <w:r>
              <w:rPr>
                <w:rFonts w:ascii="Figtree" w:hAnsi="Figtree"/>
                <w:b w:val="0"/>
                <w:i w:val="0"/>
                <w:sz w:val="20"/>
              </w:rPr>
              <w:t>Week 4-5</w:t>
            </w:r>
          </w:p>
        </w:tc>
      </w:tr>
      <w:tr>
        <w:trPr>
          <w:trHeight w:val="425" w:hRule="atLeast"/>
        </w:trPr>
        <w:tc>
          <w:tcPr>
            <w:tcW w:type="dxa" w:w="3249"/>
            <w:vAlign w:val="center"/>
          </w:tcPr>
          <w:p>
            <w:pPr>
              <w:spacing w:line="276" w:lineRule="auto" w:before="0" w:after="0"/>
            </w:pPr>
            <w:r/>
            <w:r>
              <w:rPr>
                <w:rFonts w:ascii="Figtree" w:hAnsi="Figtree"/>
                <w:b w:val="0"/>
                <w:i w:val="0"/>
                <w:sz w:val="20"/>
              </w:rPr>
              <w:t>Commercial agreement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5-7</w:t>
            </w:r>
          </w:p>
        </w:tc>
      </w:tr>
      <w:tr>
        <w:trPr>
          <w:trHeight w:val="425" w:hRule="atLeast"/>
        </w:trPr>
        <w:tc>
          <w:tcPr>
            <w:tcW w:type="dxa" w:w="3249"/>
            <w:vAlign w:val="center"/>
          </w:tcPr>
          <w:p>
            <w:pPr>
              <w:spacing w:line="276" w:lineRule="auto" w:before="0" w:after="0"/>
            </w:pPr>
            <w:r/>
            <w:r>
              <w:rPr>
                <w:rFonts w:ascii="Figtree" w:hAnsi="Figtree"/>
                <w:b w:val="0"/>
                <w:i w:val="0"/>
                <w:sz w:val="20"/>
              </w:rPr>
              <w:t>Programme kickoff</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Within 2 weeks of contract</w:t>
            </w:r>
          </w:p>
        </w:tc>
      </w:tr>
    </w:tbl>
    <w:p>
      <w:pPr>
        <w:spacing w:before="0" w:after="0" w:line="120" w:lineRule="exact"/>
      </w:pPr>
    </w:p>
    <w:p>
      <w:r>
        <w:rPr>
          <w:rFonts w:ascii="Figtree" w:hAnsi="Figtree"/>
          <w:b w:val="0"/>
          <w:i w:val="0"/>
          <w:sz w:val="22"/>
        </w:rPr>
        <w:t>SettleMint will provide a Project Khokha technical continuity briefing note for SARB's architecture team on request — demonstrating the specific technical alignment between Project Khokha I/II and DALP's Besu/IBFT 2.0 implementation.</w:t>
      </w:r>
    </w:p>
    <w:p>
      <w:r>
        <w:br w:type="page"/>
      </w:r>
    </w:p>
    <w:p>
      <w:r>
        <w:rPr>
          <w:rFonts w:ascii="Figtree" w:hAnsi="Figtree"/>
          <w:b w:val="0"/>
          <w:i/>
          <w:sz w:val="22"/>
        </w:rPr>
        <w:t>End of Commercial Proposal — South African Reserve Bank</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