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Cross-Border Tokenized Remittance Settlement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Commercial Recommendation</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Cost of Current Approach</w:t>
          </w:r>
          <w:r>
            <w:tab/>
          </w:r>
          <w:r>
            <w:t xml:space="preserve">10</w:t>
          </w:r>
        </w:p>
        <w:p>
          <w:pPr>
            <w:pStyle w:val="TOC2"/>
            <w:tabs>
              <w:tab w:val="right" w:leader="dot" w:pos="9072"/>
            </w:tabs>
          </w:pPr>
          <w:r>
            <w:t xml:space="preserve">2.2 Why DALP Changes Chipper Cash's Economics</w:t>
          </w:r>
          <w:r>
            <w:tab/>
          </w:r>
          <w:r>
            <w:t xml:space="preserve">11</w:t>
          </w:r>
        </w:p>
        <w:p>
          <w:pPr>
            <w:pStyle w:val="TOC2"/>
            <w:tabs>
              <w:tab w:val="right" w:leader="dot" w:pos="9072"/>
            </w:tabs>
          </w:pPr>
          <w:r>
            <w:t xml:space="preserve">2.3 ROI Framework</w:t>
          </w:r>
          <w:r>
            <w:tab/>
          </w:r>
          <w:r>
            <w:t xml:space="preserve">12</w:t>
          </w:r>
        </w:p>
        <w:p>
          <w:pPr>
            <w:pStyle w:val="TOC1"/>
            <w:tabs>
              <w:tab w:val="right" w:leader="dot" w:pos="9072"/>
            </w:tabs>
          </w:pPr>
          <w:r>
            <w:t xml:space="preserve">3. Licensing Model</w:t>
          </w:r>
          <w:r>
            <w:tab/>
          </w:r>
          <w:r>
            <w:t xml:space="preserve">13</w:t>
          </w:r>
        </w:p>
        <w:p>
          <w:pPr>
            <w:pStyle w:val="TOC2"/>
            <w:tabs>
              <w:tab w:val="right" w:leader="dot" w:pos="9072"/>
            </w:tabs>
          </w:pPr>
          <w:r>
            <w:t xml:space="preserve">3.1 Enterprise Licence — What's Included</w:t>
          </w:r>
          <w:r>
            <w:tab/>
          </w:r>
          <w:r>
            <w:t xml:space="preserve">14</w:t>
          </w:r>
        </w:p>
        <w:p>
          <w:pPr>
            <w:pStyle w:val="TOC2"/>
            <w:tabs>
              <w:tab w:val="right" w:leader="dot" w:pos="9072"/>
            </w:tabs>
          </w:pPr>
          <w:r>
            <w:t xml:space="preserve">3.2 Platform Tiers</w:t>
          </w:r>
          <w:r>
            <w:tab/>
          </w:r>
          <w:r>
            <w:t xml:space="preserve">15</w:t>
          </w:r>
        </w:p>
        <w:p>
          <w:pPr>
            <w:pStyle w:val="TOC1"/>
            <w:tabs>
              <w:tab w:val="right" w:leader="dot" w:pos="9072"/>
            </w:tabs>
          </w:pPr>
          <w:r>
            <w:t xml:space="preserve">4. Deployment Options and Pricing</w:t>
          </w:r>
          <w:r>
            <w:tab/>
          </w:r>
          <w:r>
            <w:t xml:space="preserve">16</w:t>
          </w:r>
        </w:p>
        <w:p>
          <w:pPr>
            <w:pStyle w:val="TOC2"/>
            <w:tabs>
              <w:tab w:val="right" w:leader="dot" w:pos="9072"/>
            </w:tabs>
          </w:pPr>
          <w:r>
            <w:t xml:space="preserve">4.1 Recommended: Managed SaaS</w:t>
          </w:r>
          <w:r>
            <w:tab/>
          </w:r>
          <w:r>
            <w:t xml:space="preserve">17</w:t>
          </w:r>
        </w:p>
        <w:p>
          <w:pPr>
            <w:pStyle w:val="TOC2"/>
            <w:tabs>
              <w:tab w:val="right" w:leader="dot" w:pos="9072"/>
            </w:tabs>
          </w:pPr>
          <w:r>
            <w:t xml:space="preserve">4.2 Cost Structure</w:t>
          </w:r>
          <w:r>
            <w:tab/>
          </w:r>
          <w:r>
            <w:t xml:space="preserve">18</w:t>
          </w:r>
        </w:p>
        <w:p>
          <w:pPr>
            <w:pStyle w:val="TOC2"/>
            <w:tabs>
              <w:tab w:val="right" w:leader="dot" w:pos="9072"/>
            </w:tabs>
          </w:pPr>
          <w:r>
            <w:t xml:space="preserve">4.3 Cost Drivers</w:t>
          </w:r>
          <w:r>
            <w:tab/>
          </w:r>
          <w:r>
            <w:t xml:space="preserve">19</w:t>
          </w:r>
        </w:p>
        <w:p>
          <w:pPr>
            <w:pStyle w:val="TOC1"/>
            <w:tabs>
              <w:tab w:val="right" w:leader="dot" w:pos="9072"/>
            </w:tabs>
          </w:pPr>
          <w:r>
            <w:t xml:space="preserve">5. Support and SLA Framework</w:t>
          </w:r>
          <w:r>
            <w:tab/>
          </w:r>
          <w:r>
            <w:t xml:space="preserve">20</w:t>
          </w:r>
        </w:p>
        <w:p>
          <w:pPr>
            <w:pStyle w:val="TOC2"/>
            <w:tabs>
              <w:tab w:val="right" w:leader="dot" w:pos="9072"/>
            </w:tabs>
          </w:pPr>
          <w:r>
            <w:t xml:space="preserve">5.1 Uptime</w:t>
          </w:r>
          <w:r>
            <w:tab/>
          </w:r>
          <w:r>
            <w:t xml:space="preserve">21</w:t>
          </w:r>
        </w:p>
        <w:p>
          <w:pPr>
            <w:pStyle w:val="TOC1"/>
            <w:tabs>
              <w:tab w:val="right" w:leader="dot" w:pos="9072"/>
            </w:tabs>
          </w:pPr>
          <w:r>
            <w:t xml:space="preserve">6. Implementation Investment</w:t>
          </w:r>
          <w:r>
            <w:tab/>
          </w:r>
          <w:r>
            <w:t xml:space="preserve">22</w:t>
          </w:r>
        </w:p>
        <w:p>
          <w:pPr>
            <w:pStyle w:val="TOC2"/>
            <w:tabs>
              <w:tab w:val="right" w:leader="dot" w:pos="9072"/>
            </w:tabs>
          </w:pPr>
          <w:r>
            <w:t xml:space="preserve">6.1 Phase Pricing (16-Week Managed SaaS)</w:t>
          </w:r>
          <w:r>
            <w:tab/>
          </w:r>
          <w:r>
            <w:t xml:space="preserve">23</w:t>
          </w:r>
        </w:p>
        <w:p>
          <w:pPr>
            <w:pStyle w:val="TOC2"/>
            <w:tabs>
              <w:tab w:val="right" w:leader="dot" w:pos="9072"/>
            </w:tabs>
          </w:pPr>
          <w:r>
            <w:t xml:space="preserve">6.2 Payment Schedule</w:t>
          </w:r>
          <w:r>
            <w:tab/>
          </w:r>
          <w:r>
            <w:t xml:space="preserve">24</w:t>
          </w:r>
        </w:p>
        <w:p>
          <w:pPr>
            <w:pStyle w:val="TOC2"/>
            <w:tabs>
              <w:tab w:val="right" w:leader="dot" w:pos="9072"/>
            </w:tabs>
          </w:pPr>
          <w:r>
            <w:t xml:space="preserve">6.3 Accelerators and Risks</w:t>
          </w:r>
          <w:r>
            <w:tab/>
          </w:r>
          <w:r>
            <w:t xml:space="preserve">25</w:t>
          </w:r>
        </w:p>
        <w:p>
          <w:pPr>
            <w:pStyle w:val="TOC1"/>
            <w:tabs>
              <w:tab w:val="right" w:leader="dot" w:pos="9072"/>
            </w:tabs>
          </w:pPr>
          <w:r>
            <w:t xml:space="preserve">7. Commercial Terms</w:t>
          </w:r>
          <w:r>
            <w:tab/>
          </w:r>
          <w:r>
            <w:t xml:space="preserve">26</w:t>
          </w:r>
        </w:p>
        <w:p>
          <w:pPr>
            <w:pStyle w:val="TOC2"/>
            <w:tabs>
              <w:tab w:val="right" w:leader="dot" w:pos="9072"/>
            </w:tabs>
          </w:pPr>
          <w:r>
            <w:t xml:space="preserve">7.1 Contract Structure</w:t>
          </w:r>
          <w:r>
            <w:tab/>
          </w:r>
          <w:r>
            <w:t xml:space="preserve">27</w:t>
          </w:r>
        </w:p>
        <w:p>
          <w:pPr>
            <w:pStyle w:val="TOC2"/>
            <w:tabs>
              <w:tab w:val="right" w:leader="dot" w:pos="9072"/>
            </w:tabs>
          </w:pPr>
          <w:r>
            <w:t xml:space="preserve">7.2 Payment and Duration</w:t>
          </w:r>
          <w:r>
            <w:tab/>
          </w:r>
          <w:r>
            <w:t xml:space="preserve">28</w:t>
          </w:r>
        </w:p>
        <w:p>
          <w:pPr>
            <w:pStyle w:val="TOC2"/>
            <w:tabs>
              <w:tab w:val="right" w:leader="dot" w:pos="9072"/>
            </w:tabs>
          </w:pPr>
          <w:r>
            <w:t xml:space="preserve">7.3 Key Terms</w:t>
          </w:r>
          <w:r>
            <w:tab/>
          </w:r>
          <w:r>
            <w:t xml:space="preserve">29</w:t>
          </w:r>
        </w:p>
        <w:p>
          <w:pPr>
            <w:pStyle w:val="TOC1"/>
            <w:tabs>
              <w:tab w:val="right" w:leader="dot" w:pos="9072"/>
            </w:tabs>
          </w:pPr>
          <w:r>
            <w:t xml:space="preserve">8. Total Cost of Ownership</w:t>
          </w:r>
          <w:r>
            <w:tab/>
          </w:r>
          <w:r>
            <w:t xml:space="preserve">30</w:t>
          </w:r>
        </w:p>
        <w:p>
          <w:pPr>
            <w:pStyle w:val="TOC2"/>
            <w:tabs>
              <w:tab w:val="right" w:leader="dot" w:pos="9072"/>
            </w:tabs>
          </w:pPr>
          <w:r>
            <w:t xml:space="preserve">8.1 Three-Year TCO — DALP vs Build vs Multi-Vendor</w:t>
          </w:r>
          <w:r>
            <w:tab/>
          </w:r>
          <w:r>
            <w:t xml:space="preserve">31</w:t>
          </w:r>
        </w:p>
        <w:p>
          <w:pPr>
            <w:pStyle w:val="TOC2"/>
            <w:tabs>
              <w:tab w:val="right" w:leader="dot" w:pos="9072"/>
            </w:tabs>
          </w:pPr>
          <w:r>
            <w:t xml:space="preserve">8.2 Five-Year Projection</w:t>
          </w:r>
          <w:r>
            <w:tab/>
          </w:r>
          <w:r>
            <w:t xml:space="preserve">32</w:t>
          </w:r>
        </w:p>
        <w:p>
          <w:pPr>
            <w:pStyle w:val="TOC1"/>
            <w:tabs>
              <w:tab w:val="right" w:leader="dot" w:pos="9072"/>
            </w:tabs>
          </w:pPr>
          <w:r>
            <w:t xml:space="preserve">9. Reference Clients</w:t>
          </w:r>
          <w:r>
            <w:tab/>
          </w:r>
          <w:r>
            <w:t xml:space="preserve">33</w:t>
          </w:r>
        </w:p>
        <w:p>
          <w:pPr>
            <w:pStyle w:val="TOC1"/>
            <w:tabs>
              <w:tab w:val="right" w:leader="dot" w:pos="9072"/>
            </w:tabs>
          </w:pPr>
          <w:r>
            <w:t xml:space="preserve">10. Next Steps</w:t>
          </w:r>
          <w:r>
            <w:tab/>
          </w:r>
          <w:r>
            <w:t xml:space="preserve">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Cross-Border Tokenized Remittance Settlement"</w:t>
      </w:r>
    </w:p>
    <w:p>
      <w:r>
        <w:rPr>
          <w:rFonts w:ascii="Figtree" w:hAnsi="Figtree"/>
          <w:b w:val="0"/>
          <w:i w:val="0"/>
          <w:sz w:val="22"/>
        </w:rPr>
        <w:t>client: "Chipper Cash"</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"CHIPPER-CASH-RFP-CROSS-BORDER-TOKENIZED-REMITTANCE-202603"</w:t>
      </w:r>
    </w:p>
    <w:p>
      <w:r>
        <w:br w:type="page"/>
      </w:r>
    </w:p>
    <w:p>
      <w:pPr>
        <w:pStyle w:val="H1"/>
        <w:numPr>
          <w:ilvl w:val="0"/>
          <w:numId w:val="1"/>
        </w:numPr>
      </w:pPr>
      <w:r>
        <w:t>Commercial Proposal</w:t>
      </w:r>
    </w:p>
    <w:p>
      <w:pPr>
        <w:pStyle w:val="H2"/>
        <w:numPr>
          <w:ilvl w:val="1"/>
          <w:numId w:val="1"/>
        </w:numPr>
      </w:pPr>
      <w:r>
        <w:t>Cross-Border Tokenized Remittance Settlement</w:t>
      </w:r>
    </w:p>
    <w:p>
      <w:r>
        <w:br w:type="page"/>
      </w:r>
    </w:p>
    <w:p>
      <w:r>
        <w:rPr>
          <w:rFonts w:ascii="Figtree" w:hAnsi="Figtree"/>
          <w:b/>
          <w:i w:val="0"/>
          <w:sz w:val="22"/>
        </w:rPr>
        <w:t>Document Title:</w:t>
      </w:r>
      <w:r>
        <w:rPr>
          <w:rFonts w:ascii="Figtree" w:hAnsi="Figtree"/>
          <w:b w:val="0"/>
          <w:i w:val="0"/>
          <w:sz w:val="22"/>
        </w:rPr>
        <w:t xml:space="preserve"> Commercial Proposal — Cross-Border Tokenized Remittance Settlement</w:t>
      </w:r>
    </w:p>
    <w:p>
      <w:r>
        <w:rPr>
          <w:rFonts w:ascii="Figtree" w:hAnsi="Figtree"/>
          <w:b/>
          <w:i w:val="0"/>
          <w:sz w:val="22"/>
        </w:rPr>
        <w:t>Client:</w:t>
      </w:r>
      <w:r>
        <w:rPr>
          <w:rFonts w:ascii="Figtree" w:hAnsi="Figtree"/>
          <w:b w:val="0"/>
          <w:i w:val="0"/>
          <w:sz w:val="22"/>
        </w:rPr>
        <w:t xml:space="preserve"> Chipper Cash</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Chipper Cash's cross-border tokenized remittance programme is a competitive infrastructure play. The platform choice determines: settlement speed (minutes vs hours vs days), corridor unit economics (correspondent banking cost vs tokenized settlement cost), regulatory compliance scalability (manual per-corridor updates vs configurable platform), and the ability to benefit from PAPSS as an emerging African settlement rail.</w:t>
      </w:r>
    </w:p>
    <w:p>
      <w:r>
        <w:rPr>
          <w:rFonts w:ascii="Figtree" w:hAnsi="Figtree"/>
          <w:b w:val="0"/>
          <w:i w:val="0"/>
          <w:sz w:val="22"/>
        </w:rPr>
        <w:t>The commercial decision comes down to whether to build a bespoke multi-currency tokenized settlement layer (expensive, slow, high ongoing maintenance) or license a production-grade platform purpose-built for regulated multi-currency token settlement (faster, lower TCO, inherently configurable per corridor).</w:t>
      </w:r>
    </w:p>
    <w:p>
      <w:r>
        <w:rPr>
          <w:rFonts w:ascii="Figtree" w:hAnsi="Figtree"/>
          <w:b w:val="0"/>
          <w:i w:val="0"/>
          <w:sz w:val="22"/>
        </w:rPr>
        <w:t>SettleMint recommends DALP Enterprise tier on managed SaaS with Enterprise 24/7 support. This is the fastest, lowest-overhead path to production for Chipper Cash's use case.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9"/>
        <w:gridCol w:w="2004"/>
        <w:gridCol w:w="1265"/>
        <w:gridCol w:w="1265"/>
        <w:gridCol w:w="14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(Enterprise)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Managed SaaS Infrastructure</w:t>
            </w:r>
          </w:p>
        </w:tc>
        <w:tc>
          <w:tcPr>
            <w:tcW w:type="dxa" w:w="1949"/>
            <w:vAlign w:val="center"/>
          </w:tcPr>
          <w:p>
            <w:pPr>
              <w:spacing w:line="276" w:lineRule="auto" w:before="0" w:after="0"/>
            </w:pPr>
            <w:r/>
            <w:r>
              <w:rPr>
                <w:rFonts w:ascii="Figtree" w:hAnsi="Figtree"/>
                <w:b w:val="0"/>
                <w:i w:val="0"/>
                <w:sz w:val="20"/>
              </w:rPr>
              <w:t>Included in licence</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$10,000</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$824,000</w:t>
            </w:r>
          </w:p>
        </w:tc>
        <w:tc>
          <w:tcPr>
            <w:tcW w:type="dxa" w:w="1949"/>
            <w:vAlign w:val="center"/>
          </w:tcPr>
          <w:p>
            <w:pPr>
              <w:spacing w:line="276" w:lineRule="auto" w:before="0" w:after="0"/>
            </w:pPr>
            <w:r/>
            <w:r>
              <w:rPr>
                <w:rFonts w:ascii="Figtree" w:hAnsi="Figtree"/>
                <w:b/>
                <w:i w:val="0"/>
                <w:sz w:val="20"/>
              </w:rPr>
              <w:t>$624,000</w:t>
            </w:r>
          </w:p>
        </w:tc>
        <w:tc>
          <w:tcPr>
            <w:tcW w:type="dxa" w:w="1949"/>
            <w:vAlign w:val="center"/>
          </w:tcPr>
          <w:p>
            <w:pPr>
              <w:spacing w:line="276" w:lineRule="auto" w:before="0" w:after="0"/>
            </w:pPr>
            <w:r/>
            <w:r>
              <w:rPr>
                <w:rFonts w:ascii="Figtree" w:hAnsi="Figtree"/>
                <w:b/>
                <w:i w:val="0"/>
                <w:sz w:val="20"/>
              </w:rPr>
              <w:t>$634,000</w:t>
            </w:r>
          </w:p>
        </w:tc>
        <w:tc>
          <w:tcPr>
            <w:tcW w:type="dxa" w:w="1949"/>
            <w:vAlign w:val="center"/>
          </w:tcPr>
          <w:p>
            <w:pPr>
              <w:spacing w:line="276" w:lineRule="auto" w:before="0" w:after="0"/>
            </w:pPr>
            <w:r/>
            <w:r>
              <w:rPr>
                <w:rFonts w:ascii="Figtree" w:hAnsi="Figtree"/>
                <w:b/>
                <w:i w:val="0"/>
                <w:sz w:val="20"/>
              </w:rPr>
              <w:t>$2,082,000</w:t>
            </w:r>
          </w:p>
        </w:tc>
      </w:tr>
    </w:tbl>
    <w:p>
      <w:pPr>
        <w:spacing w:before="0" w:after="0" w:line="120" w:lineRule="exact"/>
      </w:pPr>
    </w:p>
    <w:p>
      <w:r>
        <w:rPr>
          <w:rFonts w:ascii="Figtree" w:hAnsi="Figtree"/>
          <w:b w:val="0"/>
          <w:i w:val="0"/>
          <w:sz w:val="22"/>
        </w:rPr>
        <w:t>&gt; Indicative USD amounts. Managed SaaS infrastructure is included in the Enterprise licence — no separate infrastructure cost. Implementation covers 16-week delivery for 6+ initial corridors.</w:t>
      </w:r>
    </w:p>
    <w:p>
      <w:r>
        <w:rPr>
          <w:rFonts w:ascii="Figtree" w:hAnsi="Figtree"/>
          <w:b/>
          <w:i w:val="0"/>
          <w:sz w:val="22"/>
        </w:rPr>
        <w:t>Key commercial advantage for Chipper Cash:</w:t>
      </w:r>
      <w:r>
        <w:rPr>
          <w:rFonts w:ascii="Figtree" w:hAnsi="Figtree"/>
          <w:b w:val="0"/>
          <w:i w:val="0"/>
          <w:sz w:val="22"/>
        </w:rPr>
        <w:t xml:space="preserve"> Managed SaaS eliminates infrastructure management overhead. Chipper Cash's engineering team focuses on the API integration and product experience — SettleMint manages the platform infrastructure, blockchain nodes, and database operations.</w:t>
      </w:r>
    </w:p>
    <w:p>
      <w:pPr>
        <w:pStyle w:val="H2"/>
        <w:numPr>
          <w:ilvl w:val="1"/>
          <w:numId w:val="1"/>
        </w:numPr>
      </w:pPr>
      <w:r>
        <w:t>1.2 Commercial Recommendation</w:t>
      </w:r>
    </w:p>
    <w:p>
      <w:pPr>
        <w:pStyle w:val="ListParagraph"/>
        <w:numPr>
          <w:ilvl w:val="0"/>
          <w:numId w:val="4"/>
        </w:numPr>
      </w:pPr>
      <w:r>
        <w:rPr>
          <w:rFonts w:ascii="Figtree" w:hAnsi="Figtree"/>
          <w:b/>
          <w:i w:val="0"/>
          <w:sz w:val="22"/>
        </w:rPr>
        <w:t>Licence tier:</w:t>
      </w:r>
      <w:r>
        <w:rPr>
          <w:rFonts w:ascii="Figtree" w:hAnsi="Figtree"/>
          <w:b w:val="0"/>
          <w:i w:val="0"/>
          <w:sz w:val="22"/>
        </w:rPr>
        <w:t xml:space="preserve"> Enterprise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Managed SaaS (fastest time-to-production, zero infrastructure overhead)</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24/7</w:t>
      </w:r>
    </w:p>
    <w:p>
      <w:pPr>
        <w:pStyle w:val="ListParagraph"/>
        <w:numPr>
          <w:ilvl w:val="0"/>
          <w:numId w:val="4"/>
        </w:numPr>
      </w:pPr>
      <w:r>
        <w:rPr>
          <w:rFonts w:ascii="Figtree" w:hAnsi="Figtree"/>
          <w:b/>
          <w:i w:val="0"/>
          <w:sz w:val="22"/>
        </w:rPr>
        <w:t>Initial corridors:</w:t>
      </w:r>
      <w:r>
        <w:rPr>
          <w:rFonts w:ascii="Figtree" w:hAnsi="Figtree"/>
          <w:b w:val="0"/>
          <w:i w:val="0"/>
          <w:sz w:val="22"/>
        </w:rPr>
        <w:t xml:space="preserve"> 6 (NG, GH, KE, ZA, UG, UK) — additional corridors at no extra licence cost</w:t>
      </w:r>
    </w:p>
    <w:p>
      <w:pPr>
        <w:pStyle w:val="ListParagraph"/>
        <w:numPr>
          <w:ilvl w:val="0"/>
          <w:numId w:val="4"/>
        </w:numPr>
      </w:pPr>
      <w:r>
        <w:rPr>
          <w:rFonts w:ascii="Figtree" w:hAnsi="Figtree"/>
          <w:b/>
          <w:i w:val="0"/>
          <w:sz w:val="22"/>
        </w:rPr>
        <w:t>Contract:</w:t>
      </w:r>
      <w:r>
        <w:rPr>
          <w:rFonts w:ascii="Figtree" w:hAnsi="Figtree"/>
          <w:b w:val="0"/>
          <w:i w:val="0"/>
          <w:sz w:val="22"/>
        </w:rPr>
        <w:t xml:space="preserve"> 3-year initial term (volume stability allows platform cost optimization)</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Chipper Cash's current cross-border settlement relies on correspondent banking relationships and manual FX operations. The hidden costs of the current approach include:</w:t>
      </w:r>
    </w:p>
    <w:p>
      <w:r>
        <w:rPr>
          <w:rFonts w:ascii="Figtree" w:hAnsi="Figtree"/>
          <w:b/>
          <w:i w:val="0"/>
          <w:sz w:val="22"/>
        </w:rPr>
        <w:t>Correspondent banking cost:</w:t>
      </w:r>
      <w:r>
        <w:rPr>
          <w:rFonts w:ascii="Figtree" w:hAnsi="Figtree"/>
          <w:b w:val="0"/>
          <w:i w:val="0"/>
          <w:sz w:val="22"/>
        </w:rPr>
        <w:t xml:space="preserve"> Industry estimates for cross-border remittance via correspondent banking: 4-7% of transaction value in combined FX spread, correspondent fees, and SWIFT messaging costs. For Chipper Cash's volume, this represents a significant per-transaction cost that tokenized settlement can reduce.</w:t>
      </w:r>
    </w:p>
    <w:p>
      <w:r>
        <w:rPr>
          <w:rFonts w:ascii="Figtree" w:hAnsi="Figtree"/>
          <w:b/>
          <w:i w:val="0"/>
          <w:sz w:val="22"/>
        </w:rPr>
        <w:t>Settlement speed:</w:t>
      </w:r>
      <w:r>
        <w:rPr>
          <w:rFonts w:ascii="Figtree" w:hAnsi="Figtree"/>
          <w:b w:val="0"/>
          <w:i w:val="0"/>
          <w:sz w:val="22"/>
        </w:rPr>
        <w:t xml:space="preserve"> Correspondent banking settlement: 1-3 business days. Tokenized settlement: &lt; 5 seconds confirmation. The settlement speed differential creates both user experience advantages and capital efficiency gains (faster corridor rebalancing).</w:t>
      </w:r>
    </w:p>
    <w:p>
      <w:r>
        <w:rPr>
          <w:rFonts w:ascii="Figtree" w:hAnsi="Figtree"/>
          <w:b/>
          <w:i w:val="0"/>
          <w:sz w:val="22"/>
        </w:rPr>
        <w:t>Liquidity management overhead:</w:t>
      </w:r>
      <w:r>
        <w:rPr>
          <w:rFonts w:ascii="Figtree" w:hAnsi="Figtree"/>
          <w:b w:val="0"/>
          <w:i w:val="0"/>
          <w:sz w:val="22"/>
        </w:rPr>
        <w:t xml:space="preserve"> Manual liquidity management across 8+ corridors requires treasury staff time, frequent wire transfers for rebalancing, and suboptimal corridor pre-funding levels. DALP's real-time position visibility reduces both staff overhead and pre-funding requirements.</w:t>
      </w:r>
    </w:p>
    <w:p>
      <w:r>
        <w:rPr>
          <w:rFonts w:ascii="Figtree" w:hAnsi="Figtree"/>
          <w:b/>
          <w:i w:val="0"/>
          <w:sz w:val="22"/>
        </w:rPr>
        <w:t>Regulatory compliance overhead:</w:t>
      </w:r>
      <w:r>
        <w:rPr>
          <w:rFonts w:ascii="Figtree" w:hAnsi="Figtree"/>
          <w:b w:val="0"/>
          <w:i w:val="0"/>
          <w:sz w:val="22"/>
        </w:rPr>
        <w:t xml:space="preserve"> Per-corridor compliance management with manual rule updates when jurisdictions change requirements. DALP's configurable modules eliminate engineering changes for compliance parameter updates.</w:t>
      </w:r>
    </w:p>
    <w:p>
      <w:pPr>
        <w:pStyle w:val="H2"/>
        <w:numPr>
          <w:ilvl w:val="1"/>
          <w:numId w:val="1"/>
        </w:numPr>
      </w:pPr>
      <w:r>
        <w:t>2.2 Why DALP Changes Chipper Cash's Economics</w:t>
      </w:r>
    </w:p>
    <w:p>
      <w:r>
        <w:rPr>
          <w:rFonts w:ascii="Figtree" w:hAnsi="Figtree"/>
          <w:b/>
          <w:i w:val="0"/>
          <w:sz w:val="22"/>
        </w:rPr>
        <w:t>Settlement cost reduction:</w:t>
      </w:r>
      <w:r>
        <w:rPr>
          <w:rFonts w:ascii="Figtree" w:hAnsi="Figtree"/>
          <w:b w:val="0"/>
          <w:i w:val="0"/>
          <w:sz w:val="22"/>
        </w:rPr>
        <w:t xml:space="preserve"> Tokenized settlement between corridor pools eliminates correspondent banking fees for intra-Chipper-Cash settlement. The corridor token swap cost is the blockchain transaction fee (minimal) plus the platform licence. For high-volume corridors, this represents a significant per-transaction cost reduction.</w:t>
      </w:r>
    </w:p>
    <w:p>
      <w:r>
        <w:rPr>
          <w:rFonts w:ascii="Figtree" w:hAnsi="Figtree"/>
          <w:b/>
          <w:i w:val="0"/>
          <w:sz w:val="22"/>
        </w:rPr>
        <w:t>Capital efficiency:</w:t>
      </w:r>
      <w:r>
        <w:rPr>
          <w:rFonts w:ascii="Figtree" w:hAnsi="Figtree"/>
          <w:b w:val="0"/>
          <w:i w:val="0"/>
          <w:sz w:val="22"/>
        </w:rPr>
        <w:t xml:space="preserve"> Real-time liquidity visibility enables more precise corridor pre-funding, reducing the capital tied up in over-funded corridors. Based on comparable deployments, 15-25% reduction in corridor pre-funding requirements is achievable through better liquidity visibility.</w:t>
      </w:r>
    </w:p>
    <w:p>
      <w:r>
        <w:rPr>
          <w:rFonts w:ascii="Figtree" w:hAnsi="Figtree"/>
          <w:b/>
          <w:i w:val="0"/>
          <w:sz w:val="22"/>
        </w:rPr>
        <w:t>PAPSS access:</w:t>
      </w:r>
      <w:r>
        <w:rPr>
          <w:rFonts w:ascii="Figtree" w:hAnsi="Figtree"/>
          <w:b w:val="0"/>
          <w:i w:val="0"/>
          <w:sz w:val="22"/>
        </w:rPr>
        <w:t xml:space="preserve"> DALP's PAPSS-ready architecture positions Chipper Cash to benefit from PAPSS as it expands to additional African currency corridors. PAPSS aims to reduce cross-border settlement costs for African intra-continental payments by eliminating USD intermediation.</w:t>
      </w:r>
    </w:p>
    <w:p>
      <w:r>
        <w:rPr>
          <w:rFonts w:ascii="Figtree" w:hAnsi="Figtree"/>
          <w:b/>
          <w:i w:val="0"/>
          <w:sz w:val="22"/>
        </w:rPr>
        <w:t>New corridor speed:</w:t>
      </w:r>
      <w:r>
        <w:rPr>
          <w:rFonts w:ascii="Figtree" w:hAnsi="Figtree"/>
          <w:b w:val="0"/>
          <w:i w:val="0"/>
          <w:sz w:val="22"/>
        </w:rPr>
        <w:t xml:space="preserve"> Adding a new country corridor currently requires: legal setup, correspondent banking relationship establishment, and compliance framework development. With DALP, the platform configuration for a new corridor takes approximately 2 weeks. The legal and banking setup remains; the technology setup is accelerated dramatically.</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3906"/>
        <w:gridCol w:w="28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banking fee reduction</w:t>
            </w:r>
          </w:p>
        </w:tc>
        <w:tc>
          <w:tcPr>
            <w:tcW w:type="dxa" w:w="3249"/>
            <w:vAlign w:val="center"/>
          </w:tcPr>
          <w:p>
            <w:pPr>
              <w:spacing w:line="276" w:lineRule="auto" w:before="0" w:after="0"/>
            </w:pPr>
            <w:r/>
            <w:r>
              <w:rPr>
                <w:rFonts w:ascii="Figtree" w:hAnsi="Figtree"/>
                <w:b w:val="0"/>
                <w:i w:val="0"/>
                <w:sz w:val="20"/>
              </w:rPr>
              <w:t>40-60% per-transaction reduction for tokenized corridors</w:t>
            </w:r>
          </w:p>
        </w:tc>
        <w:tc>
          <w:tcPr>
            <w:tcW w:type="dxa" w:w="3249"/>
            <w:vAlign w:val="center"/>
          </w:tcPr>
          <w:p>
            <w:pPr>
              <w:spacing w:line="276" w:lineRule="auto" w:before="0" w:after="0"/>
            </w:pPr>
            <w:r/>
            <w:r>
              <w:rPr>
                <w:rFonts w:ascii="Figtree" w:hAnsi="Figtree"/>
                <w:b w:val="0"/>
                <w:i w:val="0"/>
                <w:sz w:val="20"/>
              </w:rPr>
              <w:t>Comparable tokenized remittance deployments</w:t>
            </w:r>
          </w:p>
        </w:tc>
      </w:tr>
      <w:tr>
        <w:trPr>
          <w:trHeight w:val="425" w:hRule="atLeast"/>
        </w:trPr>
        <w:tc>
          <w:tcPr>
            <w:tcW w:type="dxa" w:w="3249"/>
            <w:vAlign w:val="center"/>
          </w:tcPr>
          <w:p>
            <w:pPr>
              <w:spacing w:line="276" w:lineRule="auto" w:before="0" w:after="0"/>
            </w:pPr>
            <w:r/>
            <w:r>
              <w:rPr>
                <w:rFonts w:ascii="Figtree" w:hAnsi="Figtree"/>
                <w:b w:val="0"/>
                <w:i w:val="0"/>
                <w:sz w:val="20"/>
              </w:rPr>
              <w:t>Capital efficiency improvement</w:t>
            </w:r>
          </w:p>
        </w:tc>
        <w:tc>
          <w:tcPr>
            <w:tcW w:type="dxa" w:w="3249"/>
            <w:vAlign w:val="center"/>
          </w:tcPr>
          <w:p>
            <w:pPr>
              <w:spacing w:line="276" w:lineRule="auto" w:before="0" w:after="0"/>
            </w:pPr>
            <w:r/>
            <w:r>
              <w:rPr>
                <w:rFonts w:ascii="Figtree" w:hAnsi="Figtree"/>
                <w:b w:val="0"/>
                <w:i w:val="0"/>
                <w:sz w:val="20"/>
              </w:rPr>
              <w:t>15-25% reduction in pre-funding requirements</w:t>
            </w:r>
          </w:p>
        </w:tc>
        <w:tc>
          <w:tcPr>
            <w:tcW w:type="dxa" w:w="3249"/>
            <w:vAlign w:val="center"/>
          </w:tcPr>
          <w:p>
            <w:pPr>
              <w:spacing w:line="276" w:lineRule="auto" w:before="0" w:after="0"/>
            </w:pPr>
            <w:r/>
            <w:r>
              <w:rPr>
                <w:rFonts w:ascii="Figtree" w:hAnsi="Figtree"/>
                <w:b w:val="0"/>
                <w:i w:val="0"/>
                <w:sz w:val="20"/>
              </w:rPr>
              <w:t>Real-time liquidity visibility</w:t>
            </w:r>
          </w:p>
        </w:tc>
      </w:tr>
      <w:tr>
        <w:trPr>
          <w:trHeight w:val="425" w:hRule="atLeast"/>
        </w:trPr>
        <w:tc>
          <w:tcPr>
            <w:tcW w:type="dxa" w:w="3249"/>
            <w:vAlign w:val="center"/>
          </w:tcPr>
          <w:p>
            <w:pPr>
              <w:spacing w:line="276" w:lineRule="auto" w:before="0" w:after="0"/>
            </w:pPr>
            <w:r/>
            <w:r>
              <w:rPr>
                <w:rFonts w:ascii="Figtree" w:hAnsi="Figtree"/>
                <w:b w:val="0"/>
                <w:i w:val="0"/>
                <w:sz w:val="20"/>
              </w:rPr>
              <w:t>Compliance staff efficiency</w:t>
            </w:r>
          </w:p>
        </w:tc>
        <w:tc>
          <w:tcPr>
            <w:tcW w:type="dxa" w:w="3249"/>
            <w:vAlign w:val="center"/>
          </w:tcPr>
          <w:p>
            <w:pPr>
              <w:spacing w:line="276" w:lineRule="auto" w:before="0" w:after="0"/>
            </w:pPr>
            <w:r/>
            <w:r>
              <w:rPr>
                <w:rFonts w:ascii="Figtree" w:hAnsi="Figtree"/>
                <w:b w:val="0"/>
                <w:i w:val="0"/>
                <w:sz w:val="20"/>
              </w:rPr>
              <w:t>30-50% reduction in per-corridor compliance management time</w:t>
            </w:r>
          </w:p>
        </w:tc>
        <w:tc>
          <w:tcPr>
            <w:tcW w:type="dxa" w:w="3249"/>
            <w:vAlign w:val="center"/>
          </w:tcPr>
          <w:p>
            <w:pPr>
              <w:spacing w:line="276" w:lineRule="auto" w:before="0" w:after="0"/>
            </w:pPr>
            <w:r/>
            <w:r>
              <w:rPr>
                <w:rFonts w:ascii="Figtree" w:hAnsi="Figtree"/>
                <w:b w:val="0"/>
                <w:i w:val="0"/>
                <w:sz w:val="20"/>
              </w:rPr>
              <w:t>Configurable rules vs manual updates</w:t>
            </w:r>
          </w:p>
        </w:tc>
      </w:tr>
      <w:tr>
        <w:trPr>
          <w:trHeight w:val="425" w:hRule="atLeast"/>
        </w:trPr>
        <w:tc>
          <w:tcPr>
            <w:tcW w:type="dxa" w:w="3249"/>
            <w:vAlign w:val="center"/>
          </w:tcPr>
          <w:p>
            <w:pPr>
              <w:spacing w:line="276" w:lineRule="auto" w:before="0" w:after="0"/>
            </w:pPr>
            <w:r/>
            <w:r>
              <w:rPr>
                <w:rFonts w:ascii="Figtree" w:hAnsi="Figtree"/>
                <w:b w:val="0"/>
                <w:i w:val="0"/>
                <w:sz w:val="20"/>
              </w:rPr>
              <w:t>New corridor time-to-launch</w:t>
            </w:r>
          </w:p>
        </w:tc>
        <w:tc>
          <w:tcPr>
            <w:tcW w:type="dxa" w:w="3249"/>
            <w:vAlign w:val="center"/>
          </w:tcPr>
          <w:p>
            <w:pPr>
              <w:spacing w:line="276" w:lineRule="auto" w:before="0" w:after="0"/>
            </w:pPr>
            <w:r/>
            <w:r>
              <w:rPr>
                <w:rFonts w:ascii="Figtree" w:hAnsi="Figtree"/>
                <w:b w:val="0"/>
                <w:i w:val="0"/>
                <w:sz w:val="20"/>
              </w:rPr>
              <w:t>2 weeks vs 3-6 months (technology component)</w:t>
            </w:r>
          </w:p>
        </w:tc>
        <w:tc>
          <w:tcPr>
            <w:tcW w:type="dxa" w:w="3249"/>
            <w:vAlign w:val="center"/>
          </w:tcPr>
          <w:p>
            <w:pPr>
              <w:spacing w:line="276" w:lineRule="auto" w:before="0" w:after="0"/>
            </w:pPr>
            <w:r/>
            <w:r>
              <w:rPr>
                <w:rFonts w:ascii="Figtree" w:hAnsi="Figtree"/>
                <w:b w:val="0"/>
                <w:i w:val="0"/>
                <w:sz w:val="20"/>
              </w:rPr>
              <w:t>Platform configuration vs development</w:t>
            </w:r>
          </w:p>
        </w:tc>
      </w:tr>
      <w:tr>
        <w:trPr>
          <w:trHeight w:val="425" w:hRule="atLeast"/>
        </w:trPr>
        <w:tc>
          <w:tcPr>
            <w:tcW w:type="dxa" w:w="3249"/>
            <w:vAlign w:val="center"/>
          </w:tcPr>
          <w:p>
            <w:pPr>
              <w:spacing w:line="276" w:lineRule="auto" w:before="0" w:after="0"/>
            </w:pPr>
            <w:r/>
            <w:r>
              <w:rPr>
                <w:rFonts w:ascii="Figtree" w:hAnsi="Figtree"/>
                <w:b w:val="0"/>
                <w:i w:val="0"/>
                <w:sz w:val="20"/>
              </w:rPr>
              <w:t>PAPSS readiness</w:t>
            </w:r>
          </w:p>
        </w:tc>
        <w:tc>
          <w:tcPr>
            <w:tcW w:type="dxa" w:w="3249"/>
            <w:vAlign w:val="center"/>
          </w:tcPr>
          <w:p>
            <w:pPr>
              <w:spacing w:line="276" w:lineRule="auto" w:before="0" w:after="0"/>
            </w:pPr>
            <w:r/>
            <w:r>
              <w:rPr>
                <w:rFonts w:ascii="Figtree" w:hAnsi="Figtree"/>
                <w:b w:val="0"/>
                <w:i w:val="0"/>
                <w:sz w:val="20"/>
              </w:rPr>
              <w:t>PAPSS integration-ready without rework</w:t>
            </w:r>
          </w:p>
        </w:tc>
        <w:tc>
          <w:tcPr>
            <w:tcW w:type="dxa" w:w="3249"/>
            <w:vAlign w:val="center"/>
          </w:tcPr>
          <w:p>
            <w:pPr>
              <w:spacing w:line="276" w:lineRule="auto" w:before="0" w:after="0"/>
            </w:pPr>
            <w:r/>
            <w:r>
              <w:rPr>
                <w:rFonts w:ascii="Figtree" w:hAnsi="Figtree"/>
                <w:b w:val="0"/>
                <w:i w:val="0"/>
                <w:sz w:val="20"/>
              </w:rPr>
              <w:t>Forward-compatible architecture</w:t>
            </w:r>
          </w:p>
        </w:tc>
      </w:tr>
    </w:tbl>
    <w:p>
      <w:pPr>
        <w:spacing w:before="0" w:after="0" w:line="120" w:lineRule="exact"/>
      </w:pPr>
    </w:p>
    <w:p>
      <w:r>
        <w:rPr>
          <w:rFonts w:ascii="Figtree" w:hAnsi="Figtree"/>
          <w:b w:val="0"/>
          <w:i w:val="0"/>
          <w:sz w:val="22"/>
        </w:rPr>
        <w:t>&gt; ROI quantification depends on Chipper Cash's specific corridor volumes, FX spreads, and current operational costs. SettleMint recommends a joint ROI workshop in Phase 1 to develop corridor-specific models.</w:t>
      </w:r>
    </w:p>
    <w:p>
      <w:r>
        <w:br w:type="page"/>
      </w:r>
    </w:p>
    <w:p>
      <w:pPr>
        <w:pStyle w:val="H1"/>
        <w:numPr>
          <w:ilvl w:val="0"/>
          <w:numId w:val="1"/>
        </w:numPr>
      </w:pPr>
      <w:r>
        <w:t>3. Licensing Model</w:t>
      </w:r>
    </w:p>
    <w:p>
      <w:pPr>
        <w:pStyle w:val="H2"/>
        <w:numPr>
          <w:ilvl w:val="1"/>
          <w:numId w:val="1"/>
        </w:numPr>
      </w:pPr>
      <w:r>
        <w:t>3.1 Enterprise Licence — What's Included</w:t>
      </w:r>
    </w:p>
    <w:p>
      <w:r>
        <w:rPr>
          <w:rFonts w:ascii="Figtree" w:hAnsi="Figtree"/>
          <w:b w:val="0"/>
          <w:i w:val="0"/>
          <w:sz w:val="22"/>
        </w:rPr>
        <w:t>For Chipper Cash's use case, the Enterprise licence includes all capabilities needed: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76"/>
        <w:gridCol w:w="41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All stablecoin/deposit asset types</w:t>
            </w:r>
          </w:p>
        </w:tc>
        <w:tc>
          <w:tcPr>
            <w:tcW w:type="dxa" w:w="4873"/>
            <w:vAlign w:val="center"/>
          </w:tcPr>
          <w:p>
            <w:pPr>
              <w:spacing w:line="276" w:lineRule="auto" w:before="0" w:after="0"/>
            </w:pPr>
            <w:r/>
            <w:r>
              <w:rPr>
                <w:rFonts w:ascii="Figtree" w:hAnsi="Figtree"/>
                <w:b w:val="0"/>
                <w:i w:val="0"/>
                <w:sz w:val="20"/>
              </w:rPr>
              <w:t>Multi-currency corridor tokens</w:t>
            </w:r>
          </w:p>
        </w:tc>
      </w:tr>
      <w:tr>
        <w:trPr>
          <w:trHeight w:val="425" w:hRule="atLeast"/>
        </w:trPr>
        <w:tc>
          <w:tcPr>
            <w:tcW w:type="dxa" w:w="4873"/>
            <w:vAlign w:val="center"/>
          </w:tcPr>
          <w:p>
            <w:pPr>
              <w:spacing w:line="276" w:lineRule="auto" w:before="0" w:after="0"/>
            </w:pPr>
            <w:r/>
            <w:r>
              <w:rPr>
                <w:rFonts w:ascii="Figtree" w:hAnsi="Figtree"/>
                <w:b w:val="0"/>
                <w:i w:val="0"/>
                <w:sz w:val="20"/>
              </w:rPr>
              <w:t>Per-corridor compliance modules (unlimited)</w:t>
            </w:r>
          </w:p>
        </w:tc>
        <w:tc>
          <w:tcPr>
            <w:tcW w:type="dxa" w:w="4873"/>
            <w:vAlign w:val="center"/>
          </w:tcPr>
          <w:p>
            <w:pPr>
              <w:spacing w:line="276" w:lineRule="auto" w:before="0" w:after="0"/>
            </w:pPr>
            <w:r/>
            <w:r>
              <w:rPr>
                <w:rFonts w:ascii="Figtree" w:hAnsi="Figtree"/>
                <w:b w:val="0"/>
                <w:i w:val="0"/>
                <w:sz w:val="20"/>
              </w:rPr>
              <w:t>Per-instrument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Atomic cross-corridor swaps</w:t>
            </w:r>
          </w:p>
        </w:tc>
      </w:tr>
      <w:tr>
        <w:trPr>
          <w:trHeight w:val="425" w:hRule="atLeast"/>
        </w:trPr>
        <w:tc>
          <w:tcPr>
            <w:tcW w:type="dxa" w:w="4873"/>
            <w:vAlign w:val="center"/>
          </w:tcPr>
          <w:p>
            <w:pPr>
              <w:spacing w:line="276" w:lineRule="auto" w:before="0" w:after="0"/>
            </w:pPr>
            <w:r/>
            <w:r>
              <w:rPr>
                <w:rFonts w:ascii="Figtree" w:hAnsi="Figtree"/>
                <w:b w:val="0"/>
                <w:i w:val="0"/>
                <w:sz w:val="20"/>
              </w:rPr>
              <w:t>Airdrop module</w:t>
            </w:r>
          </w:p>
        </w:tc>
        <w:tc>
          <w:tcPr>
            <w:tcW w:type="dxa" w:w="4873"/>
            <w:vAlign w:val="center"/>
          </w:tcPr>
          <w:p>
            <w:pPr>
              <w:spacing w:line="276" w:lineRule="auto" w:before="0" w:after="0"/>
            </w:pPr>
            <w:r/>
            <w:r>
              <w:rPr>
                <w:rFonts w:ascii="Figtree" w:hAnsi="Figtree"/>
                <w:b w:val="0"/>
                <w:i w:val="0"/>
                <w:sz w:val="20"/>
              </w:rPr>
              <w:t>Liquidity injection to corridor pools</w:t>
            </w:r>
          </w:p>
        </w:tc>
      </w:tr>
      <w:tr>
        <w:trPr>
          <w:trHeight w:val="425" w:hRule="atLeast"/>
        </w:trPr>
        <w:tc>
          <w:tcPr>
            <w:tcW w:type="dxa" w:w="4873"/>
            <w:vAlign w:val="center"/>
          </w:tcPr>
          <w:p>
            <w:pPr>
              <w:spacing w:line="276" w:lineRule="auto" w:before="0" w:after="0"/>
            </w:pPr>
            <w:r/>
            <w:r>
              <w:rPr>
                <w:rFonts w:ascii="Figtree" w:hAnsi="Figtree"/>
                <w:b w:val="0"/>
                <w:i w:val="0"/>
                <w:sz w:val="20"/>
              </w:rPr>
              <w:t>Managed SaaS infrastructure</w:t>
            </w:r>
          </w:p>
        </w:tc>
        <w:tc>
          <w:tcPr>
            <w:tcW w:type="dxa" w:w="4873"/>
            <w:vAlign w:val="center"/>
          </w:tcPr>
          <w:p>
            <w:pPr>
              <w:spacing w:line="276" w:lineRule="auto" w:before="0" w:after="0"/>
            </w:pPr>
            <w:r/>
            <w:r>
              <w:rPr>
                <w:rFonts w:ascii="Figtree" w:hAnsi="Figtree"/>
                <w:b w:val="0"/>
                <w:i w:val="0"/>
                <w:sz w:val="20"/>
              </w:rPr>
              <w:t>Included — no separate cloud cost</w:t>
            </w:r>
          </w:p>
        </w:tc>
      </w:tr>
      <w:tr>
        <w:trPr>
          <w:trHeight w:val="425" w:hRule="atLeast"/>
        </w:trPr>
        <w:tc>
          <w:tcPr>
            <w:tcW w:type="dxa" w:w="4873"/>
            <w:vAlign w:val="center"/>
          </w:tcPr>
          <w:p>
            <w:pPr>
              <w:spacing w:line="276" w:lineRule="auto" w:before="0" w:after="0"/>
            </w:pPr>
            <w:r/>
            <w:r>
              <w:rPr>
                <w:rFonts w:ascii="Figtree" w:hAnsi="Figtree"/>
                <w:b w:val="0"/>
                <w:i w:val="0"/>
                <w:sz w:val="20"/>
              </w:rPr>
              <w:t>OpenAPI 3.1 + webhook events</w:t>
            </w:r>
          </w:p>
        </w:tc>
        <w:tc>
          <w:tcPr>
            <w:tcW w:type="dxa" w:w="4873"/>
            <w:vAlign w:val="center"/>
          </w:tcPr>
          <w:p>
            <w:pPr>
              <w:spacing w:line="276" w:lineRule="auto" w:before="0" w:after="0"/>
            </w:pPr>
            <w:r/>
            <w:r>
              <w:rPr>
                <w:rFonts w:ascii="Figtree" w:hAnsi="Figtree"/>
                <w:b w:val="0"/>
                <w:i w:val="0"/>
                <w:sz w:val="20"/>
              </w:rPr>
              <w:t>Mobile money integration</w:t>
            </w:r>
          </w:p>
        </w:tc>
      </w:tr>
      <w:tr>
        <w:trPr>
          <w:trHeight w:val="425" w:hRule="atLeast"/>
        </w:trPr>
        <w:tc>
          <w:tcPr>
            <w:tcW w:type="dxa" w:w="4873"/>
            <w:vAlign w:val="center"/>
          </w:tcPr>
          <w:p>
            <w:pPr>
              <w:spacing w:line="276" w:lineRule="auto" w:before="0" w:after="0"/>
            </w:pPr>
            <w:r/>
            <w:r>
              <w:rPr>
                <w:rFonts w:ascii="Figtree" w:hAnsi="Figtree"/>
                <w:b w:val="0"/>
                <w:i w:val="0"/>
                <w:sz w:val="20"/>
              </w:rPr>
              <w:t>ISO 20022 adapter</w:t>
            </w:r>
          </w:p>
        </w:tc>
        <w:tc>
          <w:tcPr>
            <w:tcW w:type="dxa" w:w="4873"/>
            <w:vAlign w:val="center"/>
          </w:tcPr>
          <w:p>
            <w:pPr>
              <w:spacing w:line="276" w:lineRule="auto" w:before="0" w:after="0"/>
            </w:pPr>
            <w:r/>
            <w:r>
              <w:rPr>
                <w:rFonts w:ascii="Figtree" w:hAnsi="Figtree"/>
                <w:b w:val="0"/>
                <w:i w:val="0"/>
                <w:sz w:val="20"/>
              </w:rPr>
              <w:t>PAPSS and RTGS connectivity</w:t>
            </w:r>
          </w:p>
        </w:tc>
      </w:tr>
      <w:tr>
        <w:trPr>
          <w:trHeight w:val="425" w:hRule="atLeast"/>
        </w:trPr>
        <w:tc>
          <w:tcPr>
            <w:tcW w:type="dxa" w:w="4873"/>
            <w:vAlign w:val="center"/>
          </w:tcPr>
          <w:p>
            <w:pPr>
              <w:spacing w:line="276" w:lineRule="auto" w:before="0" w:after="0"/>
            </w:pPr>
            <w:r/>
            <w:r>
              <w:rPr>
                <w:rFonts w:ascii="Figtree" w:hAnsi="Figtree"/>
                <w:b w:val="0"/>
                <w:i w:val="0"/>
                <w:sz w:val="20"/>
              </w:rPr>
              <w:t>Operations dashboard</w:t>
            </w:r>
          </w:p>
        </w:tc>
        <w:tc>
          <w:tcPr>
            <w:tcW w:type="dxa" w:w="4873"/>
            <w:vAlign w:val="center"/>
          </w:tcPr>
          <w:p>
            <w:pPr>
              <w:spacing w:line="276" w:lineRule="auto" w:before="0" w:after="0"/>
            </w:pPr>
            <w:r/>
            <w:r>
              <w:rPr>
                <w:rFonts w:ascii="Figtree" w:hAnsi="Figtree"/>
                <w:b w:val="0"/>
                <w:i w:val="0"/>
                <w:sz w:val="20"/>
              </w:rPr>
              <w:t>Liquidity management view</w:t>
            </w:r>
          </w:p>
        </w:tc>
      </w:tr>
      <w:tr>
        <w:trPr>
          <w:trHeight w:val="425" w:hRule="atLeast"/>
        </w:trPr>
        <w:tc>
          <w:tcPr>
            <w:tcW w:type="dxa" w:w="4873"/>
            <w:vAlign w:val="center"/>
          </w:tcPr>
          <w:p>
            <w:pPr>
              <w:spacing w:line="276" w:lineRule="auto" w:before="0" w:after="0"/>
            </w:pPr>
            <w:r/>
            <w:r>
              <w:rPr>
                <w:rFonts w:ascii="Figtree" w:hAnsi="Figtree"/>
                <w:b w:val="0"/>
                <w:i w:val="0"/>
                <w:sz w:val="20"/>
              </w:rPr>
              <w:t>Compliance alert dashboard</w:t>
            </w:r>
          </w:p>
        </w:tc>
        <w:tc>
          <w:tcPr>
            <w:tcW w:type="dxa" w:w="4873"/>
            <w:vAlign w:val="center"/>
          </w:tcPr>
          <w:p>
            <w:pPr>
              <w:spacing w:line="276" w:lineRule="auto" w:before="0" w:after="0"/>
            </w:pPr>
            <w:r/>
            <w:r>
              <w:rPr>
                <w:rFonts w:ascii="Figtree" w:hAnsi="Figtree"/>
                <w:b w:val="0"/>
                <w:i w:val="0"/>
                <w:sz w:val="20"/>
              </w:rPr>
              <w:t>AML case management</w:t>
            </w:r>
          </w:p>
        </w:tc>
      </w:tr>
      <w:tr>
        <w:trPr>
          <w:trHeight w:val="425" w:hRule="atLeast"/>
        </w:trPr>
        <w:tc>
          <w:tcPr>
            <w:tcW w:type="dxa" w:w="4873"/>
            <w:vAlign w:val="center"/>
          </w:tcPr>
          <w:p>
            <w:pPr>
              <w:spacing w:line="276" w:lineRule="auto" w:before="0" w:after="0"/>
            </w:pPr>
            <w:r/>
            <w:r>
              <w:rPr>
                <w:rFonts w:ascii="Figtree" w:hAnsi="Figtree"/>
                <w:b w:val="0"/>
                <w:i w:val="0"/>
                <w:sz w:val="20"/>
              </w:rPr>
              <w:t>Audit log export</w:t>
            </w:r>
          </w:p>
        </w:tc>
        <w:tc>
          <w:tcPr>
            <w:tcW w:type="dxa" w:w="4873"/>
            <w:vAlign w:val="center"/>
          </w:tcPr>
          <w:p>
            <w:pPr>
              <w:spacing w:line="276" w:lineRule="auto" w:before="0" w:after="0"/>
            </w:pPr>
            <w:r/>
            <w:r>
              <w:rPr>
                <w:rFonts w:ascii="Figtree" w:hAnsi="Figtree"/>
                <w:b w:val="0"/>
                <w:i w:val="0"/>
                <w:sz w:val="20"/>
              </w:rPr>
              <w:t>Per-corridor regulatory evidence</w:t>
            </w:r>
          </w:p>
        </w:tc>
      </w:tr>
    </w:tbl>
    <w:p>
      <w:pPr>
        <w:spacing w:before="0" w:after="0" w:line="120" w:lineRule="exact"/>
      </w:pPr>
    </w:p>
    <w:p>
      <w:r>
        <w:rPr>
          <w:rFonts w:ascii="Figtree" w:hAnsi="Figtree"/>
          <w:b/>
          <w:i w:val="0"/>
          <w:sz w:val="22"/>
        </w:rPr>
        <w:t>No per-transaction fee.</w:t>
      </w:r>
      <w:r>
        <w:rPr>
          <w:rFonts w:ascii="Figtree" w:hAnsi="Figtree"/>
          <w:b w:val="0"/>
          <w:i w:val="0"/>
          <w:sz w:val="22"/>
        </w:rPr>
        <w:t xml:space="preserve"> Chipper Cash's transaction volume growth does not increase platform costs. The licence covers all settlement volume within the platform.</w:t>
      </w:r>
    </w:p>
    <w:p>
      <w:pPr>
        <w:pStyle w:val="H2"/>
        <w:numPr>
          <w:ilvl w:val="1"/>
          <w:numId w:val="1"/>
        </w:numPr>
      </w:pPr>
      <w:r>
        <w:t>3.2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4"/>
        <w:gridCol w:w="1080"/>
        <w:gridCol w:w="2592"/>
        <w:gridCol w:w="29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Corridor tokens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Unlimited</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4</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Managed SaaS</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No (private cloud required)</w:t>
            </w:r>
          </w:p>
        </w:tc>
      </w:tr>
      <w:tr>
        <w:trPr>
          <w:trHeight w:val="425" w:hRule="atLeast"/>
        </w:trPr>
        <w:tc>
          <w:tcPr>
            <w:tcW w:type="dxa" w:w="2436"/>
            <w:vAlign w:val="center"/>
          </w:tcPr>
          <w:p>
            <w:pPr>
              <w:spacing w:line="276" w:lineRule="auto" w:before="0" w:after="0"/>
            </w:pPr>
            <w:r/>
            <w:r>
              <w:rPr>
                <w:rFonts w:ascii="Figtree" w:hAnsi="Figtree"/>
                <w:b w:val="0"/>
                <w:i w:val="0"/>
                <w:sz w:val="20"/>
              </w:rPr>
              <w:t>Per-corridor compliance</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Full (all modules)</w:t>
            </w:r>
          </w:p>
        </w:tc>
        <w:tc>
          <w:tcPr>
            <w:tcW w:type="dxa" w:w="2436"/>
            <w:vAlign w:val="center"/>
          </w:tcPr>
          <w:p>
            <w:pPr>
              <w:spacing w:line="276" w:lineRule="auto" w:before="0" w:after="0"/>
            </w:pPr>
            <w:r/>
            <w:r>
              <w:rPr>
                <w:rFonts w:ascii="Figtree" w:hAnsi="Figtree"/>
                <w:b w:val="0"/>
                <w:i w:val="0"/>
                <w:sz w:val="20"/>
              </w:rPr>
              <w:t>Full + custom</w:t>
            </w:r>
          </w:p>
        </w:tc>
      </w:tr>
      <w:tr>
        <w:trPr>
          <w:trHeight w:val="425" w:hRule="atLeast"/>
        </w:trPr>
        <w:tc>
          <w:tcPr>
            <w:tcW w:type="dxa" w:w="2436"/>
            <w:vAlign w:val="center"/>
          </w:tcPr>
          <w:p>
            <w:pPr>
              <w:spacing w:line="276" w:lineRule="auto" w:before="0" w:after="0"/>
            </w:pPr>
            <w:r/>
            <w:r>
              <w:rPr>
                <w:rFonts w:ascii="Figtree" w:hAnsi="Figtree"/>
                <w:b w:val="0"/>
                <w:i w:val="0"/>
                <w:sz w:val="20"/>
              </w:rPr>
              <w:t>PAPSS adapter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Mobile money hooks</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Recommendation:</w:t>
      </w:r>
      <w:r>
        <w:rPr>
          <w:rFonts w:ascii="Figtree" w:hAnsi="Figtree"/>
          <w:b w:val="0"/>
          <w:i w:val="0"/>
          <w:sz w:val="22"/>
        </w:rPr>
        <w:t xml:space="preserve"> Enterprise. Unlimited corridors, full compliance module access, PAPSS adapter, and managed SaaS infrastructure included. Foundation tier is insufficient for 6+ corridors with full compliance configuration.</w:t>
      </w:r>
    </w:p>
    <w:p>
      <w:r>
        <w:br w:type="page"/>
      </w:r>
    </w:p>
    <w:p>
      <w:pPr>
        <w:pStyle w:val="H1"/>
        <w:numPr>
          <w:ilvl w:val="0"/>
          <w:numId w:val="1"/>
        </w:numPr>
      </w:pPr>
      <w:r>
        <w:t>4. Deployment Options and Pricing</w:t>
      </w:r>
    </w:p>
    <w:p>
      <w:pPr>
        <w:pStyle w:val="H2"/>
        <w:numPr>
          <w:ilvl w:val="1"/>
          <w:numId w:val="1"/>
        </w:numPr>
      </w:pPr>
      <w:r>
        <w:t>4.1 Recommended: Managed SaaS</w:t>
      </w:r>
    </w:p>
    <w:p>
      <w:r>
        <w:rPr>
          <w:rFonts w:ascii="Figtree" w:hAnsi="Figtree"/>
          <w:b w:val="0"/>
          <w:i w:val="0"/>
          <w:sz w:val="22"/>
        </w:rPr>
        <w:t>For Chipper Cash as a fintech, managed SaaS is the correct deployment model:</w:t>
      </w:r>
    </w:p>
    <w:p>
      <w:pPr>
        <w:pStyle w:val="ListParagraph"/>
        <w:numPr>
          <w:ilvl w:val="0"/>
          <w:numId w:val="4"/>
        </w:numPr>
      </w:pPr>
      <w:r>
        <w:rPr>
          <w:rFonts w:ascii="Figtree" w:hAnsi="Figtree"/>
          <w:b/>
          <w:i w:val="0"/>
          <w:sz w:val="22"/>
        </w:rPr>
        <w:t>Infrastructure included in licence:</w:t>
      </w:r>
      <w:r>
        <w:rPr>
          <w:rFonts w:ascii="Figtree" w:hAnsi="Figtree"/>
          <w:b w:val="0"/>
          <w:i w:val="0"/>
          <w:sz w:val="22"/>
        </w:rPr>
        <w:t xml:space="preserve"> No additional cloud cost — $0 additional infrastructure</w:t>
      </w:r>
    </w:p>
    <w:p>
      <w:pPr>
        <w:pStyle w:val="ListParagraph"/>
        <w:numPr>
          <w:ilvl w:val="0"/>
          <w:numId w:val="4"/>
        </w:numPr>
      </w:pPr>
      <w:r>
        <w:rPr>
          <w:rFonts w:ascii="Figtree" w:hAnsi="Figtree"/>
          <w:b/>
          <w:i w:val="0"/>
          <w:sz w:val="22"/>
        </w:rPr>
        <w:t>Fastest time-to-production:</w:t>
      </w:r>
      <w:r>
        <w:rPr>
          <w:rFonts w:ascii="Figtree" w:hAnsi="Figtree"/>
          <w:b w:val="0"/>
          <w:i w:val="0"/>
          <w:sz w:val="22"/>
        </w:rPr>
        <w:t xml:space="preserve"> 16-week implementation vs 20+ weeks for private cloud</w:t>
      </w:r>
    </w:p>
    <w:p>
      <w:pPr>
        <w:pStyle w:val="ListParagraph"/>
        <w:numPr>
          <w:ilvl w:val="0"/>
          <w:numId w:val="4"/>
        </w:numPr>
      </w:pPr>
      <w:r>
        <w:rPr>
          <w:rFonts w:ascii="Figtree" w:hAnsi="Figtree"/>
          <w:b/>
          <w:i w:val="0"/>
          <w:sz w:val="22"/>
        </w:rPr>
        <w:t>Zero infrastructure management:</w:t>
      </w:r>
      <w:r>
        <w:rPr>
          <w:rFonts w:ascii="Figtree" w:hAnsi="Figtree"/>
          <w:b w:val="0"/>
          <w:i w:val="0"/>
          <w:sz w:val="22"/>
        </w:rPr>
        <w:t xml:space="preserve"> Chipper Cash's engineering team focuses on API integration</w:t>
      </w:r>
    </w:p>
    <w:p>
      <w:pPr>
        <w:pStyle w:val="ListParagraph"/>
        <w:numPr>
          <w:ilvl w:val="0"/>
          <w:numId w:val="4"/>
        </w:numPr>
      </w:pPr>
      <w:r>
        <w:rPr>
          <w:rFonts w:ascii="Figtree" w:hAnsi="Figtree"/>
          <w:b/>
          <w:i w:val="0"/>
          <w:sz w:val="22"/>
        </w:rPr>
        <w:t>Same platform capabilities:</w:t>
      </w:r>
      <w:r>
        <w:rPr>
          <w:rFonts w:ascii="Figtree" w:hAnsi="Figtree"/>
          <w:b w:val="0"/>
          <w:i w:val="0"/>
          <w:sz w:val="22"/>
        </w:rPr>
        <w:t xml:space="preserve"> All DALP capabilities available in managed SaaS</w:t>
      </w:r>
    </w:p>
    <w:p>
      <w:r>
        <w:rPr>
          <w:rFonts w:ascii="Figtree" w:hAnsi="Figtree"/>
          <w:b/>
          <w:i w:val="0"/>
          <w:sz w:val="22"/>
        </w:rPr>
        <w:t>Data residency consideration:</w:t>
      </w:r>
      <w:r>
        <w:rPr>
          <w:rFonts w:ascii="Figtree" w:hAnsi="Figtree"/>
          <w:b w:val="0"/>
          <w:i w:val="0"/>
          <w:sz w:val="22"/>
        </w:rPr>
        <w:t xml:space="preserve"> Chipper Cash does not store end-user PII in DALP. Settlement records are operational data. EU-region managed SaaS satisfies Chipper Cash's processing requirements.</w:t>
      </w:r>
    </w:p>
    <w:p>
      <w:pPr>
        <w:pStyle w:val="H2"/>
        <w:numPr>
          <w:ilvl w:val="1"/>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58"/>
        <w:gridCol w:w="1251"/>
        <w:gridCol w:w="1251"/>
        <w:gridCol w:w="1251"/>
        <w:gridCol w:w="145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Enterprise Licence (incl. SaaS infra)</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$10,000</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$824,000</w:t>
            </w:r>
          </w:p>
        </w:tc>
        <w:tc>
          <w:tcPr>
            <w:tcW w:type="dxa" w:w="1949"/>
            <w:vAlign w:val="center"/>
          </w:tcPr>
          <w:p>
            <w:pPr>
              <w:spacing w:line="276" w:lineRule="auto" w:before="0" w:after="0"/>
            </w:pPr>
            <w:r/>
            <w:r>
              <w:rPr>
                <w:rFonts w:ascii="Figtree" w:hAnsi="Figtree"/>
                <w:b/>
                <w:i w:val="0"/>
                <w:sz w:val="20"/>
              </w:rPr>
              <w:t>$624,000</w:t>
            </w:r>
          </w:p>
        </w:tc>
        <w:tc>
          <w:tcPr>
            <w:tcW w:type="dxa" w:w="1949"/>
            <w:vAlign w:val="center"/>
          </w:tcPr>
          <w:p>
            <w:pPr>
              <w:spacing w:line="276" w:lineRule="auto" w:before="0" w:after="0"/>
            </w:pPr>
            <w:r/>
            <w:r>
              <w:rPr>
                <w:rFonts w:ascii="Figtree" w:hAnsi="Figtree"/>
                <w:b/>
                <w:i w:val="0"/>
                <w:sz w:val="20"/>
              </w:rPr>
              <w:t>$634,000</w:t>
            </w:r>
          </w:p>
        </w:tc>
        <w:tc>
          <w:tcPr>
            <w:tcW w:type="dxa" w:w="1949"/>
            <w:vAlign w:val="center"/>
          </w:tcPr>
          <w:p>
            <w:pPr>
              <w:spacing w:line="276" w:lineRule="auto" w:before="0" w:after="0"/>
            </w:pPr>
            <w:r/>
            <w:r>
              <w:rPr>
                <w:rFonts w:ascii="Figtree" w:hAnsi="Figtree"/>
                <w:b/>
                <w:i w:val="0"/>
                <w:sz w:val="20"/>
              </w:rPr>
              <w:t>$2,082,000</w:t>
            </w:r>
          </w:p>
        </w:tc>
      </w:tr>
    </w:tbl>
    <w:p>
      <w:pPr>
        <w:spacing w:before="0" w:after="0" w:line="120" w:lineRule="exact"/>
      </w:pPr>
    </w:p>
    <w:p>
      <w:pPr>
        <w:pStyle w:val="H2"/>
        <w:numPr>
          <w:ilvl w:val="1"/>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37"/>
        <w:gridCol w:w="39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Additional corridors beyond initial 6</w:t>
            </w:r>
          </w:p>
        </w:tc>
        <w:tc>
          <w:tcPr>
            <w:tcW w:type="dxa" w:w="4873"/>
            <w:vAlign w:val="center"/>
          </w:tcPr>
          <w:p>
            <w:pPr>
              <w:spacing w:line="276" w:lineRule="auto" w:before="0" w:after="0"/>
            </w:pPr>
            <w:r/>
            <w:r>
              <w:rPr>
                <w:rFonts w:ascii="Figtree" w:hAnsi="Figtree"/>
                <w:b w:val="0"/>
                <w:i w:val="0"/>
                <w:sz w:val="20"/>
              </w:rPr>
              <w:t>No additional licence cost</w:t>
            </w:r>
          </w:p>
        </w:tc>
      </w:tr>
      <w:tr>
        <w:trPr>
          <w:trHeight w:val="425" w:hRule="atLeast"/>
        </w:trPr>
        <w:tc>
          <w:tcPr>
            <w:tcW w:type="dxa" w:w="4873"/>
            <w:vAlign w:val="center"/>
          </w:tcPr>
          <w:p>
            <w:pPr>
              <w:spacing w:line="276" w:lineRule="auto" w:before="0" w:after="0"/>
            </w:pPr>
            <w:r/>
            <w:r>
              <w:rPr>
                <w:rFonts w:ascii="Figtree" w:hAnsi="Figtree"/>
                <w:b w:val="0"/>
                <w:i w:val="0"/>
                <w:sz w:val="20"/>
              </w:rPr>
              <w:t>Private cloud option (if required by regulator)</w:t>
            </w:r>
          </w:p>
        </w:tc>
        <w:tc>
          <w:tcPr>
            <w:tcW w:type="dxa" w:w="4873"/>
            <w:vAlign w:val="center"/>
          </w:tcPr>
          <w:p>
            <w:pPr>
              <w:spacing w:line="276" w:lineRule="auto" w:before="0" w:after="0"/>
            </w:pPr>
            <w:r/>
            <w:r>
              <w:rPr>
                <w:rFonts w:ascii="Figtree" w:hAnsi="Figtree"/>
                <w:b w:val="0"/>
                <w:i w:val="0"/>
                <w:sz w:val="20"/>
              </w:rPr>
              <w:t>+$72,000-$96,000/year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PAPSS integration (Phase 2)</w:t>
            </w:r>
          </w:p>
        </w:tc>
        <w:tc>
          <w:tcPr>
            <w:tcW w:type="dxa" w:w="4873"/>
            <w:vAlign w:val="center"/>
          </w:tcPr>
          <w:p>
            <w:pPr>
              <w:spacing w:line="276" w:lineRule="auto" w:before="0" w:after="0"/>
            </w:pPr>
            <w:r/>
            <w:r>
              <w:rPr>
                <w:rFonts w:ascii="Figtree" w:hAnsi="Figtree"/>
                <w:b w:val="0"/>
                <w:i w:val="0"/>
                <w:sz w:val="20"/>
              </w:rPr>
              <w:t>$20,000-$40,000 integration services</w:t>
            </w:r>
          </w:p>
        </w:tc>
      </w:tr>
      <w:tr>
        <w:trPr>
          <w:trHeight w:val="425" w:hRule="atLeast"/>
        </w:trPr>
        <w:tc>
          <w:tcPr>
            <w:tcW w:type="dxa" w:w="4873"/>
            <w:vAlign w:val="center"/>
          </w:tcPr>
          <w:p>
            <w:pPr>
              <w:spacing w:line="276" w:lineRule="auto" w:before="0" w:after="0"/>
            </w:pPr>
            <w:r/>
            <w:r>
              <w:rPr>
                <w:rFonts w:ascii="Figtree" w:hAnsi="Figtree"/>
                <w:b w:val="0"/>
                <w:i w:val="0"/>
                <w:sz w:val="20"/>
              </w:rPr>
              <w:t>Additional mobile money providers</w:t>
            </w:r>
          </w:p>
        </w:tc>
        <w:tc>
          <w:tcPr>
            <w:tcW w:type="dxa" w:w="4873"/>
            <w:vAlign w:val="center"/>
          </w:tcPr>
          <w:p>
            <w:pPr>
              <w:spacing w:line="276" w:lineRule="auto" w:before="0" w:after="0"/>
            </w:pPr>
            <w:r/>
            <w:r>
              <w:rPr>
                <w:rFonts w:ascii="Figtree" w:hAnsi="Figtree"/>
                <w:b w:val="0"/>
                <w:i w:val="0"/>
                <w:sz w:val="20"/>
              </w:rPr>
              <w:t>$5,000-$15,000/provider one-time</w:t>
            </w:r>
          </w:p>
        </w:tc>
      </w:tr>
      <w:tr>
        <w:trPr>
          <w:trHeight w:val="425" w:hRule="atLeast"/>
        </w:trPr>
        <w:tc>
          <w:tcPr>
            <w:tcW w:type="dxa" w:w="4873"/>
            <w:vAlign w:val="center"/>
          </w:tcPr>
          <w:p>
            <w:pPr>
              <w:spacing w:line="276" w:lineRule="auto" w:before="0" w:after="0"/>
            </w:pPr>
            <w:r/>
            <w:r>
              <w:rPr>
                <w:rFonts w:ascii="Figtree" w:hAnsi="Figtree"/>
                <w:b w:val="0"/>
                <w:i w:val="0"/>
                <w:sz w:val="20"/>
              </w:rPr>
              <w:t>3-year committed discount</w:t>
            </w:r>
          </w:p>
        </w:tc>
        <w:tc>
          <w:tcPr>
            <w:tcW w:type="dxa" w:w="4873"/>
            <w:vAlign w:val="center"/>
          </w:tcPr>
          <w:p>
            <w:pPr>
              <w:spacing w:line="276" w:lineRule="auto" w:before="0" w:after="0"/>
            </w:pPr>
            <w:r/>
            <w:r>
              <w:rPr>
                <w:rFonts w:ascii="Figtree" w:hAnsi="Figtree"/>
                <w:b w:val="0"/>
                <w:i w:val="0"/>
                <w:sz w:val="20"/>
              </w:rPr>
              <w:t>-10% on licence ($144,000 saving)</w:t>
            </w:r>
          </w:p>
        </w:tc>
      </w:tr>
    </w:tbl>
    <w:p>
      <w:pPr>
        <w:spacing w:before="0" w:after="0" w:line="120" w:lineRule="exact"/>
      </w:pPr>
    </w:p>
    <w:p>
      <w:r>
        <w:br w:type="page"/>
      </w:r>
    </w:p>
    <w:p>
      <w:pPr>
        <w:pStyle w:val="H1"/>
        <w:numPr>
          <w:ilvl w:val="0"/>
          <w:numId w:val="1"/>
        </w:numPr>
      </w:pPr>
      <w:r>
        <w:t>5.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0"/>
        <w:gridCol w:w="3606"/>
        <w:gridCol w:w="1420"/>
        <w:gridCol w:w="26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4h</w:t>
            </w:r>
          </w:p>
        </w:tc>
        <w:tc>
          <w:tcPr>
            <w:tcW w:type="dxa" w:w="2436"/>
            <w:vAlign w:val="center"/>
          </w:tcPr>
          <w:p>
            <w:pPr>
              <w:spacing w:line="276" w:lineRule="auto" w:before="0" w:after="0"/>
            </w:pPr>
            <w:r/>
            <w:r>
              <w:rPr>
                <w:rFonts w:ascii="Figtree" w:hAnsi="Figtree"/>
                <w:b w:val="0"/>
                <w:i w:val="0"/>
                <w:sz w:val="20"/>
              </w:rPr>
              <w:t>2h</w:t>
            </w:r>
          </w:p>
        </w:tc>
        <w:tc>
          <w:tcPr>
            <w:tcW w:type="dxa" w:w="2436"/>
            <w:vAlign w:val="center"/>
          </w:tcPr>
          <w:p>
            <w:pPr>
              <w:spacing w:line="276" w:lineRule="auto" w:before="0" w:after="0"/>
            </w:pPr>
            <w:r/>
            <w:r>
              <w:rPr>
                <w:rFonts w:ascii="Figtree" w:hAnsi="Figtree"/>
                <w:b w:val="0"/>
                <w:i w:val="0"/>
                <w:sz w:val="20"/>
              </w:rPr>
              <w:t>1h</w:t>
            </w:r>
          </w:p>
        </w:tc>
      </w:tr>
      <w:tr>
        <w:trPr>
          <w:trHeight w:val="425" w:hRule="atLeast"/>
        </w:trPr>
        <w:tc>
          <w:tcPr>
            <w:tcW w:type="dxa" w:w="2436"/>
            <w:vAlign w:val="center"/>
          </w:tcPr>
          <w:p>
            <w:pPr>
              <w:spacing w:line="276" w:lineRule="auto" w:before="0" w:after="0"/>
            </w:pPr>
            <w:r/>
            <w:r>
              <w:rPr>
                <w:rFonts w:ascii="Figtree" w:hAnsi="Figtree"/>
                <w:b w:val="0"/>
                <w:i w:val="0"/>
                <w:sz w:val="20"/>
              </w:rPr>
              <w:t>Settlement P1</w:t>
            </w:r>
          </w:p>
        </w:tc>
        <w:tc>
          <w:tcPr>
            <w:tcW w:type="dxa" w:w="2436"/>
            <w:vAlign w:val="center"/>
          </w:tcPr>
          <w:p>
            <w:pPr>
              <w:spacing w:line="276" w:lineRule="auto" w:before="0" w:after="0"/>
            </w:pPr>
            <w:r/>
            <w:r>
              <w:rPr>
                <w:rFonts w:ascii="Figtree" w:hAnsi="Figtree"/>
                <w:b w:val="0"/>
                <w:i w:val="0"/>
                <w:sz w:val="20"/>
              </w:rPr>
              <w:t>Cross-corridor settlement failing</w:t>
            </w:r>
          </w:p>
        </w:tc>
        <w:tc>
          <w:tcPr>
            <w:tcW w:type="dxa" w:w="2436"/>
            <w:vAlign w:val="center"/>
          </w:tcPr>
          <w:p>
            <w:pPr>
              <w:spacing w:line="276" w:lineRule="auto" w:before="0" w:after="0"/>
            </w:pPr>
            <w:r/>
            <w:r>
              <w:rPr>
                <w:rFonts w:ascii="Figtree" w:hAnsi="Figtree"/>
                <w:b w:val="0"/>
                <w:i w:val="0"/>
                <w:sz w:val="20"/>
              </w:rPr>
              <w:t>Same</w:t>
            </w:r>
          </w:p>
        </w:tc>
        <w:tc>
          <w:tcPr>
            <w:tcW w:type="dxa" w:w="2436"/>
            <w:vAlign w:val="center"/>
          </w:tcPr>
          <w:p>
            <w:pPr>
              <w:spacing w:line="276" w:lineRule="auto" w:before="0" w:after="0"/>
            </w:pPr>
            <w:r/>
            <w:r>
              <w:rPr>
                <w:rFonts w:ascii="Figtree" w:hAnsi="Figtree"/>
                <w:b w:val="0"/>
                <w:i w:val="0"/>
                <w:sz w:val="20"/>
              </w:rPr>
              <w:t>Same</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w:t>
            </w:r>
          </w:p>
        </w:tc>
        <w:tc>
          <w:tcPr>
            <w:tcW w:type="dxa" w:w="2436"/>
            <w:vAlign w:val="center"/>
          </w:tcPr>
          <w:p>
            <w:pPr>
              <w:spacing w:line="276" w:lineRule="auto" w:before="0" w:after="0"/>
            </w:pPr>
            <w:r/>
            <w:r>
              <w:rPr>
                <w:rFonts w:ascii="Figtree" w:hAnsi="Figtree"/>
                <w:b w:val="0"/>
                <w:i w:val="0"/>
                <w:sz w:val="20"/>
              </w:rPr>
              <w:t>Email + phone</w:t>
            </w:r>
          </w:p>
        </w:tc>
        <w:tc>
          <w:tcPr>
            <w:tcW w:type="dxa" w:w="2436"/>
            <w:vAlign w:val="center"/>
          </w:tcPr>
          <w:p>
            <w:pPr>
              <w:spacing w:line="276" w:lineRule="auto" w:before="0" w:after="0"/>
            </w:pPr>
            <w:r/>
            <w:r>
              <w:rPr>
                <w:rFonts w:ascii="Figtree" w:hAnsi="Figtree"/>
                <w:b w:val="0"/>
                <w:i w:val="0"/>
                <w:sz w:val="20"/>
              </w:rPr>
              <w:t>All + Slack</w:t>
            </w:r>
          </w:p>
        </w:tc>
      </w:tr>
      <w:tr>
        <w:trPr>
          <w:trHeight w:val="425" w:hRule="atLeast"/>
        </w:trPr>
        <w:tc>
          <w:tcPr>
            <w:tcW w:type="dxa" w:w="2436"/>
            <w:vAlign w:val="center"/>
          </w:tcPr>
          <w:p>
            <w:pPr>
              <w:spacing w:line="276" w:lineRule="auto" w:before="0" w:after="0"/>
            </w:pPr>
            <w:r/>
            <w:r>
              <w:rPr>
                <w:rFonts w:ascii="Figtree" w:hAnsi="Figtree"/>
                <w:b w:val="0"/>
                <w:i w:val="0"/>
                <w:sz w:val="20"/>
              </w:rPr>
              <w:t>Annual cost</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$108,000</w:t>
            </w:r>
          </w:p>
        </w:tc>
        <w:tc>
          <w:tcPr>
            <w:tcW w:type="dxa" w:w="2436"/>
            <w:vAlign w:val="center"/>
          </w:tcPr>
          <w:p>
            <w:pPr>
              <w:spacing w:line="276" w:lineRule="auto" w:before="0" w:after="0"/>
            </w:pPr>
            <w:r/>
            <w:r>
              <w:rPr>
                <w:rFonts w:ascii="Figtree" w:hAnsi="Figtree"/>
                <w:b w:val="0"/>
                <w:i w:val="0"/>
                <w:sz w:val="20"/>
              </w:rPr>
              <w:t>$144,000</w:t>
            </w:r>
          </w:p>
        </w:tc>
      </w:tr>
    </w:tbl>
    <w:p>
      <w:pPr>
        <w:spacing w:before="0" w:after="0" w:line="120" w:lineRule="exact"/>
      </w:pPr>
    </w:p>
    <w:p>
      <w:r>
        <w:rPr>
          <w:rFonts w:ascii="Figtree" w:hAnsi="Figtree"/>
          <w:b/>
          <w:i w:val="0"/>
          <w:sz w:val="22"/>
        </w:rPr>
        <w:t>Why 24/7 for Chipper Cash:</w:t>
      </w:r>
      <w:r>
        <w:rPr>
          <w:rFonts w:ascii="Figtree" w:hAnsi="Figtree"/>
          <w:b w:val="0"/>
          <w:i w:val="0"/>
          <w:sz w:val="22"/>
        </w:rPr>
        <w:t xml:space="preserve"> Cross-border remittance operates 24/7 across African time zones. Settlement failures at 2 AM Lagos time need 1-hour response, not 4-hour.</w:t>
      </w:r>
    </w:p>
    <w:p>
      <w:pPr>
        <w:pStyle w:val="H2"/>
        <w:numPr>
          <w:ilvl w:val="1"/>
          <w:numId w:val="1"/>
        </w:numPr>
      </w:pPr>
      <w:r>
        <w:t>5.1 Uptime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45"/>
        <w:gridCol w:w="232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Production (Settlement)</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UAT</w:t>
            </w:r>
          </w:p>
        </w:tc>
        <w:tc>
          <w:tcPr>
            <w:tcW w:type="dxa" w:w="4873"/>
            <w:vAlign w:val="center"/>
          </w:tcPr>
          <w:p>
            <w:pPr>
              <w:spacing w:line="276" w:lineRule="auto" w:before="0" w:after="0"/>
            </w:pPr>
            <w:r/>
            <w:r>
              <w:rPr>
                <w:rFonts w:ascii="Figtree" w:hAnsi="Figtree"/>
                <w:b w:val="0"/>
                <w:i w:val="0"/>
                <w:sz w:val="20"/>
              </w:rPr>
              <w:t>99.5%</w:t>
            </w:r>
          </w:p>
        </w:tc>
      </w:tr>
    </w:tbl>
    <w:p>
      <w:pPr>
        <w:spacing w:before="0" w:after="0" w:line="120" w:lineRule="exact"/>
      </w:pPr>
    </w:p>
    <w:p>
      <w:r>
        <w:rPr>
          <w:rFonts w:ascii="Figtree" w:hAnsi="Figtree"/>
          <w:b w:val="0"/>
          <w:i w:val="0"/>
          <w:sz w:val="22"/>
        </w:rPr>
        <w:t>Service credits: 99.5%-99.9%: 25% monthly support fee; below 99.5%: 50%.</w:t>
      </w:r>
    </w:p>
    <w:p>
      <w:r>
        <w:br w:type="page"/>
      </w:r>
    </w:p>
    <w:p>
      <w:pPr>
        <w:pStyle w:val="H1"/>
        <w:numPr>
          <w:ilvl w:val="0"/>
          <w:numId w:val="1"/>
        </w:numPr>
      </w:pPr>
      <w:r>
        <w:t>6. Implementation Investment</w:t>
      </w:r>
    </w:p>
    <w:p>
      <w:pPr>
        <w:pStyle w:val="H2"/>
        <w:numPr>
          <w:ilvl w:val="1"/>
          <w:numId w:val="1"/>
        </w:numPr>
      </w:pPr>
      <w:r>
        <w:t>6.1 Phase Pricing (16-Week Managed SaaS)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02"/>
        <w:gridCol w:w="1634"/>
        <w:gridCol w:w="16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Phase 1 — 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$18,000</w:t>
            </w:r>
          </w:p>
        </w:tc>
      </w:tr>
      <w:tr>
        <w:trPr>
          <w:trHeight w:val="425" w:hRule="atLeast"/>
        </w:trPr>
        <w:tc>
          <w:tcPr>
            <w:tcW w:type="dxa" w:w="3249"/>
            <w:vAlign w:val="center"/>
          </w:tcPr>
          <w:p>
            <w:pPr>
              <w:spacing w:line="276" w:lineRule="auto" w:before="0" w:after="0"/>
            </w:pPr>
            <w:r/>
            <w:r>
              <w:rPr>
                <w:rFonts w:ascii="Figtree" w:hAnsi="Figtree"/>
                <w:b w:val="0"/>
                <w:i w:val="0"/>
                <w:sz w:val="20"/>
              </w:rPr>
              <w:t>Phase 2 — Foundation</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$24,000</w:t>
            </w:r>
          </w:p>
        </w:tc>
      </w:tr>
      <w:tr>
        <w:trPr>
          <w:trHeight w:val="425" w:hRule="atLeast"/>
        </w:trPr>
        <w:tc>
          <w:tcPr>
            <w:tcW w:type="dxa" w:w="3249"/>
            <w:vAlign w:val="center"/>
          </w:tcPr>
          <w:p>
            <w:pPr>
              <w:spacing w:line="276" w:lineRule="auto" w:before="0" w:after="0"/>
            </w:pPr>
            <w:r/>
            <w:r>
              <w:rPr>
                <w:rFonts w:ascii="Figtree" w:hAnsi="Figtree"/>
                <w:b w:val="0"/>
                <w:i w:val="0"/>
                <w:sz w:val="20"/>
              </w:rPr>
              <w:t>Phase 3 — Configuration (6 corridors)</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4 — Integration (mobile money, FX, PAPSS)</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$54,000</w:t>
            </w:r>
          </w:p>
        </w:tc>
      </w:tr>
      <w:tr>
        <w:trPr>
          <w:trHeight w:val="425" w:hRule="atLeast"/>
        </w:trPr>
        <w:tc>
          <w:tcPr>
            <w:tcW w:type="dxa" w:w="3249"/>
            <w:vAlign w:val="center"/>
          </w:tcPr>
          <w:p>
            <w:pPr>
              <w:spacing w:line="276" w:lineRule="auto" w:before="0" w:after="0"/>
            </w:pPr>
            <w:r/>
            <w:r>
              <w:rPr>
                <w:rFonts w:ascii="Figtree" w:hAnsi="Figtree"/>
                <w:b w:val="0"/>
                <w:i w:val="0"/>
                <w:sz w:val="20"/>
              </w:rPr>
              <w:t>Phase 5 —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$18,000</w:t>
            </w:r>
          </w:p>
        </w:tc>
      </w:tr>
      <w:tr>
        <w:trPr>
          <w:trHeight w:val="425" w:hRule="atLeast"/>
        </w:trPr>
        <w:tc>
          <w:tcPr>
            <w:tcW w:type="dxa" w:w="3249"/>
            <w:vAlign w:val="center"/>
          </w:tcPr>
          <w:p>
            <w:pPr>
              <w:spacing w:line="276" w:lineRule="auto" w:before="0" w:after="0"/>
            </w:pPr>
            <w:r/>
            <w:r>
              <w:rPr>
                <w:rFonts w:ascii="Figtree" w:hAnsi="Figtree"/>
                <w:b w:val="0"/>
                <w:i w:val="0"/>
                <w:sz w:val="20"/>
              </w:rPr>
              <w:t>Phase 6 — Hypercare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$6,000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16 weeks</w:t>
            </w:r>
          </w:p>
        </w:tc>
        <w:tc>
          <w:tcPr>
            <w:tcW w:type="dxa" w:w="3249"/>
            <w:vAlign w:val="center"/>
          </w:tcPr>
          <w:p>
            <w:pPr>
              <w:spacing w:line="276" w:lineRule="auto" w:before="0" w:after="0"/>
            </w:pPr>
            <w:r/>
            <w:r>
              <w:rPr>
                <w:rFonts w:ascii="Figtree" w:hAnsi="Figtree"/>
                <w:b/>
                <w:i w:val="0"/>
                <w:sz w:val="20"/>
              </w:rPr>
              <w:t>$180,000</w:t>
            </w:r>
          </w:p>
        </w:tc>
      </w:tr>
    </w:tbl>
    <w:p>
      <w:pPr>
        <w:spacing w:before="0" w:after="0" w:line="120" w:lineRule="exact"/>
      </w:pPr>
    </w:p>
    <w:p>
      <w:pPr>
        <w:pStyle w:val="H2"/>
        <w:numPr>
          <w:ilvl w:val="1"/>
          <w:numId w:val="1"/>
        </w:numPr>
      </w:pPr>
      <w:r>
        <w:t>6.2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04"/>
        <w:gridCol w:w="35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(Licence Y1 + Support Y1)</w:t>
            </w:r>
          </w:p>
        </w:tc>
        <w:tc>
          <w:tcPr>
            <w:tcW w:type="dxa" w:w="4873"/>
            <w:vAlign w:val="center"/>
          </w:tcPr>
          <w:p>
            <w:pPr>
              <w:spacing w:line="276" w:lineRule="auto" w:before="0" w:after="0"/>
            </w:pPr>
            <w:r/>
            <w:r>
              <w:rPr>
                <w:rFonts w:ascii="Figtree" w:hAnsi="Figtree"/>
                <w:b w:val="0"/>
                <w:i w:val="0"/>
                <w:sz w:val="20"/>
              </w:rPr>
              <w:t>$624,000</w:t>
            </w:r>
          </w:p>
        </w:tc>
      </w:tr>
      <w:tr>
        <w:trPr>
          <w:trHeight w:val="425" w:hRule="atLeast"/>
        </w:trPr>
        <w:tc>
          <w:tcPr>
            <w:tcW w:type="dxa" w:w="4873"/>
            <w:vAlign w:val="center"/>
          </w:tcPr>
          <w:p>
            <w:pPr>
              <w:spacing w:line="276" w:lineRule="auto" w:before="0" w:after="0"/>
            </w:pPr>
            <w:r/>
            <w:r>
              <w:rPr>
                <w:rFonts w:ascii="Figtree" w:hAnsi="Figtree"/>
                <w:b w:val="0"/>
                <w:i w:val="0"/>
                <w:sz w:val="20"/>
              </w:rPr>
              <w:t>Phase 1 gate</w:t>
            </w:r>
          </w:p>
        </w:tc>
        <w:tc>
          <w:tcPr>
            <w:tcW w:type="dxa" w:w="4873"/>
            <w:vAlign w:val="center"/>
          </w:tcPr>
          <w:p>
            <w:pPr>
              <w:spacing w:line="276" w:lineRule="auto" w:before="0" w:after="0"/>
            </w:pPr>
            <w:r/>
            <w:r>
              <w:rPr>
                <w:rFonts w:ascii="Figtree" w:hAnsi="Figtree"/>
                <w:b w:val="0"/>
                <w:i w:val="0"/>
                <w:sz w:val="20"/>
              </w:rPr>
              <w:t>$27,000 (15%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Phase 3 gate</w:t>
            </w:r>
          </w:p>
        </w:tc>
        <w:tc>
          <w:tcPr>
            <w:tcW w:type="dxa" w:w="4873"/>
            <w:vAlign w:val="center"/>
          </w:tcPr>
          <w:p>
            <w:pPr>
              <w:spacing w:line="276" w:lineRule="auto" w:before="0" w:after="0"/>
            </w:pPr>
            <w:r/>
            <w:r>
              <w:rPr>
                <w:rFonts w:ascii="Figtree" w:hAnsi="Figtree"/>
                <w:b w:val="0"/>
                <w:i w:val="0"/>
                <w:sz w:val="20"/>
              </w:rPr>
              <w:t>$54,000 (30%)</w:t>
            </w:r>
          </w:p>
        </w:tc>
      </w:tr>
      <w:tr>
        <w:trPr>
          <w:trHeight w:val="425" w:hRule="atLeast"/>
        </w:trPr>
        <w:tc>
          <w:tcPr>
            <w:tcW w:type="dxa" w:w="4873"/>
            <w:vAlign w:val="center"/>
          </w:tcPr>
          <w:p>
            <w:pPr>
              <w:spacing w:line="276" w:lineRule="auto" w:before="0" w:after="0"/>
            </w:pPr>
            <w:r/>
            <w:r>
              <w:rPr>
                <w:rFonts w:ascii="Figtree" w:hAnsi="Figtree"/>
                <w:b w:val="0"/>
                <w:i w:val="0"/>
                <w:sz w:val="20"/>
              </w:rPr>
              <w:t>Phase 4 gate</w:t>
            </w:r>
          </w:p>
        </w:tc>
        <w:tc>
          <w:tcPr>
            <w:tcW w:type="dxa" w:w="4873"/>
            <w:vAlign w:val="center"/>
          </w:tcPr>
          <w:p>
            <w:pPr>
              <w:spacing w:line="276" w:lineRule="auto" w:before="0" w:after="0"/>
            </w:pPr>
            <w:r/>
            <w:r>
              <w:rPr>
                <w:rFonts w:ascii="Figtree" w:hAnsi="Figtree"/>
                <w:b w:val="0"/>
                <w:i w:val="0"/>
                <w:sz w:val="20"/>
              </w:rPr>
              <w:t>$36,000 (20%)</w:t>
            </w:r>
          </w:p>
        </w:tc>
      </w:tr>
      <w:tr>
        <w:trPr>
          <w:trHeight w:val="425" w:hRule="atLeast"/>
        </w:trPr>
        <w:tc>
          <w:tcPr>
            <w:tcW w:type="dxa" w:w="4873"/>
            <w:vAlign w:val="center"/>
          </w:tcPr>
          <w:p>
            <w:pPr>
              <w:spacing w:line="276" w:lineRule="auto" w:before="0" w:after="0"/>
            </w:pPr>
            <w:r/>
            <w:r>
              <w:rPr>
                <w:rFonts w:ascii="Figtree" w:hAnsi="Figtree"/>
                <w:b w:val="0"/>
                <w:i w:val="0"/>
                <w:sz w:val="20"/>
              </w:rPr>
              <w:t>Phase 6 completion</w:t>
            </w:r>
          </w:p>
        </w:tc>
        <w:tc>
          <w:tcPr>
            <w:tcW w:type="dxa" w:w="4873"/>
            <w:vAlign w:val="center"/>
          </w:tcPr>
          <w:p>
            <w:pPr>
              <w:spacing w:line="276" w:lineRule="auto" w:before="0" w:after="0"/>
            </w:pPr>
            <w:r/>
            <w:r>
              <w:rPr>
                <w:rFonts w:ascii="Figtree" w:hAnsi="Figtree"/>
                <w:b w:val="0"/>
                <w:i w:val="0"/>
                <w:sz w:val="20"/>
              </w:rPr>
              <w:t>$63,000 (35%)</w:t>
            </w:r>
          </w:p>
        </w:tc>
      </w:tr>
    </w:tbl>
    <w:p>
      <w:pPr>
        <w:spacing w:before="0" w:after="0" w:line="120" w:lineRule="exact"/>
      </w:pPr>
    </w:p>
    <w:p>
      <w:pPr>
        <w:pStyle w:val="H2"/>
        <w:numPr>
          <w:ilvl w:val="1"/>
          <w:numId w:val="1"/>
        </w:numPr>
      </w:pPr>
      <w:r>
        <w:t>6.3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39"/>
        <w:gridCol w:w="43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REST API AML provider</w:t>
            </w:r>
          </w:p>
        </w:tc>
        <w:tc>
          <w:tcPr>
            <w:tcW w:type="dxa" w:w="4873"/>
            <w:vAlign w:val="center"/>
          </w:tcPr>
          <w:p>
            <w:pPr>
              <w:spacing w:line="276" w:lineRule="auto" w:before="0" w:after="0"/>
            </w:pPr>
            <w:r/>
            <w:r>
              <w:rPr>
                <w:rFonts w:ascii="Figtree" w:hAnsi="Figtree"/>
                <w:b w:val="0"/>
                <w:i w:val="0"/>
                <w:sz w:val="20"/>
              </w:rPr>
              <w:t>Accelerates Phase 3</w:t>
            </w:r>
          </w:p>
        </w:tc>
      </w:tr>
      <w:tr>
        <w:trPr>
          <w:trHeight w:val="425" w:hRule="atLeast"/>
        </w:trPr>
        <w:tc>
          <w:tcPr>
            <w:tcW w:type="dxa" w:w="4873"/>
            <w:vAlign w:val="center"/>
          </w:tcPr>
          <w:p>
            <w:pPr>
              <w:spacing w:line="276" w:lineRule="auto" w:before="0" w:after="0"/>
            </w:pPr>
            <w:r/>
            <w:r>
              <w:rPr>
                <w:rFonts w:ascii="Figtree" w:hAnsi="Figtree"/>
                <w:b w:val="0"/>
                <w:i w:val="0"/>
                <w:sz w:val="20"/>
              </w:rPr>
              <w:t>Standard mobile money APIs</w:t>
            </w:r>
          </w:p>
        </w:tc>
        <w:tc>
          <w:tcPr>
            <w:tcW w:type="dxa" w:w="4873"/>
            <w:vAlign w:val="center"/>
          </w:tcPr>
          <w:p>
            <w:pPr>
              <w:spacing w:line="276" w:lineRule="auto" w:before="0" w:after="0"/>
            </w:pPr>
            <w:r/>
            <w:r>
              <w:rPr>
                <w:rFonts w:ascii="Figtree" w:hAnsi="Figtree"/>
                <w:b w:val="0"/>
                <w:i w:val="0"/>
                <w:sz w:val="20"/>
              </w:rPr>
              <w:t>Accelerates Phase 4</w:t>
            </w:r>
          </w:p>
        </w:tc>
      </w:tr>
      <w:tr>
        <w:trPr>
          <w:trHeight w:val="425" w:hRule="atLeast"/>
        </w:trPr>
        <w:tc>
          <w:tcPr>
            <w:tcW w:type="dxa" w:w="4873"/>
            <w:vAlign w:val="center"/>
          </w:tcPr>
          <w:p>
            <w:pPr>
              <w:spacing w:line="276" w:lineRule="auto" w:before="0" w:after="0"/>
            </w:pPr>
            <w:r/>
            <w:r>
              <w:rPr>
                <w:rFonts w:ascii="Figtree" w:hAnsi="Figtree"/>
                <w:b w:val="0"/>
                <w:i w:val="0"/>
                <w:sz w:val="20"/>
              </w:rPr>
              <w:t>Existing Chipper Cash API team</w:t>
            </w:r>
          </w:p>
        </w:tc>
        <w:tc>
          <w:tcPr>
            <w:tcW w:type="dxa" w:w="4873"/>
            <w:vAlign w:val="center"/>
          </w:tcPr>
          <w:p>
            <w:pPr>
              <w:spacing w:line="276" w:lineRule="auto" w:before="0" w:after="0"/>
            </w:pPr>
            <w:r/>
            <w:r>
              <w:rPr>
                <w:rFonts w:ascii="Figtree" w:hAnsi="Figtree"/>
                <w:b w:val="0"/>
                <w:i w:val="0"/>
                <w:sz w:val="20"/>
              </w:rPr>
              <w:t>Accelerates Phase 2</w:t>
            </w:r>
          </w:p>
        </w:tc>
      </w:tr>
      <w:tr>
        <w:trPr>
          <w:trHeight w:val="425" w:hRule="atLeast"/>
        </w:trPr>
        <w:tc>
          <w:tcPr>
            <w:tcW w:type="dxa" w:w="4873"/>
            <w:vAlign w:val="center"/>
          </w:tcPr>
          <w:p>
            <w:pPr>
              <w:spacing w:line="276" w:lineRule="auto" w:before="0" w:after="0"/>
            </w:pPr>
            <w:r/>
            <w:r>
              <w:rPr>
                <w:rFonts w:ascii="Figtree" w:hAnsi="Figtree"/>
                <w:b w:val="0"/>
                <w:i w:val="0"/>
                <w:sz w:val="20"/>
              </w:rPr>
              <w:t>Non-standard local RTGS interface</w:t>
            </w:r>
          </w:p>
        </w:tc>
        <w:tc>
          <w:tcPr>
            <w:tcW w:type="dxa" w:w="4873"/>
            <w:vAlign w:val="center"/>
          </w:tcPr>
          <w:p>
            <w:pPr>
              <w:spacing w:line="276" w:lineRule="auto" w:before="0" w:after="0"/>
            </w:pPr>
            <w:r/>
            <w:r>
              <w:rPr>
                <w:rFonts w:ascii="Figtree" w:hAnsi="Figtree"/>
                <w:b w:val="0"/>
                <w:i w:val="0"/>
                <w:sz w:val="20"/>
              </w:rPr>
              <w:t>+$15,000-$30,000 per corridor</w:t>
            </w:r>
          </w:p>
        </w:tc>
      </w:tr>
      <w:tr>
        <w:trPr>
          <w:trHeight w:val="425" w:hRule="atLeast"/>
        </w:trPr>
        <w:tc>
          <w:tcPr>
            <w:tcW w:type="dxa" w:w="4873"/>
            <w:vAlign w:val="center"/>
          </w:tcPr>
          <w:p>
            <w:pPr>
              <w:spacing w:line="276" w:lineRule="auto" w:before="0" w:after="0"/>
            </w:pPr>
            <w:r/>
            <w:r>
              <w:rPr>
                <w:rFonts w:ascii="Figtree" w:hAnsi="Figtree"/>
                <w:b w:val="0"/>
                <w:i w:val="0"/>
                <w:sz w:val="20"/>
              </w:rPr>
              <w:t>Complex PAPSS integration at launch</w:t>
            </w:r>
          </w:p>
        </w:tc>
        <w:tc>
          <w:tcPr>
            <w:tcW w:type="dxa" w:w="4873"/>
            <w:vAlign w:val="center"/>
          </w:tcPr>
          <w:p>
            <w:pPr>
              <w:spacing w:line="276" w:lineRule="auto" w:before="0" w:after="0"/>
            </w:pPr>
            <w:r/>
            <w:r>
              <w:rPr>
                <w:rFonts w:ascii="Figtree" w:hAnsi="Figtree"/>
                <w:b w:val="0"/>
                <w:i w:val="0"/>
                <w:sz w:val="20"/>
              </w:rPr>
              <w:t>+$20,000-$40,000, extend Phase 4</w:t>
            </w:r>
          </w:p>
        </w:tc>
      </w:tr>
    </w:tbl>
    <w:p>
      <w:pPr>
        <w:spacing w:before="0" w:after="0" w:line="120" w:lineRule="exact"/>
      </w:pPr>
    </w:p>
    <w:p>
      <w:r>
        <w:br w:type="page"/>
      </w:r>
    </w:p>
    <w:p>
      <w:pPr>
        <w:pStyle w:val="H1"/>
        <w:numPr>
          <w:ilvl w:val="0"/>
          <w:numId w:val="1"/>
        </w:numPr>
      </w:pPr>
      <w:r>
        <w:t>7. Commercial Terms</w:t>
      </w:r>
    </w:p>
    <w:p>
      <w:pPr>
        <w:pStyle w:val="H2"/>
        <w:numPr>
          <w:ilvl w:val="1"/>
          <w:numId w:val="1"/>
        </w:numPr>
      </w:pPr>
      <w:r>
        <w:t>7.1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5"/>
        <w:gridCol w:w="60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Licence</w:t>
            </w:r>
          </w:p>
        </w:tc>
        <w:tc>
          <w:tcPr>
            <w:tcW w:type="dxa" w:w="4873"/>
            <w:vAlign w:val="center"/>
          </w:tcPr>
          <w:p>
            <w:pPr>
              <w:spacing w:line="276" w:lineRule="auto" w:before="0" w:after="0"/>
            </w:pPr>
            <w:r/>
            <w:r>
              <w:rPr>
                <w:rFonts w:ascii="Figtree" w:hAnsi="Figtree"/>
                <w:b w:val="0"/>
                <w:i w:val="0"/>
                <w:sz w:val="20"/>
              </w:rPr>
              <w:t>DALP software, managed SaaS service, IP boundaries</w:t>
            </w:r>
          </w:p>
        </w:tc>
      </w:tr>
      <w:tr>
        <w:trPr>
          <w:trHeight w:val="425" w:hRule="atLeast"/>
        </w:trPr>
        <w:tc>
          <w:tcPr>
            <w:tcW w:type="dxa" w:w="4873"/>
            <w:vAlign w:val="center"/>
          </w:tcPr>
          <w:p>
            <w:pPr>
              <w:spacing w:line="276" w:lineRule="auto" w:before="0" w:after="0"/>
            </w:pPr>
            <w:r/>
            <w:r>
              <w:rPr>
                <w:rFonts w:ascii="Figtree" w:hAnsi="Figtree"/>
                <w:b w:val="0"/>
                <w:i w:val="0"/>
                <w:sz w:val="20"/>
              </w:rPr>
              <w:t>Professional Services</w:t>
            </w:r>
          </w:p>
        </w:tc>
        <w:tc>
          <w:tcPr>
            <w:tcW w:type="dxa" w:w="4873"/>
            <w:vAlign w:val="center"/>
          </w:tcPr>
          <w:p>
            <w:pPr>
              <w:spacing w:line="276" w:lineRule="auto" w:before="0" w:after="0"/>
            </w:pPr>
            <w:r/>
            <w:r>
              <w:rPr>
                <w:rFonts w:ascii="Figtree" w:hAnsi="Figtree"/>
                <w:b w:val="0"/>
                <w:i w:val="0"/>
                <w:sz w:val="20"/>
              </w:rPr>
              <w:t>Implementation, training</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w:t>
            </w:r>
          </w:p>
        </w:tc>
        <w:tc>
          <w:tcPr>
            <w:tcW w:type="dxa" w:w="4873"/>
            <w:vAlign w:val="center"/>
          </w:tcPr>
          <w:p>
            <w:pPr>
              <w:spacing w:line="276" w:lineRule="auto" w:before="0" w:after="0"/>
            </w:pPr>
            <w:r/>
            <w:r>
              <w:rPr>
                <w:rFonts w:ascii="Figtree" w:hAnsi="Figtree"/>
                <w:b w:val="0"/>
                <w:i w:val="0"/>
                <w:sz w:val="20"/>
              </w:rPr>
              <w:t>Enterprise 24/7, SLA, service credits</w:t>
            </w:r>
          </w:p>
        </w:tc>
      </w:tr>
    </w:tbl>
    <w:p>
      <w:pPr>
        <w:spacing w:before="0" w:after="0" w:line="120" w:lineRule="exact"/>
      </w:pPr>
    </w:p>
    <w:p>
      <w:pPr>
        <w:pStyle w:val="H2"/>
        <w:numPr>
          <w:ilvl w:val="1"/>
          <w:numId w:val="1"/>
        </w:numPr>
      </w:pPr>
      <w:r>
        <w:t>7.2 Payment and Duration</w:t>
      </w:r>
    </w:p>
    <w:p>
      <w:pPr>
        <w:pStyle w:val="ListParagraph"/>
        <w:numPr>
          <w:ilvl w:val="0"/>
          <w:numId w:val="4"/>
        </w:numPr>
      </w:pPr>
      <w:r>
        <w:rPr>
          <w:rFonts w:ascii="Figtree" w:hAnsi="Figtree"/>
          <w:b/>
          <w:i w:val="0"/>
          <w:sz w:val="22"/>
        </w:rPr>
        <w:t>Licence term:</w:t>
      </w:r>
      <w:r>
        <w:rPr>
          <w:rFonts w:ascii="Figtree" w:hAnsi="Figtree"/>
          <w:b w:val="0"/>
          <w:i w:val="0"/>
          <w:sz w:val="22"/>
        </w:rPr>
        <w:t xml:space="preserve"> 3 years from contract execution</w:t>
      </w:r>
    </w:p>
    <w:p>
      <w:pPr>
        <w:pStyle w:val="ListParagraph"/>
        <w:numPr>
          <w:ilvl w:val="0"/>
          <w:numId w:val="4"/>
        </w:numPr>
      </w:pPr>
      <w:r>
        <w:rPr>
          <w:rFonts w:ascii="Figtree" w:hAnsi="Figtree"/>
          <w:b/>
          <w:i w:val="0"/>
          <w:sz w:val="22"/>
        </w:rPr>
        <w:t>Currency:</w:t>
      </w:r>
      <w:r>
        <w:rPr>
          <w:rFonts w:ascii="Figtree" w:hAnsi="Figtree"/>
          <w:b w:val="0"/>
          <w:i w:val="0"/>
          <w:sz w:val="22"/>
        </w:rPr>
        <w:t xml:space="preserve"> USD</w:t>
      </w:r>
    </w:p>
    <w:p>
      <w:pPr>
        <w:pStyle w:val="ListParagraph"/>
        <w:numPr>
          <w:ilvl w:val="0"/>
          <w:numId w:val="4"/>
        </w:numPr>
      </w:pPr>
      <w:r>
        <w:rPr>
          <w:rFonts w:ascii="Figtree" w:hAnsi="Figtree"/>
          <w:b/>
          <w:i w:val="0"/>
          <w:sz w:val="22"/>
        </w:rPr>
        <w:t>Payment:</w:t>
      </w:r>
      <w:r>
        <w:rPr>
          <w:rFonts w:ascii="Figtree" w:hAnsi="Figtree"/>
          <w:b w:val="0"/>
          <w:i w:val="0"/>
          <w:sz w:val="22"/>
        </w:rPr>
        <w:t xml:space="preserve"> Annual licence + support in advance; implementation milestone-based</w:t>
      </w:r>
    </w:p>
    <w:p>
      <w:pPr>
        <w:pStyle w:val="ListParagraph"/>
        <w:numPr>
          <w:ilvl w:val="0"/>
          <w:numId w:val="4"/>
        </w:numPr>
      </w:pPr>
      <w:r>
        <w:rPr>
          <w:rFonts w:ascii="Figtree" w:hAnsi="Figtree"/>
          <w:b/>
          <w:i w:val="0"/>
          <w:sz w:val="22"/>
        </w:rPr>
        <w:t>Multi-year discount:</w:t>
      </w:r>
      <w:r>
        <w:rPr>
          <w:rFonts w:ascii="Figtree" w:hAnsi="Figtree"/>
          <w:b w:val="0"/>
          <w:i w:val="0"/>
          <w:sz w:val="22"/>
        </w:rPr>
        <w:t xml:space="preserve"> 10% on licence fees ($144,000 total saving)</w:t>
      </w:r>
    </w:p>
    <w:p>
      <w:pPr>
        <w:pStyle w:val="H2"/>
        <w:numPr>
          <w:ilvl w:val="1"/>
          <w:numId w:val="1"/>
        </w:numPr>
      </w:pPr>
      <w:r>
        <w:t>7.3 Key Terms</w:t>
      </w:r>
    </w:p>
    <w:p>
      <w:pPr>
        <w:pStyle w:val="ListParagraph"/>
        <w:numPr>
          <w:ilvl w:val="0"/>
          <w:numId w:val="4"/>
        </w:numPr>
      </w:pPr>
      <w:r>
        <w:rPr>
          <w:rFonts w:ascii="Figtree" w:hAnsi="Figtree"/>
          <w:b/>
          <w:i w:val="0"/>
          <w:sz w:val="22"/>
        </w:rPr>
        <w:t>IP:</w:t>
      </w:r>
      <w:r>
        <w:rPr>
          <w:rFonts w:ascii="Figtree" w:hAnsi="Figtree"/>
          <w:b w:val="0"/>
          <w:i w:val="0"/>
          <w:sz w:val="22"/>
        </w:rPr>
        <w:t xml:space="preserve"> DALP platform remains SettleMint's. Chipper Cash's settlement records and configurations remain Chipper Cash's.</w:t>
      </w:r>
    </w:p>
    <w:p>
      <w:pPr>
        <w:pStyle w:val="ListParagraph"/>
        <w:numPr>
          <w:ilvl w:val="0"/>
          <w:numId w:val="4"/>
        </w:numPr>
      </w:pPr>
      <w:r>
        <w:rPr>
          <w:rFonts w:ascii="Figtree" w:hAnsi="Figtree"/>
          <w:b/>
          <w:i w:val="0"/>
          <w:sz w:val="22"/>
        </w:rPr>
        <w:t>Liability:</w:t>
      </w:r>
      <w:r>
        <w:rPr>
          <w:rFonts w:ascii="Figtree" w:hAnsi="Figtree"/>
          <w:b w:val="0"/>
          <w:i w:val="0"/>
          <w:sz w:val="22"/>
        </w:rPr>
        <w:t xml:space="preserve"> Capped at 12 months of licence fees.</w:t>
      </w:r>
    </w:p>
    <w:p>
      <w:pPr>
        <w:pStyle w:val="ListParagraph"/>
        <w:numPr>
          <w:ilvl w:val="0"/>
          <w:numId w:val="4"/>
        </w:numPr>
      </w:pPr>
      <w:r>
        <w:rPr>
          <w:rFonts w:ascii="Figtree" w:hAnsi="Figtree"/>
          <w:b/>
          <w:i w:val="0"/>
          <w:sz w:val="22"/>
        </w:rPr>
        <w:t>Confidentiality:</w:t>
      </w:r>
      <w:r>
        <w:rPr>
          <w:rFonts w:ascii="Figtree" w:hAnsi="Figtree"/>
          <w:b w:val="0"/>
          <w:i w:val="0"/>
          <w:sz w:val="22"/>
        </w:rPr>
        <w:t xml:space="preserve"> Mutual, 3 years post-term.</w:t>
      </w:r>
    </w:p>
    <w:p>
      <w:pPr>
        <w:pStyle w:val="ListParagraph"/>
        <w:numPr>
          <w:ilvl w:val="0"/>
          <w:numId w:val="4"/>
        </w:numPr>
      </w:pPr>
      <w:r>
        <w:rPr>
          <w:rFonts w:ascii="Figtree" w:hAnsi="Figtree"/>
          <w:b/>
          <w:i w:val="0"/>
          <w:sz w:val="22"/>
        </w:rPr>
        <w:t>Termination for cause:</w:t>
      </w:r>
      <w:r>
        <w:rPr>
          <w:rFonts w:ascii="Figtree" w:hAnsi="Figtree"/>
          <w:b w:val="0"/>
          <w:i w:val="0"/>
          <w:sz w:val="22"/>
        </w:rPr>
        <w:t xml:space="preserve"> 30-day cure period; data export 90-day window.</w:t>
      </w:r>
    </w:p>
    <w:p>
      <w:pPr>
        <w:pStyle w:val="ListParagraph"/>
        <w:numPr>
          <w:ilvl w:val="0"/>
          <w:numId w:val="4"/>
        </w:numPr>
      </w:pPr>
      <w:r>
        <w:rPr>
          <w:rFonts w:ascii="Figtree" w:hAnsi="Figtree"/>
          <w:b/>
          <w:i w:val="0"/>
          <w:sz w:val="22"/>
        </w:rPr>
        <w:t>New corridors:</w:t>
      </w:r>
      <w:r>
        <w:rPr>
          <w:rFonts w:ascii="Figtree" w:hAnsi="Figtree"/>
          <w:b w:val="0"/>
          <w:i w:val="0"/>
          <w:sz w:val="22"/>
        </w:rPr>
        <w:t xml:space="preserve"> Adding new corridors within the licence term requires no additional licence or commercial amendment — it is a configuration activity.</w:t>
      </w:r>
    </w:p>
    <w:p>
      <w:pPr>
        <w:pStyle w:val="ListParagraph"/>
        <w:numPr>
          <w:ilvl w:val="0"/>
          <w:numId w:val="4"/>
        </w:numPr>
      </w:pPr>
      <w:r>
        <w:rPr>
          <w:rFonts w:ascii="Figtree" w:hAnsi="Figtree"/>
          <w:b/>
          <w:i w:val="0"/>
          <w:sz w:val="22"/>
        </w:rPr>
        <w:t>PAPSS integration:</w:t>
      </w:r>
      <w:r>
        <w:rPr>
          <w:rFonts w:ascii="Figtree" w:hAnsi="Figtree"/>
          <w:b w:val="0"/>
          <w:i w:val="0"/>
          <w:sz w:val="22"/>
        </w:rPr>
        <w:t xml:space="preserve"> If PAPSS integration is required before Phase 2, it can be incorporated into Phase 4 for an additional services fee (see Section 6.3).</w:t>
      </w:r>
    </w:p>
    <w:p>
      <w:r>
        <w:br w:type="page"/>
      </w:r>
    </w:p>
    <w:p>
      <w:pPr>
        <w:pStyle w:val="H1"/>
        <w:numPr>
          <w:ilvl w:val="0"/>
          <w:numId w:val="1"/>
        </w:numPr>
      </w:pPr>
      <w:r>
        <w:t>8. Total Cost of Ownership</w:t>
      </w:r>
    </w:p>
    <w:p>
      <w:pPr>
        <w:pStyle w:val="H2"/>
        <w:numPr>
          <w:ilvl w:val="1"/>
          <w:numId w:val="1"/>
        </w:numPr>
      </w:pPr>
      <w:r>
        <w:t>8.1 Three-Year TCO — DALP vs Build vs Multi-Vendor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8"/>
        <w:gridCol w:w="1713"/>
        <w:gridCol w:w="2520"/>
        <w:gridCol w:w="25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Managed SaaS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$824,000</w:t>
            </w:r>
          </w:p>
        </w:tc>
        <w:tc>
          <w:tcPr>
            <w:tcW w:type="dxa" w:w="2436"/>
            <w:vAlign w:val="center"/>
          </w:tcPr>
          <w:p>
            <w:pPr>
              <w:spacing w:line="276" w:lineRule="auto" w:before="0" w:after="0"/>
            </w:pPr>
            <w:r/>
            <w:r>
              <w:rPr>
                <w:rFonts w:ascii="Figtree" w:hAnsi="Figtree"/>
                <w:b w:val="0"/>
                <w:i w:val="0"/>
                <w:sz w:val="20"/>
              </w:rPr>
              <w:t>$2,800,000-$4,200,000</w:t>
            </w:r>
          </w:p>
        </w:tc>
        <w:tc>
          <w:tcPr>
            <w:tcW w:type="dxa" w:w="2436"/>
            <w:vAlign w:val="center"/>
          </w:tcPr>
          <w:p>
            <w:pPr>
              <w:spacing w:line="276" w:lineRule="auto" w:before="0" w:after="0"/>
            </w:pPr>
            <w:r/>
            <w:r>
              <w:rPr>
                <w:rFonts w:ascii="Figtree" w:hAnsi="Figtree"/>
                <w:b w:val="0"/>
                <w:i w:val="0"/>
                <w:sz w:val="20"/>
              </w:rPr>
              <w:t>$1,800,000-$2,800,000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$1,200,000-$1,800,000</w:t>
            </w:r>
          </w:p>
        </w:tc>
        <w:tc>
          <w:tcPr>
            <w:tcW w:type="dxa" w:w="2436"/>
            <w:vAlign w:val="center"/>
          </w:tcPr>
          <w:p>
            <w:pPr>
              <w:spacing w:line="276" w:lineRule="auto" w:before="0" w:after="0"/>
            </w:pPr>
            <w:r/>
            <w:r>
              <w:rPr>
                <w:rFonts w:ascii="Figtree" w:hAnsi="Figtree"/>
                <w:b w:val="0"/>
                <w:i w:val="0"/>
                <w:sz w:val="20"/>
              </w:rPr>
              <w:t>$1,200,000-$1,800,000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$634,000</w:t>
            </w:r>
          </w:p>
        </w:tc>
        <w:tc>
          <w:tcPr>
            <w:tcW w:type="dxa" w:w="2436"/>
            <w:vAlign w:val="center"/>
          </w:tcPr>
          <w:p>
            <w:pPr>
              <w:spacing w:line="276" w:lineRule="auto" w:before="0" w:after="0"/>
            </w:pPr>
            <w:r/>
            <w:r>
              <w:rPr>
                <w:rFonts w:ascii="Figtree" w:hAnsi="Figtree"/>
                <w:b w:val="0"/>
                <w:i w:val="0"/>
                <w:sz w:val="20"/>
              </w:rPr>
              <w:t>$1,200,000-$1,800,000</w:t>
            </w:r>
          </w:p>
        </w:tc>
        <w:tc>
          <w:tcPr>
            <w:tcW w:type="dxa" w:w="2436"/>
            <w:vAlign w:val="center"/>
          </w:tcPr>
          <w:p>
            <w:pPr>
              <w:spacing w:line="276" w:lineRule="auto" w:before="0" w:after="0"/>
            </w:pPr>
            <w:r/>
            <w:r>
              <w:rPr>
                <w:rFonts w:ascii="Figtree" w:hAnsi="Figtree"/>
                <w:b w:val="0"/>
                <w:i w:val="0"/>
                <w:sz w:val="20"/>
              </w:rPr>
              <w:t>$1,200,000-$1,800,000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$2,082,000</w:t>
            </w:r>
          </w:p>
        </w:tc>
        <w:tc>
          <w:tcPr>
            <w:tcW w:type="dxa" w:w="2436"/>
            <w:vAlign w:val="center"/>
          </w:tcPr>
          <w:p>
            <w:pPr>
              <w:spacing w:line="276" w:lineRule="auto" w:before="0" w:after="0"/>
            </w:pPr>
            <w:r/>
            <w:r>
              <w:rPr>
                <w:rFonts w:ascii="Figtree" w:hAnsi="Figtree"/>
                <w:b/>
                <w:i w:val="0"/>
                <w:sz w:val="20"/>
              </w:rPr>
              <w:t>$5,200,000-$7,800,000</w:t>
            </w:r>
          </w:p>
        </w:tc>
        <w:tc>
          <w:tcPr>
            <w:tcW w:type="dxa" w:w="2436"/>
            <w:vAlign w:val="center"/>
          </w:tcPr>
          <w:p>
            <w:pPr>
              <w:spacing w:line="276" w:lineRule="auto" w:before="0" w:after="0"/>
            </w:pPr>
            <w:r/>
            <w:r>
              <w:rPr>
                <w:rFonts w:ascii="Figtree" w:hAnsi="Figtree"/>
                <w:b/>
                <w:i w:val="0"/>
                <w:sz w:val="20"/>
              </w:rPr>
              <w:t>$4,200,000-$6,400,000</w:t>
            </w:r>
          </w:p>
        </w:tc>
      </w:tr>
      <w:tr>
        <w:trPr>
          <w:trHeight w:val="425" w:hRule="atLeast"/>
        </w:trPr>
        <w:tc>
          <w:tcPr>
            <w:tcW w:type="dxa" w:w="2436"/>
            <w:vAlign w:val="center"/>
          </w:tcPr>
          <w:p>
            <w:pPr>
              <w:spacing w:line="276" w:lineRule="auto" w:before="0" w:after="0"/>
            </w:pPr>
            <w:r/>
            <w:r>
              <w:rPr>
                <w:rFonts w:ascii="Figtree" w:hAnsi="Figtree"/>
                <w:b w:val="0"/>
                <w:i w:val="0"/>
                <w:sz w:val="20"/>
              </w:rPr>
              <w:t>Time to 6 corridors</w:t>
            </w:r>
          </w:p>
        </w:tc>
        <w:tc>
          <w:tcPr>
            <w:tcW w:type="dxa" w:w="2436"/>
            <w:vAlign w:val="center"/>
          </w:tcPr>
          <w:p>
            <w:pPr>
              <w:spacing w:line="276" w:lineRule="auto" w:before="0" w:after="0"/>
            </w:pPr>
            <w:r/>
            <w:r>
              <w:rPr>
                <w:rFonts w:ascii="Figtree" w:hAnsi="Figtree"/>
                <w:b w:val="0"/>
                <w:i w:val="0"/>
                <w:sz w:val="20"/>
              </w:rPr>
              <w:t>16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New corridor add</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3-6 months (dev)</w:t>
            </w:r>
          </w:p>
        </w:tc>
        <w:tc>
          <w:tcPr>
            <w:tcW w:type="dxa" w:w="2436"/>
            <w:vAlign w:val="center"/>
          </w:tcPr>
          <w:p>
            <w:pPr>
              <w:spacing w:line="276" w:lineRule="auto" w:before="0" w:after="0"/>
            </w:pPr>
            <w:r/>
            <w:r>
              <w:rPr>
                <w:rFonts w:ascii="Figtree" w:hAnsi="Figtree"/>
                <w:b w:val="0"/>
                <w:i w:val="0"/>
                <w:sz w:val="20"/>
              </w:rPr>
              <w:t>2-4 months</w:t>
            </w:r>
          </w:p>
        </w:tc>
      </w:tr>
      <w:tr>
        <w:trPr>
          <w:trHeight w:val="425" w:hRule="atLeast"/>
        </w:trPr>
        <w:tc>
          <w:tcPr>
            <w:tcW w:type="dxa" w:w="2436"/>
            <w:vAlign w:val="center"/>
          </w:tcPr>
          <w:p>
            <w:pPr>
              <w:spacing w:line="276" w:lineRule="auto" w:before="0" w:after="0"/>
            </w:pPr>
            <w:r/>
            <w:r>
              <w:rPr>
                <w:rFonts w:ascii="Figtree" w:hAnsi="Figtree"/>
                <w:b w:val="0"/>
                <w:i w:val="0"/>
                <w:sz w:val="20"/>
              </w:rPr>
              <w:t>PAPSS readiness</w:t>
            </w:r>
          </w:p>
        </w:tc>
        <w:tc>
          <w:tcPr>
            <w:tcW w:type="dxa" w:w="2436"/>
            <w:vAlign w:val="center"/>
          </w:tcPr>
          <w:p>
            <w:pPr>
              <w:spacing w:line="276" w:lineRule="auto" w:before="0" w:after="0"/>
            </w:pPr>
            <w:r/>
            <w:r>
              <w:rPr>
                <w:rFonts w:ascii="Figtree" w:hAnsi="Figtree"/>
                <w:b w:val="0"/>
                <w:i w:val="0"/>
                <w:sz w:val="20"/>
              </w:rPr>
              <w:t>Phase 2 extension</w:t>
            </w:r>
          </w:p>
        </w:tc>
        <w:tc>
          <w:tcPr>
            <w:tcW w:type="dxa" w:w="2436"/>
            <w:vAlign w:val="center"/>
          </w:tcPr>
          <w:p>
            <w:pPr>
              <w:spacing w:line="276" w:lineRule="auto" w:before="0" w:after="0"/>
            </w:pPr>
            <w:r/>
            <w:r>
              <w:rPr>
                <w:rFonts w:ascii="Figtree" w:hAnsi="Figtree"/>
                <w:b w:val="0"/>
                <w:i w:val="0"/>
                <w:sz w:val="20"/>
              </w:rPr>
              <w:t>Requires development</w:t>
            </w:r>
          </w:p>
        </w:tc>
        <w:tc>
          <w:tcPr>
            <w:tcW w:type="dxa" w:w="2436"/>
            <w:vAlign w:val="center"/>
          </w:tcPr>
          <w:p>
            <w:pPr>
              <w:spacing w:line="276" w:lineRule="auto" w:before="0" w:after="0"/>
            </w:pPr>
            <w:r/>
            <w:r>
              <w:rPr>
                <w:rFonts w:ascii="Figtree" w:hAnsi="Figtree"/>
                <w:b w:val="0"/>
                <w:i w:val="0"/>
                <w:sz w:val="20"/>
              </w:rPr>
              <w:t>Uncertain</w:t>
            </w:r>
          </w:p>
        </w:tc>
      </w:tr>
      <w:tr>
        <w:trPr>
          <w:trHeight w:val="425" w:hRule="atLeast"/>
        </w:trPr>
        <w:tc>
          <w:tcPr>
            <w:tcW w:type="dxa" w:w="2436"/>
            <w:vAlign w:val="center"/>
          </w:tcPr>
          <w:p>
            <w:pPr>
              <w:spacing w:line="276" w:lineRule="auto" w:before="0" w:after="0"/>
            </w:pPr>
            <w:r/>
            <w:r>
              <w:rPr>
                <w:rFonts w:ascii="Figtree" w:hAnsi="Figtree"/>
                <w:b w:val="0"/>
                <w:i w:val="0"/>
                <w:sz w:val="20"/>
              </w:rPr>
              <w:t>Per-corridor compliance</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Code + legal</w:t>
            </w:r>
          </w:p>
        </w:tc>
        <w:tc>
          <w:tcPr>
            <w:tcW w:type="dxa" w:w="2436"/>
            <w:vAlign w:val="center"/>
          </w:tcPr>
          <w:p>
            <w:pPr>
              <w:spacing w:line="276" w:lineRule="auto" w:before="0" w:after="0"/>
            </w:pPr>
            <w:r/>
            <w:r>
              <w:rPr>
                <w:rFonts w:ascii="Figtree" w:hAnsi="Figtree"/>
                <w:b w:val="0"/>
                <w:i w:val="0"/>
                <w:sz w:val="20"/>
              </w:rPr>
              <w:t>Multiple vendor patches</w:t>
            </w:r>
          </w:p>
        </w:tc>
      </w:tr>
    </w:tbl>
    <w:p>
      <w:pPr>
        <w:spacing w:before="0" w:after="0" w:line="120" w:lineRule="exact"/>
      </w:pPr>
    </w:p>
    <w:p>
      <w:pPr>
        <w:pStyle w:val="H2"/>
        <w:numPr>
          <w:ilvl w:val="1"/>
          <w:numId w:val="1"/>
        </w:numPr>
      </w:pPr>
      <w:r>
        <w:t>8.2 Five-Year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3342"/>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$824,000</w:t>
            </w:r>
          </w:p>
        </w:tc>
        <w:tc>
          <w:tcPr>
            <w:tcW w:type="dxa" w:w="3249"/>
            <w:vAlign w:val="center"/>
          </w:tcPr>
          <w:p>
            <w:pPr>
              <w:spacing w:line="276" w:lineRule="auto" w:before="0" w:after="0"/>
            </w:pPr>
            <w:r/>
            <w:r>
              <w:rPr>
                <w:rFonts w:ascii="Figtree" w:hAnsi="Figtree"/>
                <w:b w:val="0"/>
                <w:i w:val="0"/>
                <w:sz w:val="20"/>
              </w:rPr>
              <w:t>$3,500,000</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$624,000</w:t>
            </w:r>
          </w:p>
        </w:tc>
        <w:tc>
          <w:tcPr>
            <w:tcW w:type="dxa" w:w="3249"/>
            <w:vAlign w:val="center"/>
          </w:tcPr>
          <w:p>
            <w:pPr>
              <w:spacing w:line="276" w:lineRule="auto" w:before="0" w:after="0"/>
            </w:pPr>
            <w:r/>
            <w:r>
              <w:rPr>
                <w:rFonts w:ascii="Figtree" w:hAnsi="Figtree"/>
                <w:b w:val="0"/>
                <w:i w:val="0"/>
                <w:sz w:val="20"/>
              </w:rPr>
              <w:t>$1,400,000</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$1,500,000</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$1,600,000</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$1,700,000</w:t>
            </w:r>
          </w:p>
        </w:tc>
      </w:tr>
      <w:tr>
        <w:trPr>
          <w:trHeight w:val="425" w:hRule="atLeast"/>
        </w:trPr>
        <w:tc>
          <w:tcPr>
            <w:tcW w:type="dxa" w:w="3249"/>
            <w:vAlign w:val="center"/>
          </w:tcPr>
          <w:p>
            <w:pPr>
              <w:spacing w:line="276" w:lineRule="auto" w:before="0" w:after="0"/>
            </w:pPr>
            <w:r/>
            <w:r>
              <w:rPr>
                <w:rFonts w:ascii="Figtree" w:hAnsi="Figtree"/>
                <w:b/>
                <w:i w:val="0"/>
                <w:sz w:val="20"/>
              </w:rPr>
              <w:t>5-Year</w:t>
            </w:r>
          </w:p>
        </w:tc>
        <w:tc>
          <w:tcPr>
            <w:tcW w:type="dxa" w:w="3249"/>
            <w:vAlign w:val="center"/>
          </w:tcPr>
          <w:p>
            <w:pPr>
              <w:spacing w:line="276" w:lineRule="auto" w:before="0" w:after="0"/>
            </w:pPr>
            <w:r/>
            <w:r>
              <w:rPr>
                <w:rFonts w:ascii="Figtree" w:hAnsi="Figtree"/>
                <w:b/>
                <w:i w:val="0"/>
                <w:sz w:val="20"/>
              </w:rPr>
              <w:t>$3,350,000</w:t>
            </w:r>
          </w:p>
        </w:tc>
        <w:tc>
          <w:tcPr>
            <w:tcW w:type="dxa" w:w="3249"/>
            <w:vAlign w:val="center"/>
          </w:tcPr>
          <w:p>
            <w:pPr>
              <w:spacing w:line="276" w:lineRule="auto" w:before="0" w:after="0"/>
            </w:pPr>
            <w:r/>
            <w:r>
              <w:rPr>
                <w:rFonts w:ascii="Figtree" w:hAnsi="Figtree"/>
                <w:b/>
                <w:i w:val="0"/>
                <w:sz w:val="20"/>
              </w:rPr>
              <w:t>$9,700,000</w:t>
            </w:r>
          </w:p>
        </w:tc>
      </w:tr>
    </w:tbl>
    <w:p>
      <w:pPr>
        <w:spacing w:before="0" w:after="0" w:line="120" w:lineRule="exact"/>
      </w:pPr>
    </w:p>
    <w:p>
      <w:r>
        <w:rPr>
          <w:rFonts w:ascii="Figtree" w:hAnsi="Figtree"/>
          <w:b w:val="0"/>
          <w:i w:val="0"/>
          <w:sz w:val="22"/>
        </w:rPr>
        <w:t>5-year DALP advantage: $6,350,000 vs internal build; $5,200,000+ vs multi-vendor. The managed SaaS infrastructure inclusion is a major contributor — no separate cloud cost across 5 years.</w:t>
      </w:r>
    </w:p>
    <w:p>
      <w:r>
        <w:br w:type="page"/>
      </w:r>
    </w:p>
    <w:p>
      <w:pPr>
        <w:pStyle w:val="H1"/>
        <w:numPr>
          <w:ilvl w:val="0"/>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5"/>
        <w:gridCol w:w="2349"/>
        <w:gridCol w:w="46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Chipper Cash</w:t>
            </w:r>
          </w:p>
        </w:tc>
      </w:tr>
      <w:tr>
        <w:trPr>
          <w:trHeight w:val="425" w:hRule="atLeast"/>
        </w:trPr>
        <w:tc>
          <w:tcPr>
            <w:tcW w:type="dxa" w:w="3249"/>
            <w:vAlign w:val="center"/>
          </w:tcPr>
          <w:p>
            <w:pPr>
              <w:spacing w:line="276" w:lineRule="auto" w:before="0" w:after="0"/>
            </w:pPr>
            <w:r/>
            <w:r>
              <w:rPr>
                <w:rFonts w:ascii="Figtree" w:hAnsi="Figtree"/>
                <w:b w:val="0"/>
                <w:i w:val="0"/>
                <w:sz w:val="20"/>
              </w:rPr>
              <w:t>Standard Bank Africa</w:t>
            </w:r>
          </w:p>
        </w:tc>
        <w:tc>
          <w:tcPr>
            <w:tcW w:type="dxa" w:w="3249"/>
            <w:vAlign w:val="center"/>
          </w:tcPr>
          <w:p>
            <w:pPr>
              <w:spacing w:line="276" w:lineRule="auto" w:before="0" w:after="0"/>
            </w:pPr>
            <w:r/>
            <w:r>
              <w:rPr>
                <w:rFonts w:ascii="Figtree" w:hAnsi="Figtree"/>
                <w:b w:val="0"/>
                <w:i w:val="0"/>
                <w:sz w:val="20"/>
              </w:rPr>
              <w:t>Pan-African digital payments</w:t>
            </w:r>
          </w:p>
        </w:tc>
        <w:tc>
          <w:tcPr>
            <w:tcW w:type="dxa" w:w="3249"/>
            <w:vAlign w:val="center"/>
          </w:tcPr>
          <w:p>
            <w:pPr>
              <w:spacing w:line="276" w:lineRule="auto" w:before="0" w:after="0"/>
            </w:pPr>
            <w:r/>
            <w:r>
              <w:rPr>
                <w:rFonts w:ascii="Figtree" w:hAnsi="Figtree"/>
                <w:b w:val="0"/>
                <w:i w:val="0"/>
                <w:sz w:val="20"/>
              </w:rPr>
              <w:t>Multi-corridor African market, local regulatory experience</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 Africa</w:t>
            </w:r>
          </w:p>
        </w:tc>
        <w:tc>
          <w:tcPr>
            <w:tcW w:type="dxa" w:w="3249"/>
            <w:vAlign w:val="center"/>
          </w:tcPr>
          <w:p>
            <w:pPr>
              <w:spacing w:line="276" w:lineRule="auto" w:before="0" w:after="0"/>
            </w:pPr>
            <w:r/>
            <w:r>
              <w:rPr>
                <w:rFonts w:ascii="Figtree" w:hAnsi="Figtree"/>
                <w:b w:val="0"/>
                <w:i w:val="0"/>
                <w:sz w:val="20"/>
              </w:rPr>
              <w:t>Cross-border digital assets</w:t>
            </w:r>
          </w:p>
        </w:tc>
        <w:tc>
          <w:tcPr>
            <w:tcW w:type="dxa" w:w="3249"/>
            <w:vAlign w:val="center"/>
          </w:tcPr>
          <w:p>
            <w:pPr>
              <w:spacing w:line="276" w:lineRule="auto" w:before="0" w:after="0"/>
            </w:pPr>
            <w:r/>
            <w:r>
              <w:rPr>
                <w:rFonts w:ascii="Figtree" w:hAnsi="Figtree"/>
                <w:b w:val="0"/>
                <w:i w:val="0"/>
                <w:sz w:val="20"/>
              </w:rPr>
              <w:t>Multi-jurisdiction AML/CFT, African corridor management</w:t>
            </w:r>
          </w:p>
        </w:tc>
      </w:tr>
      <w:tr>
        <w:trPr>
          <w:trHeight w:val="425" w:hRule="atLeast"/>
        </w:trPr>
        <w:tc>
          <w:tcPr>
            <w:tcW w:type="dxa" w:w="3249"/>
            <w:vAlign w:val="center"/>
          </w:tcPr>
          <w:p>
            <w:pPr>
              <w:spacing w:line="276" w:lineRule="auto" w:before="0" w:after="0"/>
            </w:pPr>
            <w:r/>
            <w:r>
              <w:rPr>
                <w:rFonts w:ascii="Figtree" w:hAnsi="Figtree"/>
                <w:b w:val="0"/>
                <w:i w:val="0"/>
                <w:sz w:val="20"/>
              </w:rPr>
              <w:t>Walmart/GoHenry context</w:t>
            </w:r>
          </w:p>
        </w:tc>
        <w:tc>
          <w:tcPr>
            <w:tcW w:type="dxa" w:w="3249"/>
            <w:vAlign w:val="center"/>
          </w:tcPr>
          <w:p>
            <w:pPr>
              <w:spacing w:line="276" w:lineRule="auto" w:before="0" w:after="0"/>
            </w:pPr>
            <w:r/>
            <w:r>
              <w:rPr>
                <w:rFonts w:ascii="Figtree" w:hAnsi="Figtree"/>
                <w:b w:val="0"/>
                <w:i w:val="0"/>
                <w:sz w:val="20"/>
              </w:rPr>
              <w:t>Consumer fintech + compliance</w:t>
            </w:r>
          </w:p>
        </w:tc>
        <w:tc>
          <w:tcPr>
            <w:tcW w:type="dxa" w:w="3249"/>
            <w:vAlign w:val="center"/>
          </w:tcPr>
          <w:p>
            <w:pPr>
              <w:spacing w:line="276" w:lineRule="auto" w:before="0" w:after="0"/>
            </w:pPr>
            <w:r/>
            <w:r>
              <w:rPr>
                <w:rFonts w:ascii="Figtree" w:hAnsi="Figtree"/>
                <w:b w:val="0"/>
                <w:i w:val="0"/>
                <w:sz w:val="20"/>
              </w:rPr>
              <w:t>High-volume consumer financial platform</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CBDC settlement</w:t>
            </w:r>
          </w:p>
        </w:tc>
        <w:tc>
          <w:tcPr>
            <w:tcW w:type="dxa" w:w="3249"/>
            <w:vAlign w:val="center"/>
          </w:tcPr>
          <w:p>
            <w:pPr>
              <w:spacing w:line="276" w:lineRule="auto" w:before="0" w:after="0"/>
            </w:pPr>
            <w:r/>
            <w:r>
              <w:rPr>
                <w:rFonts w:ascii="Figtree" w:hAnsi="Figtree"/>
                <w:b w:val="0"/>
                <w:i w:val="0"/>
                <w:sz w:val="20"/>
              </w:rPr>
              <w:t>Settlement determinism; compliance enforcement model</w:t>
            </w:r>
          </w:p>
        </w:tc>
      </w:tr>
      <w:tr>
        <w:trPr>
          <w:trHeight w:val="425" w:hRule="atLeast"/>
        </w:trPr>
        <w:tc>
          <w:tcPr>
            <w:tcW w:type="dxa" w:w="3249"/>
            <w:vAlign w:val="center"/>
          </w:tcPr>
          <w:p>
            <w:pPr>
              <w:spacing w:line="276" w:lineRule="auto" w:before="0" w:after="0"/>
            </w:pPr>
            <w:r/>
            <w:r>
              <w:rPr>
                <w:rFonts w:ascii="Figtree" w:hAnsi="Figtree"/>
                <w:b w:val="0"/>
                <w:i w:val="0"/>
                <w:sz w:val="20"/>
              </w:rPr>
              <w:t>NGEX Digital Post-Trade</w:t>
            </w:r>
          </w:p>
        </w:tc>
        <w:tc>
          <w:tcPr>
            <w:tcW w:type="dxa" w:w="3249"/>
            <w:vAlign w:val="center"/>
          </w:tcPr>
          <w:p>
            <w:pPr>
              <w:spacing w:line="276" w:lineRule="auto" w:before="0" w:after="0"/>
            </w:pPr>
            <w:r/>
            <w:r>
              <w:rPr>
                <w:rFonts w:ascii="Figtree" w:hAnsi="Figtree"/>
                <w:b w:val="0"/>
                <w:i w:val="0"/>
                <w:sz w:val="20"/>
              </w:rPr>
              <w:t>Settlement infrastructure</w:t>
            </w:r>
          </w:p>
        </w:tc>
        <w:tc>
          <w:tcPr>
            <w:tcW w:type="dxa" w:w="3249"/>
            <w:vAlign w:val="center"/>
          </w:tcPr>
          <w:p>
            <w:pPr>
              <w:spacing w:line="276" w:lineRule="auto" w:before="0" w:after="0"/>
            </w:pPr>
            <w:r/>
            <w:r>
              <w:rPr>
                <w:rFonts w:ascii="Figtree" w:hAnsi="Figtree"/>
                <w:b w:val="0"/>
                <w:i w:val="0"/>
                <w:sz w:val="20"/>
              </w:rPr>
              <w:t>DvP patterns applicable to corridor settlement</w:t>
            </w:r>
          </w:p>
        </w:tc>
      </w:tr>
    </w:tbl>
    <w:p>
      <w:pPr>
        <w:spacing w:before="0" w:after="0" w:line="120" w:lineRule="exact"/>
      </w:pPr>
    </w:p>
    <w:p>
      <w:r>
        <w:br w:type="page"/>
      </w:r>
    </w:p>
    <w:p>
      <w:pPr>
        <w:pStyle w:val="H1"/>
        <w:numPr>
          <w:ilvl w:val="0"/>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6"/>
        <w:gridCol w:w="3366"/>
        <w:gridCol w:w="23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Commercial acknowledgment</w:t>
            </w:r>
          </w:p>
        </w:tc>
        <w:tc>
          <w:tcPr>
            <w:tcW w:type="dxa" w:w="3249"/>
            <w:vAlign w:val="center"/>
          </w:tcPr>
          <w:p>
            <w:pPr>
              <w:spacing w:line="276" w:lineRule="auto" w:before="0" w:after="0"/>
            </w:pPr>
            <w:r/>
            <w:r>
              <w:rPr>
                <w:rFonts w:ascii="Figtree" w:hAnsi="Figtree"/>
                <w:b w:val="0"/>
                <w:i w:val="0"/>
                <w:sz w:val="20"/>
              </w:rPr>
              <w:t>Chipper Cash Procurement</w:t>
            </w:r>
          </w:p>
        </w:tc>
        <w:tc>
          <w:tcPr>
            <w:tcW w:type="dxa" w:w="3249"/>
            <w:vAlign w:val="center"/>
          </w:tcPr>
          <w:p>
            <w:pPr>
              <w:spacing w:line="276" w:lineRule="auto" w:before="0" w:after="0"/>
            </w:pPr>
            <w:r/>
            <w:r>
              <w:rPr>
                <w:rFonts w:ascii="Figtree" w:hAnsi="Figtree"/>
                <w:b w:val="0"/>
                <w:i w:val="0"/>
                <w:sz w:val="20"/>
              </w:rPr>
              <w:t>Week 1</w:t>
            </w:r>
          </w:p>
        </w:tc>
      </w:tr>
      <w:tr>
        <w:trPr>
          <w:trHeight w:val="425" w:hRule="atLeast"/>
        </w:trPr>
        <w:tc>
          <w:tcPr>
            <w:tcW w:type="dxa" w:w="3249"/>
            <w:vAlign w:val="center"/>
          </w:tcPr>
          <w:p>
            <w:pPr>
              <w:spacing w:line="276" w:lineRule="auto" w:before="0" w:after="0"/>
            </w:pPr>
            <w:r/>
            <w:r>
              <w:rPr>
                <w:rFonts w:ascii="Figtree" w:hAnsi="Figtree"/>
                <w:b w:val="0"/>
                <w:i w:val="0"/>
                <w:sz w:val="20"/>
              </w:rPr>
              <w:t>Technical presentation</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2</w:t>
            </w:r>
          </w:p>
        </w:tc>
      </w:tr>
      <w:tr>
        <w:trPr>
          <w:trHeight w:val="425" w:hRule="atLeast"/>
        </w:trPr>
        <w:tc>
          <w:tcPr>
            <w:tcW w:type="dxa" w:w="3249"/>
            <w:vAlign w:val="center"/>
          </w:tcPr>
          <w:p>
            <w:pPr>
              <w:spacing w:line="276" w:lineRule="auto" w:before="0" w:after="0"/>
            </w:pPr>
            <w:r/>
            <w:r>
              <w:rPr>
                <w:rFonts w:ascii="Figtree" w:hAnsi="Figtree"/>
                <w:b w:val="0"/>
                <w:i w:val="0"/>
                <w:sz w:val="20"/>
              </w:rPr>
              <w:t>Corridor ROI workshop</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2-3</w:t>
            </w:r>
          </w:p>
        </w:tc>
      </w:tr>
      <w:tr>
        <w:trPr>
          <w:trHeight w:val="425" w:hRule="atLeast"/>
        </w:trPr>
        <w:tc>
          <w:tcPr>
            <w:tcW w:type="dxa" w:w="3249"/>
            <w:vAlign w:val="center"/>
          </w:tcPr>
          <w:p>
            <w:pPr>
              <w:spacing w:line="276" w:lineRule="auto" w:before="0" w:after="0"/>
            </w:pPr>
            <w:r/>
            <w:r>
              <w:rPr>
                <w:rFonts w:ascii="Figtree" w:hAnsi="Figtree"/>
                <w:b w:val="0"/>
                <w:i w:val="0"/>
                <w:sz w:val="20"/>
              </w:rPr>
              <w:t>AML provider discussion</w:t>
            </w:r>
          </w:p>
        </w:tc>
        <w:tc>
          <w:tcPr>
            <w:tcW w:type="dxa" w:w="3249"/>
            <w:vAlign w:val="center"/>
          </w:tcPr>
          <w:p>
            <w:pPr>
              <w:spacing w:line="276" w:lineRule="auto" w:before="0" w:after="0"/>
            </w:pPr>
            <w:r/>
            <w:r>
              <w:rPr>
                <w:rFonts w:ascii="Figtree" w:hAnsi="Figtree"/>
                <w:b w:val="0"/>
                <w:i w:val="0"/>
                <w:sz w:val="20"/>
              </w:rPr>
              <w:t>Chipper Cash Compliance + SettleMint</w:t>
            </w:r>
          </w:p>
        </w:tc>
        <w:tc>
          <w:tcPr>
            <w:tcW w:type="dxa" w:w="3249"/>
            <w:vAlign w:val="center"/>
          </w:tcPr>
          <w:p>
            <w:pPr>
              <w:spacing w:line="276" w:lineRule="auto" w:before="0" w:after="0"/>
            </w:pPr>
            <w:r/>
            <w:r>
              <w:rPr>
                <w:rFonts w:ascii="Figtree" w:hAnsi="Figtree"/>
                <w:b w:val="0"/>
                <w:i w:val="0"/>
                <w:sz w:val="20"/>
              </w:rPr>
              <w:t>Week 3</w:t>
            </w:r>
          </w:p>
        </w:tc>
      </w:tr>
      <w:tr>
        <w:trPr>
          <w:trHeight w:val="425" w:hRule="atLeast"/>
        </w:trPr>
        <w:tc>
          <w:tcPr>
            <w:tcW w:type="dxa" w:w="3249"/>
            <w:vAlign w:val="center"/>
          </w:tcPr>
          <w:p>
            <w:pPr>
              <w:spacing w:line="276" w:lineRule="auto" w:before="0" w:after="0"/>
            </w:pPr>
            <w:r/>
            <w:r>
              <w:rPr>
                <w:rFonts w:ascii="Figtree" w:hAnsi="Figtree"/>
                <w:b w:val="0"/>
                <w:i w:val="0"/>
                <w:sz w:val="20"/>
              </w:rPr>
              <w:t>Mobile money API compatibility check</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w:t>
            </w:r>
          </w:p>
        </w:tc>
      </w:tr>
      <w:tr>
        <w:trPr>
          <w:trHeight w:val="425" w:hRule="atLeast"/>
        </w:trPr>
        <w:tc>
          <w:tcPr>
            <w:tcW w:type="dxa" w:w="3249"/>
            <w:vAlign w:val="center"/>
          </w:tcPr>
          <w:p>
            <w:pPr>
              <w:spacing w:line="276" w:lineRule="auto" w:before="0" w:after="0"/>
            </w:pPr>
            <w:r/>
            <w:r>
              <w:rPr>
                <w:rFonts w:ascii="Figtree" w:hAnsi="Figtree"/>
                <w:b w:val="0"/>
                <w:i w:val="0"/>
                <w:sz w:val="20"/>
              </w:rPr>
              <w:t>PAPSS strategy alignment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Commercial terms</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4-5</w:t>
            </w:r>
          </w:p>
        </w:tc>
      </w:tr>
      <w:tr>
        <w:trPr>
          <w:trHeight w:val="425" w:hRule="atLeast"/>
        </w:trPr>
        <w:tc>
          <w:tcPr>
            <w:tcW w:type="dxa" w:w="3249"/>
            <w:vAlign w:val="center"/>
          </w:tcPr>
          <w:p>
            <w:pPr>
              <w:spacing w:line="276" w:lineRule="auto" w:before="0" w:after="0"/>
            </w:pPr>
            <w:r/>
            <w:r>
              <w:rPr>
                <w:rFonts w:ascii="Figtree" w:hAnsi="Figtree"/>
                <w:b w:val="0"/>
                <w:i w:val="0"/>
                <w:sz w:val="20"/>
              </w:rPr>
              <w:t>Programme kickoff</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Within 1 week of contract</w:t>
            </w:r>
          </w:p>
        </w:tc>
      </w:tr>
    </w:tbl>
    <w:p>
      <w:pPr>
        <w:spacing w:before="0" w:after="0" w:line="120" w:lineRule="exact"/>
      </w:pPr>
    </w:p>
    <w:p>
      <w:r>
        <w:rPr>
          <w:rFonts w:ascii="Figtree" w:hAnsi="Figtree"/>
          <w:b w:val="0"/>
          <w:i w:val="0"/>
          <w:sz w:val="22"/>
        </w:rPr>
        <w:t>SettleMint can accelerate to a 12-week implementation timeline if Chipper Cash prioritizes a phased corridor launch (Nigeria-Ghana first, then additional corridors).</w:t>
      </w:r>
    </w:p>
    <w:p>
      <w:r>
        <w:br w:type="page"/>
      </w:r>
    </w:p>
    <w:p>
      <w:r>
        <w:rPr>
          <w:rFonts w:ascii="Figtree" w:hAnsi="Figtree"/>
          <w:b w:val="0"/>
          <w:i/>
          <w:sz w:val="22"/>
        </w:rPr>
        <w:t>End of Commercial Proposal — Chipper Cash</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