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Commercial Proposal</w:t>
          </w:r>
          <w:r>
            <w:tab/>
          </w:r>
          <w:r>
            <w:t xml:space="preserve">3</w:t>
          </w:r>
        </w:p>
        <w:p>
          <w:pPr>
            <w:pStyle w:val="TOC2"/>
            <w:tabs>
              <w:tab w:val="right" w:leader="dot" w:pos="9072"/>
            </w:tabs>
          </w:pPr>
          <w:r>
            <w:t xml:space="preserve">Cross-Border Tokenized Remittance Settlement</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Commercial Decision Summary</w:t>
          </w:r>
          <w:r>
            <w:tab/>
          </w:r>
          <w:r>
            <w:t xml:space="preserve">7</w:t>
          </w:r>
        </w:p>
        <w:p>
          <w:pPr>
            <w:pStyle w:val="TOC2"/>
            <w:tabs>
              <w:tab w:val="right" w:leader="dot" w:pos="9072"/>
            </w:tabs>
          </w:pPr>
          <w:r>
            <w:t xml:space="preserve">1.2 Commercial Recommendation</w:t>
          </w:r>
          <w:r>
            <w:tab/>
          </w:r>
          <w:r>
            <w:t xml:space="preserve">8</w:t>
          </w:r>
        </w:p>
        <w:p>
          <w:pPr>
            <w:pStyle w:val="TOC1"/>
            <w:tabs>
              <w:tab w:val="right" w:leader="dot" w:pos="9072"/>
            </w:tabs>
          </w:pPr>
          <w:r>
            <w:t xml:space="preserve">2. Investment Rationale</w:t>
          </w:r>
          <w:r>
            <w:tab/>
          </w:r>
          <w:r>
            <w:t xml:space="preserve">9</w:t>
          </w:r>
        </w:p>
        <w:p>
          <w:pPr>
            <w:pStyle w:val="TOC2"/>
            <w:tabs>
              <w:tab w:val="right" w:leader="dot" w:pos="9072"/>
            </w:tabs>
          </w:pPr>
          <w:r>
            <w:t xml:space="preserve">2.1 Cost of Current Approach</w:t>
          </w:r>
          <w:r>
            <w:tab/>
          </w:r>
          <w:r>
            <w:t xml:space="preserve">10</w:t>
          </w:r>
        </w:p>
        <w:p>
          <w:pPr>
            <w:pStyle w:val="TOC2"/>
            <w:tabs>
              <w:tab w:val="right" w:leader="dot" w:pos="9072"/>
            </w:tabs>
          </w:pPr>
          <w:r>
            <w:t xml:space="preserve">2.2 Why DALP Changes Chipper Cash's Economics</w:t>
          </w:r>
          <w:r>
            <w:tab/>
          </w:r>
          <w:r>
            <w:t xml:space="preserve">11</w:t>
          </w:r>
        </w:p>
        <w:p>
          <w:pPr>
            <w:pStyle w:val="TOC2"/>
            <w:tabs>
              <w:tab w:val="right" w:leader="dot" w:pos="9072"/>
            </w:tabs>
          </w:pPr>
          <w:r>
            <w:t xml:space="preserve">2.3 ROI Framework</w:t>
          </w:r>
          <w:r>
            <w:tab/>
          </w:r>
          <w:r>
            <w:t xml:space="preserve">12</w:t>
          </w:r>
        </w:p>
        <w:p>
          <w:pPr>
            <w:pStyle w:val="TOC2"/>
            <w:tabs>
              <w:tab w:val="right" w:leader="dot" w:pos="9072"/>
            </w:tabs>
          </w:pPr>
          <w:r>
            <w:t xml:space="preserve">2.4 Payback Period Analysis</w:t>
          </w:r>
          <w:r>
            <w:tab/>
          </w:r>
          <w:r>
            <w:t xml:space="preserve">13</w:t>
          </w:r>
        </w:p>
        <w:p>
          <w:pPr>
            <w:pStyle w:val="TOC1"/>
            <w:tabs>
              <w:tab w:val="right" w:leader="dot" w:pos="9072"/>
            </w:tabs>
          </w:pPr>
          <w:r>
            <w:t xml:space="preserve">3. Licensing Model</w:t>
          </w:r>
          <w:r>
            <w:tab/>
          </w:r>
          <w:r>
            <w:t xml:space="preserve">14</w:t>
          </w:r>
        </w:p>
        <w:p>
          <w:pPr>
            <w:pStyle w:val="TOC2"/>
            <w:tabs>
              <w:tab w:val="right" w:leader="dot" w:pos="9072"/>
            </w:tabs>
          </w:pPr>
          <w:r>
            <w:t xml:space="preserve">3.1 Enterprise Licence — What's Included</w:t>
          </w:r>
          <w:r>
            <w:tab/>
          </w:r>
          <w:r>
            <w:t xml:space="preserve">15</w:t>
          </w:r>
        </w:p>
        <w:p>
          <w:pPr>
            <w:pStyle w:val="TOC2"/>
            <w:tabs>
              <w:tab w:val="right" w:leader="dot" w:pos="9072"/>
            </w:tabs>
          </w:pPr>
          <w:r>
            <w:t xml:space="preserve">3.2 Platform Tiers</w:t>
          </w:r>
          <w:r>
            <w:tab/>
          </w:r>
          <w:r>
            <w:t xml:space="preserve">16</w:t>
          </w:r>
        </w:p>
        <w:p>
          <w:pPr>
            <w:pStyle w:val="TOC1"/>
            <w:tabs>
              <w:tab w:val="right" w:leader="dot" w:pos="9072"/>
            </w:tabs>
          </w:pPr>
          <w:r>
            <w:t xml:space="preserve">4. Deployment Options and Pricing</w:t>
          </w:r>
          <w:r>
            <w:tab/>
          </w:r>
          <w:r>
            <w:t xml:space="preserve">17</w:t>
          </w:r>
        </w:p>
        <w:p>
          <w:pPr>
            <w:pStyle w:val="TOC2"/>
            <w:tabs>
              <w:tab w:val="right" w:leader="dot" w:pos="9072"/>
            </w:tabs>
          </w:pPr>
          <w:r>
            <w:t xml:space="preserve">4.1 Recommended: Managed SaaS</w:t>
          </w:r>
          <w:r>
            <w:tab/>
          </w:r>
          <w:r>
            <w:t xml:space="preserve">18</w:t>
          </w:r>
        </w:p>
        <w:p>
          <w:pPr>
            <w:pStyle w:val="TOC2"/>
            <w:tabs>
              <w:tab w:val="right" w:leader="dot" w:pos="9072"/>
            </w:tabs>
          </w:pPr>
          <w:r>
            <w:t xml:space="preserve">4.2 Cost Structure</w:t>
          </w:r>
          <w:r>
            <w:tab/>
          </w:r>
          <w:r>
            <w:t xml:space="preserve">19</w:t>
          </w:r>
        </w:p>
        <w:p>
          <w:pPr>
            <w:pStyle w:val="TOC2"/>
            <w:tabs>
              <w:tab w:val="right" w:leader="dot" w:pos="9072"/>
            </w:tabs>
          </w:pPr>
          <w:r>
            <w:t xml:space="preserve">4.3 Cost Drivers</w:t>
          </w:r>
          <w:r>
            <w:tab/>
          </w:r>
          <w:r>
            <w:t xml:space="preserve">20</w:t>
          </w:r>
        </w:p>
        <w:p>
          <w:pPr>
            <w:pStyle w:val="TOC1"/>
            <w:tabs>
              <w:tab w:val="right" w:leader="dot" w:pos="9072"/>
            </w:tabs>
          </w:pPr>
          <w:r>
            <w:t xml:space="preserve">5. Support and SLA Framework</w:t>
          </w:r>
          <w:r>
            <w:tab/>
          </w:r>
          <w:r>
            <w:t xml:space="preserve">21</w:t>
          </w:r>
        </w:p>
        <w:p>
          <w:pPr>
            <w:pStyle w:val="TOC2"/>
            <w:tabs>
              <w:tab w:val="right" w:leader="dot" w:pos="9072"/>
            </w:tabs>
          </w:pPr>
          <w:r>
            <w:t xml:space="preserve">5.1 Uptime</w:t>
          </w:r>
          <w:r>
            <w:tab/>
          </w:r>
          <w:r>
            <w:t xml:space="preserve">22</w:t>
          </w:r>
        </w:p>
        <w:p>
          <w:pPr>
            <w:pStyle w:val="TOC1"/>
            <w:tabs>
              <w:tab w:val="right" w:leader="dot" w:pos="9072"/>
            </w:tabs>
          </w:pPr>
          <w:r>
            <w:t xml:space="preserve">6. Implementation Investment</w:t>
          </w:r>
          <w:r>
            <w:tab/>
          </w:r>
          <w:r>
            <w:t xml:space="preserve">23</w:t>
          </w:r>
        </w:p>
        <w:p>
          <w:pPr>
            <w:pStyle w:val="TOC2"/>
            <w:tabs>
              <w:tab w:val="right" w:leader="dot" w:pos="9072"/>
            </w:tabs>
          </w:pPr>
          <w:r>
            <w:t xml:space="preserve">6.1 Phase Pricing (16-Week Managed SaaS)</w:t>
          </w:r>
          <w:r>
            <w:tab/>
          </w:r>
          <w:r>
            <w:t xml:space="preserve">24</w:t>
          </w:r>
        </w:p>
        <w:p>
          <w:pPr>
            <w:pStyle w:val="TOC2"/>
            <w:tabs>
              <w:tab w:val="right" w:leader="dot" w:pos="9072"/>
            </w:tabs>
          </w:pPr>
          <w:r>
            <w:t xml:space="preserve">6.2 Payment Schedule</w:t>
          </w:r>
          <w:r>
            <w:tab/>
          </w:r>
          <w:r>
            <w:t xml:space="preserve">25</w:t>
          </w:r>
        </w:p>
        <w:p>
          <w:pPr>
            <w:pStyle w:val="TOC2"/>
            <w:tabs>
              <w:tab w:val="right" w:leader="dot" w:pos="9072"/>
            </w:tabs>
          </w:pPr>
          <w:r>
            <w:t xml:space="preserve">6.3 Accelerators and Risks</w:t>
          </w:r>
          <w:r>
            <w:tab/>
          </w:r>
          <w:r>
            <w:t xml:space="preserve">26</w:t>
          </w:r>
        </w:p>
        <w:p>
          <w:pPr>
            <w:pStyle w:val="TOC1"/>
            <w:tabs>
              <w:tab w:val="right" w:leader="dot" w:pos="9072"/>
            </w:tabs>
          </w:pPr>
          <w:r>
            <w:t xml:space="preserve">7. Commercial Terms</w:t>
          </w:r>
          <w:r>
            <w:tab/>
          </w:r>
          <w:r>
            <w:t xml:space="preserve">27</w:t>
          </w:r>
        </w:p>
        <w:p>
          <w:pPr>
            <w:pStyle w:val="TOC2"/>
            <w:tabs>
              <w:tab w:val="right" w:leader="dot" w:pos="9072"/>
            </w:tabs>
          </w:pPr>
          <w:r>
            <w:t xml:space="preserve">7.1 Contract Structure</w:t>
          </w:r>
          <w:r>
            <w:tab/>
          </w:r>
          <w:r>
            <w:t xml:space="preserve">28</w:t>
          </w:r>
        </w:p>
        <w:p>
          <w:pPr>
            <w:pStyle w:val="TOC2"/>
            <w:tabs>
              <w:tab w:val="right" w:leader="dot" w:pos="9072"/>
            </w:tabs>
          </w:pPr>
          <w:r>
            <w:t xml:space="preserve">7.2 Payment and Duration</w:t>
          </w:r>
          <w:r>
            <w:tab/>
          </w:r>
          <w:r>
            <w:t xml:space="preserve">29</w:t>
          </w:r>
        </w:p>
        <w:p>
          <w:pPr>
            <w:pStyle w:val="TOC3"/>
            <w:tabs>
              <w:tab w:val="right" w:leader="dot" w:pos="9072"/>
            </w:tabs>
          </w:pPr>
          <w:r>
            <w:t xml:space="preserve">Discounted Pricing (3-Year Commitment)</w:t>
          </w:r>
          <w:r>
            <w:tab/>
          </w:r>
          <w:r>
            <w:t xml:space="preserve">30</w:t>
          </w:r>
        </w:p>
        <w:p>
          <w:pPr>
            <w:pStyle w:val="TOC2"/>
            <w:tabs>
              <w:tab w:val="right" w:leader="dot" w:pos="9072"/>
            </w:tabs>
          </w:pPr>
          <w:r>
            <w:t xml:space="preserve">7.3 Key Terms</w:t>
          </w:r>
          <w:r>
            <w:tab/>
          </w:r>
          <w:r>
            <w:t xml:space="preserve">31</w:t>
          </w:r>
        </w:p>
        <w:p>
          <w:pPr>
            <w:pStyle w:val="TOC1"/>
            <w:tabs>
              <w:tab w:val="right" w:leader="dot" w:pos="9072"/>
            </w:tabs>
          </w:pPr>
          <w:r>
            <w:t xml:space="preserve">8. Total Cost of Ownership</w:t>
          </w:r>
          <w:r>
            <w:tab/>
          </w:r>
          <w:r>
            <w:t xml:space="preserve">32</w:t>
          </w:r>
        </w:p>
        <w:p>
          <w:pPr>
            <w:pStyle w:val="TOC2"/>
            <w:tabs>
              <w:tab w:val="right" w:leader="dot" w:pos="9072"/>
            </w:tabs>
          </w:pPr>
          <w:r>
            <w:t xml:space="preserve">8.1 Three-Year TCO — DALP vs Build vs Multi-Vendor</w:t>
          </w:r>
          <w:r>
            <w:tab/>
          </w:r>
          <w:r>
            <w:t xml:space="preserve">33</w:t>
          </w:r>
        </w:p>
        <w:p>
          <w:pPr>
            <w:pStyle w:val="TOC2"/>
            <w:tabs>
              <w:tab w:val="right" w:leader="dot" w:pos="9072"/>
            </w:tabs>
          </w:pPr>
          <w:r>
            <w:t xml:space="preserve">8.2 Five-Year Projection</w:t>
          </w:r>
          <w:r>
            <w:tab/>
          </w:r>
          <w:r>
            <w:t xml:space="preserve">34</w:t>
          </w:r>
        </w:p>
        <w:p>
          <w:pPr>
            <w:pStyle w:val="TOC1"/>
            <w:tabs>
              <w:tab w:val="right" w:leader="dot" w:pos="9072"/>
            </w:tabs>
          </w:pPr>
          <w:r>
            <w:t xml:space="preserve">9. Reference Clients</w:t>
          </w:r>
          <w:r>
            <w:tab/>
          </w:r>
          <w:r>
            <w:t xml:space="preserve">35</w:t>
          </w:r>
        </w:p>
        <w:p>
          <w:pPr>
            <w:pStyle w:val="TOC1"/>
            <w:tabs>
              <w:tab w:val="right" w:leader="dot" w:pos="9072"/>
            </w:tabs>
          </w:pPr>
          <w:r>
            <w:t xml:space="preserve">10. Next Steps</w:t>
          </w:r>
          <w:r>
            <w:tab/>
          </w:r>
          <w:r>
            <w:t xml:space="preserve">36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"Commercial Proposal: Cross-Border Tokenized Remittance Settlement"</w:t>
      </w:r>
    </w:p>
    <w:p>
      <w:r>
        <w:rPr>
          <w:rFonts w:ascii="Figtree" w:hAnsi="Figtree"/>
          <w:b w:val="0"/>
          <w:i w:val="0"/>
          <w:sz w:val="22"/>
        </w:rPr>
        <w:t>client: "Chipper Cash"</w:t>
      </w:r>
    </w:p>
    <w:p>
      <w:r>
        <w:rPr>
          <w:rFonts w:ascii="Figtree" w:hAnsi="Figtree"/>
          <w:b w:val="0"/>
          <w:i w:val="0"/>
          <w:sz w:val="22"/>
        </w:rPr>
        <w:t>date: "2026-03-19"</w:t>
      </w:r>
    </w:p>
    <w:p>
      <w:r>
        <w:rPr>
          <w:rFonts w:ascii="Figtree" w:hAnsi="Figtree"/>
          <w:b w:val="0"/>
          <w:i w:val="0"/>
          <w:sz w:val="22"/>
        </w:rPr>
        <w:t>version: "1.1"</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"Commercial Proposal"</w:t>
      </w:r>
    </w:p>
    <w:p>
      <w:r>
        <w:rPr>
          <w:rFonts w:ascii="Figtree" w:hAnsi="Figtree"/>
          <w:b w:val="0"/>
          <w:i w:val="0"/>
          <w:sz w:val="22"/>
        </w:rPr>
        <w:t>rfp-reference: "CHIPPER-CASH-RFP-CROSS-BORDER-TOKENIZED-REMITTANCE-202603"</w:t>
      </w:r>
    </w:p>
    <w:p>
      <w:r>
        <w:br w:type="page"/>
      </w:r>
    </w:p>
    <w:p>
      <w:pPr>
        <w:pStyle w:val="H1"/>
        <w:numPr>
          <w:ilvl w:val="0"/>
          <w:numId w:val="1"/>
        </w:numPr>
      </w:pPr>
      <w:r>
        <w:t>Commercial Proposal</w:t>
      </w:r>
    </w:p>
    <w:p>
      <w:pPr>
        <w:pStyle w:val="H2"/>
        <w:numPr>
          <w:ilvl w:val="1"/>
          <w:numId w:val="1"/>
        </w:numPr>
      </w:pPr>
      <w:r>
        <w:t>Cross-Border Tokenized Remittance Settlement</w:t>
      </w:r>
    </w:p>
    <w:p>
      <w:r>
        <w:br w:type="page"/>
      </w:r>
    </w:p>
    <w:p>
      <w:r>
        <w:rPr>
          <w:rFonts w:ascii="Figtree" w:hAnsi="Figtree"/>
          <w:b/>
          <w:i w:val="0"/>
          <w:sz w:val="22"/>
        </w:rPr>
        <w:t>Document Title:</w:t>
      </w:r>
      <w:r>
        <w:rPr>
          <w:rFonts w:ascii="Figtree" w:hAnsi="Figtree"/>
          <w:b w:val="0"/>
          <w:i w:val="0"/>
          <w:sz w:val="22"/>
        </w:rPr>
        <w:t xml:space="preserve"> Commercial Proposal — Cross-Border Tokenized Remittance Settlement</w:t>
      </w:r>
    </w:p>
    <w:p>
      <w:r>
        <w:rPr>
          <w:rFonts w:ascii="Figtree" w:hAnsi="Figtree"/>
          <w:b/>
          <w:i w:val="0"/>
          <w:sz w:val="22"/>
        </w:rPr>
        <w:t>Client:</w:t>
      </w:r>
      <w:r>
        <w:rPr>
          <w:rFonts w:ascii="Figtree" w:hAnsi="Figtree"/>
          <w:b w:val="0"/>
          <w:i w:val="0"/>
          <w:sz w:val="22"/>
        </w:rPr>
        <w:t xml:space="preserve"> Chipper Cash</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1.1 (Reviewed)</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1"/>
        <w:numPr>
          <w:ilvl w:val="0"/>
          <w:numId w:val="1"/>
        </w:numPr>
      </w:pPr>
      <w:r>
        <w:t>1. Executive Summary</w:t>
      </w:r>
    </w:p>
    <w:p>
      <w:pPr>
        <w:pStyle w:val="H2"/>
        <w:numPr>
          <w:ilvl w:val="1"/>
          <w:numId w:val="1"/>
        </w:numPr>
      </w:pPr>
      <w:r>
        <w:t>1.1 Commercial Decision Summary</w:t>
      </w:r>
    </w:p>
    <w:p>
      <w:r>
        <w:rPr>
          <w:rFonts w:ascii="Figtree" w:hAnsi="Figtree"/>
          <w:b w:val="0"/>
          <w:i w:val="0"/>
          <w:sz w:val="22"/>
        </w:rPr>
        <w:t>Chipper Cash's cross-border tokenized remittance programme is a competitive infrastructure play. The platform choice determines: settlement speed (minutes vs hours vs days), corridor unit economics (correspondent banking cost vs tokenized settlement cost), regulatory compliance scalability (manual per-corridor updates vs configurable platform), and the ability to benefit from PAPSS as an emerging African settlement rail.</w:t>
      </w:r>
    </w:p>
    <w:p>
      <w:r>
        <w:rPr>
          <w:rFonts w:ascii="Figtree" w:hAnsi="Figtree"/>
          <w:b w:val="0"/>
          <w:i w:val="0"/>
          <w:sz w:val="22"/>
        </w:rPr>
        <w:t>The commercial decision comes down to whether to build a bespoke multi-currency tokenized settlement layer (expensive, slow, high ongoing maintenance) or license a production-grade platform purpose-built for regulated multi-currency token settlement (faster, lower TCO, inherently configurable per corridor).</w:t>
      </w:r>
    </w:p>
    <w:p>
      <w:r>
        <w:rPr>
          <w:rFonts w:ascii="Figtree" w:hAnsi="Figtree"/>
          <w:b w:val="0"/>
          <w:i w:val="0"/>
          <w:sz w:val="22"/>
        </w:rPr>
        <w:t>SettleMint recommends DALP Enterprise tier on managed SaaS with Enterprise 24/7 support. This is the fastest, lowest-overhead path to production for Chipper Cash's use case.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59"/>
        <w:gridCol w:w="2004"/>
        <w:gridCol w:w="1265"/>
        <w:gridCol w:w="1265"/>
        <w:gridCol w:w="147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Licence (Enterprise)</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$1,440,000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$180,000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$180,000</w:t>
            </w:r>
          </w:p>
        </w:tc>
      </w:tr>
      <w:tr>
        <w:trPr>
          <w:trHeight w:val="425" w:hRule="atLeast"/>
        </w:trPr>
        <w:tc>
          <w:tcPr>
            <w:tcW w:type="dxa" w:w="1949"/>
            <w:vAlign w:val="center"/>
          </w:tcPr>
          <w:p>
            <w:pPr>
              <w:spacing w:line="276" w:lineRule="auto" w:before="0" w:after="0"/>
            </w:pPr>
            <w:r/>
            <w:r>
              <w:rPr>
                <w:rFonts w:ascii="Figtree" w:hAnsi="Figtree"/>
                <w:b w:val="0"/>
                <w:i w:val="0"/>
                <w:sz w:val="20"/>
              </w:rPr>
              <w:t>Managed SaaS Infrastructure</w:t>
            </w:r>
          </w:p>
        </w:tc>
        <w:tc>
          <w:tcPr>
            <w:tcW w:type="dxa" w:w="1949"/>
            <w:vAlign w:val="center"/>
          </w:tcPr>
          <w:p>
            <w:pPr>
              <w:spacing w:line="276" w:lineRule="auto" w:before="0" w:after="0"/>
            </w:pPr>
            <w:r/>
            <w:r>
              <w:rPr>
                <w:rFonts w:ascii="Figtree" w:hAnsi="Figtree"/>
                <w:b w:val="0"/>
                <w:i w:val="0"/>
                <w:sz w:val="20"/>
              </w:rPr>
              <w:t>Included in licence</w:t>
            </w:r>
          </w:p>
        </w:tc>
        <w:tc>
          <w:tcPr>
            <w:tcW w:type="dxa" w:w="1949"/>
            <w:vAlign w:val="center"/>
          </w:tcPr>
          <w:p>
            <w:pPr>
              <w:spacing w:line="276" w:lineRule="auto" w:before="0" w:after="0"/>
            </w:pPr>
            <w:r/>
            <w:r>
              <w:rPr>
                <w:rFonts w:ascii="Figtree" w:hAnsi="Figtree"/>
                <w:b w:val="0"/>
                <w:i w:val="0"/>
                <w:sz w:val="20"/>
              </w:rPr>
              <w:t>Included</w:t>
            </w:r>
          </w:p>
        </w:tc>
        <w:tc>
          <w:tcPr>
            <w:tcW w:type="dxa" w:w="1949"/>
            <w:vAlign w:val="center"/>
          </w:tcPr>
          <w:p>
            <w:pPr>
              <w:spacing w:line="276" w:lineRule="auto" w:before="0" w:after="0"/>
            </w:pPr>
            <w:r/>
            <w:r>
              <w:rPr>
                <w:rFonts w:ascii="Figtree" w:hAnsi="Figtree"/>
                <w:b w:val="0"/>
                <w:i w:val="0"/>
                <w:sz w:val="20"/>
              </w:rPr>
              <w:t>Included</w:t>
            </w:r>
          </w:p>
        </w:tc>
        <w:tc>
          <w:tcPr>
            <w:tcW w:type="dxa" w:w="1949"/>
            <w:vAlign w:val="center"/>
          </w:tcPr>
          <w:p>
            <w:pPr>
              <w:spacing w:line="276" w:lineRule="auto" w:before="0" w:after="0"/>
            </w:pPr>
            <w:r/>
            <w:r>
              <w:rPr>
                <w:rFonts w:ascii="Figtree" w:hAnsi="Figtree"/>
                <w:b w:val="0"/>
                <w:i w:val="0"/>
                <w:sz w:val="20"/>
              </w:rPr>
              <w:t>Included</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$432,000</w:t>
            </w:r>
          </w:p>
        </w:tc>
      </w:tr>
      <w:tr>
        <w:trPr>
          <w:trHeight w:val="425" w:hRule="atLeast"/>
        </w:trPr>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$10,000</w:t>
            </w:r>
          </w:p>
        </w:tc>
        <w:tc>
          <w:tcPr>
            <w:tcW w:type="dxa" w:w="1949"/>
            <w:vAlign w:val="center"/>
          </w:tcPr>
          <w:p>
            <w:pPr>
              <w:spacing w:line="276" w:lineRule="auto" w:before="0" w:after="0"/>
            </w:pPr>
            <w:r/>
            <w:r>
              <w:rPr>
                <w:rFonts w:ascii="Figtree" w:hAnsi="Figtree"/>
                <w:b w:val="0"/>
                <w:i w:val="0"/>
                <w:sz w:val="20"/>
              </w:rPr>
              <w:t>$30,000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$824,000</w:t>
            </w:r>
          </w:p>
        </w:tc>
        <w:tc>
          <w:tcPr>
            <w:tcW w:type="dxa" w:w="1949"/>
            <w:vAlign w:val="center"/>
          </w:tcPr>
          <w:p>
            <w:pPr>
              <w:spacing w:line="276" w:lineRule="auto" w:before="0" w:after="0"/>
            </w:pPr>
            <w:r/>
            <w:r>
              <w:rPr>
                <w:rFonts w:ascii="Figtree" w:hAnsi="Figtree"/>
                <w:b/>
                <w:i w:val="0"/>
                <w:sz w:val="20"/>
              </w:rPr>
              <w:t>$624,000</w:t>
            </w:r>
          </w:p>
        </w:tc>
        <w:tc>
          <w:tcPr>
            <w:tcW w:type="dxa" w:w="1949"/>
            <w:vAlign w:val="center"/>
          </w:tcPr>
          <w:p>
            <w:pPr>
              <w:spacing w:line="276" w:lineRule="auto" w:before="0" w:after="0"/>
            </w:pPr>
            <w:r/>
            <w:r>
              <w:rPr>
                <w:rFonts w:ascii="Figtree" w:hAnsi="Figtree"/>
                <w:b/>
                <w:i w:val="0"/>
                <w:sz w:val="20"/>
              </w:rPr>
              <w:t>$634,000</w:t>
            </w:r>
          </w:p>
        </w:tc>
        <w:tc>
          <w:tcPr>
            <w:tcW w:type="dxa" w:w="1949"/>
            <w:vAlign w:val="center"/>
          </w:tcPr>
          <w:p>
            <w:pPr>
              <w:spacing w:line="276" w:lineRule="auto" w:before="0" w:after="0"/>
            </w:pPr>
            <w:r/>
            <w:r>
              <w:rPr>
                <w:rFonts w:ascii="Figtree" w:hAnsi="Figtree"/>
                <w:b/>
                <w:i w:val="0"/>
                <w:sz w:val="20"/>
              </w:rPr>
              <w:t>$2,082,000</w:t>
            </w:r>
          </w:p>
        </w:tc>
      </w:tr>
    </w:tbl>
    <w:p>
      <w:pPr>
        <w:spacing w:before="0" w:after="0" w:line="120" w:lineRule="exact"/>
      </w:pPr>
    </w:p>
    <w:p>
      <w:r>
        <w:rPr>
          <w:rFonts w:ascii="Figtree" w:hAnsi="Figtree"/>
          <w:b w:val="0"/>
          <w:i w:val="0"/>
          <w:sz w:val="22"/>
        </w:rPr>
        <w:t>&gt; Indicative USD amounts. Managed SaaS infrastructure is included in the Enterprise licence — no separate infrastructure cost. Implementation covers 16-week delivery for 6+ initial corridors.</w:t>
      </w:r>
    </w:p>
    <w:p>
      <w:r>
        <w:rPr>
          <w:rFonts w:ascii="Figtree" w:hAnsi="Figtree"/>
          <w:b/>
          <w:i w:val="0"/>
          <w:sz w:val="22"/>
        </w:rPr>
        <w:t>Key commercial advantage for Chipper Cash:</w:t>
      </w:r>
      <w:r>
        <w:rPr>
          <w:rFonts w:ascii="Figtree" w:hAnsi="Figtree"/>
          <w:b w:val="0"/>
          <w:i w:val="0"/>
          <w:sz w:val="22"/>
        </w:rPr>
        <w:t xml:space="preserve"> Managed SaaS eliminates infrastructure management overhead. Chipper Cash's engineering team focuses on the API integration and product experience — SettleMint manages the platform infrastructure, blockchain nodes, and database operations.</w:t>
      </w:r>
    </w:p>
    <w:p>
      <w:pPr>
        <w:pStyle w:val="H2"/>
        <w:numPr>
          <w:ilvl w:val="1"/>
          <w:numId w:val="1"/>
        </w:numPr>
      </w:pPr>
      <w:r>
        <w:t>1.2 Commercial Recommendation</w:t>
      </w:r>
    </w:p>
    <w:p>
      <w:pPr>
        <w:pStyle w:val="ListParagraph"/>
        <w:numPr>
          <w:ilvl w:val="0"/>
          <w:numId w:val="4"/>
        </w:numPr>
      </w:pPr>
      <w:r>
        <w:rPr>
          <w:rFonts w:ascii="Figtree" w:hAnsi="Figtree"/>
          <w:b/>
          <w:i w:val="0"/>
          <w:sz w:val="22"/>
        </w:rPr>
        <w:t>Licence tier:</w:t>
      </w:r>
      <w:r>
        <w:rPr>
          <w:rFonts w:ascii="Figtree" w:hAnsi="Figtree"/>
          <w:b w:val="0"/>
          <w:i w:val="0"/>
          <w:sz w:val="22"/>
        </w:rPr>
        <w:t xml:space="preserve"> Enterprise</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Managed SaaS (fastest time-to-production, zero infrastructure overhead)</w:t>
      </w:r>
    </w:p>
    <w:p>
      <w:pPr>
        <w:pStyle w:val="ListParagraph"/>
        <w:numPr>
          <w:ilvl w:val="0"/>
          <w:numId w:val="4"/>
        </w:numPr>
      </w:pPr>
      <w:r>
        <w:rPr>
          <w:rFonts w:ascii="Figtree" w:hAnsi="Figtree"/>
          <w:b/>
          <w:i w:val="0"/>
          <w:sz w:val="22"/>
        </w:rPr>
        <w:t>Support:</w:t>
      </w:r>
      <w:r>
        <w:rPr>
          <w:rFonts w:ascii="Figtree" w:hAnsi="Figtree"/>
          <w:b w:val="0"/>
          <w:i w:val="0"/>
          <w:sz w:val="22"/>
        </w:rPr>
        <w:t xml:space="preserve"> Enterprise 24/7</w:t>
      </w:r>
    </w:p>
    <w:p>
      <w:pPr>
        <w:pStyle w:val="ListParagraph"/>
        <w:numPr>
          <w:ilvl w:val="0"/>
          <w:numId w:val="4"/>
        </w:numPr>
      </w:pPr>
      <w:r>
        <w:rPr>
          <w:rFonts w:ascii="Figtree" w:hAnsi="Figtree"/>
          <w:b/>
          <w:i w:val="0"/>
          <w:sz w:val="22"/>
        </w:rPr>
        <w:t>Initial corridors:</w:t>
      </w:r>
      <w:r>
        <w:rPr>
          <w:rFonts w:ascii="Figtree" w:hAnsi="Figtree"/>
          <w:b w:val="0"/>
          <w:i w:val="0"/>
          <w:sz w:val="22"/>
        </w:rPr>
        <w:t xml:space="preserve"> 6 (NG, GH, KE, ZA, UG, UK) — additional corridors at no extra licence cost</w:t>
      </w:r>
    </w:p>
    <w:p>
      <w:pPr>
        <w:pStyle w:val="ListParagraph"/>
        <w:numPr>
          <w:ilvl w:val="0"/>
          <w:numId w:val="4"/>
        </w:numPr>
      </w:pPr>
      <w:r>
        <w:rPr>
          <w:rFonts w:ascii="Figtree" w:hAnsi="Figtree"/>
          <w:b/>
          <w:i w:val="0"/>
          <w:sz w:val="22"/>
        </w:rPr>
        <w:t>Contract:</w:t>
      </w:r>
      <w:r>
        <w:rPr>
          <w:rFonts w:ascii="Figtree" w:hAnsi="Figtree"/>
          <w:b w:val="0"/>
          <w:i w:val="0"/>
          <w:sz w:val="22"/>
        </w:rPr>
        <w:t xml:space="preserve"> 3-year initial term (volume stability allows platform cost optimization)</w:t>
      </w:r>
    </w:p>
    <w:p>
      <w:r>
        <w:br w:type="page"/>
      </w:r>
    </w:p>
    <w:p>
      <w:pPr>
        <w:pStyle w:val="H1"/>
        <w:numPr>
          <w:ilvl w:val="0"/>
          <w:numId w:val="1"/>
        </w:numPr>
      </w:pPr>
      <w:r>
        <w:t>2. Investment Rationale</w:t>
      </w:r>
    </w:p>
    <w:p>
      <w:pPr>
        <w:pStyle w:val="H2"/>
        <w:numPr>
          <w:ilvl w:val="1"/>
          <w:numId w:val="1"/>
        </w:numPr>
      </w:pPr>
      <w:r>
        <w:t>2.1 Cost of Current Approach</w:t>
      </w:r>
    </w:p>
    <w:p>
      <w:r>
        <w:rPr>
          <w:rFonts w:ascii="Figtree" w:hAnsi="Figtree"/>
          <w:b w:val="0"/>
          <w:i w:val="0"/>
          <w:sz w:val="22"/>
        </w:rPr>
        <w:t>Chipper Cash's current cross-border settlement relies on correspondent banking relationships and manual FX operations. The hidden costs of the current approach include:</w:t>
      </w:r>
    </w:p>
    <w:p>
      <w:r>
        <w:rPr>
          <w:rFonts w:ascii="Figtree" w:hAnsi="Figtree"/>
          <w:b/>
          <w:i w:val="0"/>
          <w:sz w:val="22"/>
        </w:rPr>
        <w:t>Correspondent banking cost:</w:t>
      </w:r>
      <w:r>
        <w:rPr>
          <w:rFonts w:ascii="Figtree" w:hAnsi="Figtree"/>
          <w:b w:val="0"/>
          <w:i w:val="0"/>
          <w:sz w:val="22"/>
        </w:rPr>
        <w:t xml:space="preserve"> Industry estimates for cross-border remittance via correspondent banking: 4-7% of transaction value in combined FX spread, correspondent fees, and SWIFT messaging costs. For Chipper Cash's volume, this represents a significant per-transaction cost that tokenized settlement can reduce.</w:t>
      </w:r>
    </w:p>
    <w:p>
      <w:r>
        <w:rPr>
          <w:rFonts w:ascii="Figtree" w:hAnsi="Figtree"/>
          <w:b/>
          <w:i w:val="0"/>
          <w:sz w:val="22"/>
        </w:rPr>
        <w:t>Settlement speed:</w:t>
      </w:r>
      <w:r>
        <w:rPr>
          <w:rFonts w:ascii="Figtree" w:hAnsi="Figtree"/>
          <w:b w:val="0"/>
          <w:i w:val="0"/>
          <w:sz w:val="22"/>
        </w:rPr>
        <w:t xml:space="preserve"> Correspondent banking settlement: 1-3 business days. Tokenized settlement: &lt; 5 seconds confirmation. The settlement speed differential creates both user experience advantages and capital efficiency gains (faster corridor rebalancing).</w:t>
      </w:r>
    </w:p>
    <w:p>
      <w:r>
        <w:rPr>
          <w:rFonts w:ascii="Figtree" w:hAnsi="Figtree"/>
          <w:b/>
          <w:i w:val="0"/>
          <w:sz w:val="22"/>
        </w:rPr>
        <w:t>Liquidity management overhead:</w:t>
      </w:r>
      <w:r>
        <w:rPr>
          <w:rFonts w:ascii="Figtree" w:hAnsi="Figtree"/>
          <w:b w:val="0"/>
          <w:i w:val="0"/>
          <w:sz w:val="22"/>
        </w:rPr>
        <w:t xml:space="preserve"> Manual liquidity management across 8+ corridors requires treasury staff time, frequent wire transfers for rebalancing, and suboptimal corridor pre-funding levels. DALP's real-time position visibility reduces both staff overhead and pre-funding requirements.</w:t>
      </w:r>
    </w:p>
    <w:p>
      <w:r>
        <w:rPr>
          <w:rFonts w:ascii="Figtree" w:hAnsi="Figtree"/>
          <w:b/>
          <w:i w:val="0"/>
          <w:sz w:val="22"/>
        </w:rPr>
        <w:t>Regulatory compliance overhead:</w:t>
      </w:r>
      <w:r>
        <w:rPr>
          <w:rFonts w:ascii="Figtree" w:hAnsi="Figtree"/>
          <w:b w:val="0"/>
          <w:i w:val="0"/>
          <w:sz w:val="22"/>
        </w:rPr>
        <w:t xml:space="preserve"> Per-corridor compliance management with manual rule updates when jurisdictions change requirements. DALP's configurable modules eliminate engineering changes for compliance parameter updates.</w:t>
      </w:r>
    </w:p>
    <w:p>
      <w:pPr>
        <w:pStyle w:val="H2"/>
        <w:numPr>
          <w:ilvl w:val="1"/>
          <w:numId w:val="1"/>
        </w:numPr>
      </w:pPr>
      <w:r>
        <w:t>2.2 Why DALP Changes Chipper Cash's Economics</w:t>
      </w:r>
    </w:p>
    <w:p>
      <w:r>
        <w:rPr>
          <w:rFonts w:ascii="Figtree" w:hAnsi="Figtree"/>
          <w:b/>
          <w:i w:val="0"/>
          <w:sz w:val="22"/>
        </w:rPr>
        <w:t>Settlement cost reduction:</w:t>
      </w:r>
      <w:r>
        <w:rPr>
          <w:rFonts w:ascii="Figtree" w:hAnsi="Figtree"/>
          <w:b w:val="0"/>
          <w:i w:val="0"/>
          <w:sz w:val="22"/>
        </w:rPr>
        <w:t xml:space="preserve"> Tokenized settlement between corridor pools eliminates correspondent banking fees for intra-Chipper-Cash settlement. The corridor token swap cost is the blockchain transaction fee (minimal) plus the platform licence. For high-volume corridors, this represents a significant per-transaction cost reduction.</w:t>
      </w:r>
    </w:p>
    <w:p>
      <w:r>
        <w:rPr>
          <w:rFonts w:ascii="Figtree" w:hAnsi="Figtree"/>
          <w:b/>
          <w:i w:val="0"/>
          <w:sz w:val="22"/>
        </w:rPr>
        <w:t>Capital efficiency:</w:t>
      </w:r>
      <w:r>
        <w:rPr>
          <w:rFonts w:ascii="Figtree" w:hAnsi="Figtree"/>
          <w:b w:val="0"/>
          <w:i w:val="0"/>
          <w:sz w:val="22"/>
        </w:rPr>
        <w:t xml:space="preserve"> Real-time liquidity visibility enables more precise corridor pre-funding, reducing the capital tied up in over-funded corridors. Based on comparable deployments, 15-25% reduction in corridor pre-funding requirements is achievable through better liquidity visibility.</w:t>
      </w:r>
    </w:p>
    <w:p>
      <w:r>
        <w:rPr>
          <w:rFonts w:ascii="Figtree" w:hAnsi="Figtree"/>
          <w:b/>
          <w:i w:val="0"/>
          <w:sz w:val="22"/>
        </w:rPr>
        <w:t>PAPSS access:</w:t>
      </w:r>
      <w:r>
        <w:rPr>
          <w:rFonts w:ascii="Figtree" w:hAnsi="Figtree"/>
          <w:b w:val="0"/>
          <w:i w:val="0"/>
          <w:sz w:val="22"/>
        </w:rPr>
        <w:t xml:space="preserve"> DALP's PAPSS-ready architecture positions Chipper Cash to benefit from PAPSS as it expands to additional African currency corridors. PAPSS aims to reduce cross-border settlement costs for African intra-continental payments by eliminating USD intermediation.</w:t>
      </w:r>
    </w:p>
    <w:p>
      <w:r>
        <w:rPr>
          <w:rFonts w:ascii="Figtree" w:hAnsi="Figtree"/>
          <w:b/>
          <w:i w:val="0"/>
          <w:sz w:val="22"/>
        </w:rPr>
        <w:t>New corridor speed:</w:t>
      </w:r>
      <w:r>
        <w:rPr>
          <w:rFonts w:ascii="Figtree" w:hAnsi="Figtree"/>
          <w:b w:val="0"/>
          <w:i w:val="0"/>
          <w:sz w:val="22"/>
        </w:rPr>
        <w:t xml:space="preserve"> Adding a new country corridor currently requires: legal setup, correspondent banking relationship establishment, and compliance framework development. With DALP, the platform configuration for a new corridor takes approximately 2 weeks. The legal and banking setup remains; the technology setup is accelerated dramatically.</w:t>
      </w:r>
    </w:p>
    <w:p>
      <w:pPr>
        <w:pStyle w:val="H2"/>
        <w:numPr>
          <w:ilvl w:val="1"/>
          <w:numId w:val="1"/>
        </w:numPr>
      </w:pPr>
      <w:r>
        <w:t>2.3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7"/>
        <w:gridCol w:w="3906"/>
        <w:gridCol w:w="284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Basis</w:t>
            </w:r>
          </w:p>
        </w:tc>
      </w:tr>
      <w:tr>
        <w:trPr>
          <w:trHeight w:val="425" w:hRule="atLeast"/>
        </w:trPr>
        <w:tc>
          <w:tcPr>
            <w:tcW w:type="dxa" w:w="3249"/>
            <w:vAlign w:val="center"/>
          </w:tcPr>
          <w:p>
            <w:pPr>
              <w:spacing w:line="276" w:lineRule="auto" w:before="0" w:after="0"/>
            </w:pPr>
            <w:r/>
            <w:r>
              <w:rPr>
                <w:rFonts w:ascii="Figtree" w:hAnsi="Figtree"/>
                <w:b w:val="0"/>
                <w:i w:val="0"/>
                <w:sz w:val="20"/>
              </w:rPr>
              <w:t>Correspondent banking fee reduction</w:t>
            </w:r>
          </w:p>
        </w:tc>
        <w:tc>
          <w:tcPr>
            <w:tcW w:type="dxa" w:w="3249"/>
            <w:vAlign w:val="center"/>
          </w:tcPr>
          <w:p>
            <w:pPr>
              <w:spacing w:line="276" w:lineRule="auto" w:before="0" w:after="0"/>
            </w:pPr>
            <w:r/>
            <w:r>
              <w:rPr>
                <w:rFonts w:ascii="Figtree" w:hAnsi="Figtree"/>
                <w:b w:val="0"/>
                <w:i w:val="0"/>
                <w:sz w:val="20"/>
              </w:rPr>
              <w:t>40-60% per-transaction reduction for tokenized corridors</w:t>
            </w:r>
          </w:p>
        </w:tc>
        <w:tc>
          <w:tcPr>
            <w:tcW w:type="dxa" w:w="3249"/>
            <w:vAlign w:val="center"/>
          </w:tcPr>
          <w:p>
            <w:pPr>
              <w:spacing w:line="276" w:lineRule="auto" w:before="0" w:after="0"/>
            </w:pPr>
            <w:r/>
            <w:r>
              <w:rPr>
                <w:rFonts w:ascii="Figtree" w:hAnsi="Figtree"/>
                <w:b w:val="0"/>
                <w:i w:val="0"/>
                <w:sz w:val="20"/>
              </w:rPr>
              <w:t>Comparable tokenized remittance deployments</w:t>
            </w:r>
          </w:p>
        </w:tc>
      </w:tr>
      <w:tr>
        <w:trPr>
          <w:trHeight w:val="425" w:hRule="atLeast"/>
        </w:trPr>
        <w:tc>
          <w:tcPr>
            <w:tcW w:type="dxa" w:w="3249"/>
            <w:vAlign w:val="center"/>
          </w:tcPr>
          <w:p>
            <w:pPr>
              <w:spacing w:line="276" w:lineRule="auto" w:before="0" w:after="0"/>
            </w:pPr>
            <w:r/>
            <w:r>
              <w:rPr>
                <w:rFonts w:ascii="Figtree" w:hAnsi="Figtree"/>
                <w:b w:val="0"/>
                <w:i w:val="0"/>
                <w:sz w:val="20"/>
              </w:rPr>
              <w:t>Capital efficiency improvement</w:t>
            </w:r>
          </w:p>
        </w:tc>
        <w:tc>
          <w:tcPr>
            <w:tcW w:type="dxa" w:w="3249"/>
            <w:vAlign w:val="center"/>
          </w:tcPr>
          <w:p>
            <w:pPr>
              <w:spacing w:line="276" w:lineRule="auto" w:before="0" w:after="0"/>
            </w:pPr>
            <w:r/>
            <w:r>
              <w:rPr>
                <w:rFonts w:ascii="Figtree" w:hAnsi="Figtree"/>
                <w:b w:val="0"/>
                <w:i w:val="0"/>
                <w:sz w:val="20"/>
              </w:rPr>
              <w:t>15-25% reduction in pre-funding requirements</w:t>
            </w:r>
          </w:p>
        </w:tc>
        <w:tc>
          <w:tcPr>
            <w:tcW w:type="dxa" w:w="3249"/>
            <w:vAlign w:val="center"/>
          </w:tcPr>
          <w:p>
            <w:pPr>
              <w:spacing w:line="276" w:lineRule="auto" w:before="0" w:after="0"/>
            </w:pPr>
            <w:r/>
            <w:r>
              <w:rPr>
                <w:rFonts w:ascii="Figtree" w:hAnsi="Figtree"/>
                <w:b w:val="0"/>
                <w:i w:val="0"/>
                <w:sz w:val="20"/>
              </w:rPr>
              <w:t>Real-time liquidity visibility</w:t>
            </w:r>
          </w:p>
        </w:tc>
      </w:tr>
      <w:tr>
        <w:trPr>
          <w:trHeight w:val="425" w:hRule="atLeast"/>
        </w:trPr>
        <w:tc>
          <w:tcPr>
            <w:tcW w:type="dxa" w:w="3249"/>
            <w:vAlign w:val="center"/>
          </w:tcPr>
          <w:p>
            <w:pPr>
              <w:spacing w:line="276" w:lineRule="auto" w:before="0" w:after="0"/>
            </w:pPr>
            <w:r/>
            <w:r>
              <w:rPr>
                <w:rFonts w:ascii="Figtree" w:hAnsi="Figtree"/>
                <w:b w:val="0"/>
                <w:i w:val="0"/>
                <w:sz w:val="20"/>
              </w:rPr>
              <w:t>Compliance staff efficiency</w:t>
            </w:r>
          </w:p>
        </w:tc>
        <w:tc>
          <w:tcPr>
            <w:tcW w:type="dxa" w:w="3249"/>
            <w:vAlign w:val="center"/>
          </w:tcPr>
          <w:p>
            <w:pPr>
              <w:spacing w:line="276" w:lineRule="auto" w:before="0" w:after="0"/>
            </w:pPr>
            <w:r/>
            <w:r>
              <w:rPr>
                <w:rFonts w:ascii="Figtree" w:hAnsi="Figtree"/>
                <w:b w:val="0"/>
                <w:i w:val="0"/>
                <w:sz w:val="20"/>
              </w:rPr>
              <w:t>30-50% reduction in per-corridor compliance management time</w:t>
            </w:r>
          </w:p>
        </w:tc>
        <w:tc>
          <w:tcPr>
            <w:tcW w:type="dxa" w:w="3249"/>
            <w:vAlign w:val="center"/>
          </w:tcPr>
          <w:p>
            <w:pPr>
              <w:spacing w:line="276" w:lineRule="auto" w:before="0" w:after="0"/>
            </w:pPr>
            <w:r/>
            <w:r>
              <w:rPr>
                <w:rFonts w:ascii="Figtree" w:hAnsi="Figtree"/>
                <w:b w:val="0"/>
                <w:i w:val="0"/>
                <w:sz w:val="20"/>
              </w:rPr>
              <w:t>Configurable rules vs manual updates</w:t>
            </w:r>
          </w:p>
        </w:tc>
      </w:tr>
      <w:tr>
        <w:trPr>
          <w:trHeight w:val="425" w:hRule="atLeast"/>
        </w:trPr>
        <w:tc>
          <w:tcPr>
            <w:tcW w:type="dxa" w:w="3249"/>
            <w:vAlign w:val="center"/>
          </w:tcPr>
          <w:p>
            <w:pPr>
              <w:spacing w:line="276" w:lineRule="auto" w:before="0" w:after="0"/>
            </w:pPr>
            <w:r/>
            <w:r>
              <w:rPr>
                <w:rFonts w:ascii="Figtree" w:hAnsi="Figtree"/>
                <w:b w:val="0"/>
                <w:i w:val="0"/>
                <w:sz w:val="20"/>
              </w:rPr>
              <w:t>New corridor time-to-launch</w:t>
            </w:r>
          </w:p>
        </w:tc>
        <w:tc>
          <w:tcPr>
            <w:tcW w:type="dxa" w:w="3249"/>
            <w:vAlign w:val="center"/>
          </w:tcPr>
          <w:p>
            <w:pPr>
              <w:spacing w:line="276" w:lineRule="auto" w:before="0" w:after="0"/>
            </w:pPr>
            <w:r/>
            <w:r>
              <w:rPr>
                <w:rFonts w:ascii="Figtree" w:hAnsi="Figtree"/>
                <w:b w:val="0"/>
                <w:i w:val="0"/>
                <w:sz w:val="20"/>
              </w:rPr>
              <w:t>2 weeks vs 3-6 months (technology component)</w:t>
            </w:r>
          </w:p>
        </w:tc>
        <w:tc>
          <w:tcPr>
            <w:tcW w:type="dxa" w:w="3249"/>
            <w:vAlign w:val="center"/>
          </w:tcPr>
          <w:p>
            <w:pPr>
              <w:spacing w:line="276" w:lineRule="auto" w:before="0" w:after="0"/>
            </w:pPr>
            <w:r/>
            <w:r>
              <w:rPr>
                <w:rFonts w:ascii="Figtree" w:hAnsi="Figtree"/>
                <w:b w:val="0"/>
                <w:i w:val="0"/>
                <w:sz w:val="20"/>
              </w:rPr>
              <w:t>Platform configuration vs development</w:t>
            </w:r>
          </w:p>
        </w:tc>
      </w:tr>
      <w:tr>
        <w:trPr>
          <w:trHeight w:val="425" w:hRule="atLeast"/>
        </w:trPr>
        <w:tc>
          <w:tcPr>
            <w:tcW w:type="dxa" w:w="3249"/>
            <w:vAlign w:val="center"/>
          </w:tcPr>
          <w:p>
            <w:pPr>
              <w:spacing w:line="276" w:lineRule="auto" w:before="0" w:after="0"/>
            </w:pPr>
            <w:r/>
            <w:r>
              <w:rPr>
                <w:rFonts w:ascii="Figtree" w:hAnsi="Figtree"/>
                <w:b w:val="0"/>
                <w:i w:val="0"/>
                <w:sz w:val="20"/>
              </w:rPr>
              <w:t>PAPSS readiness</w:t>
            </w:r>
          </w:p>
        </w:tc>
        <w:tc>
          <w:tcPr>
            <w:tcW w:type="dxa" w:w="3249"/>
            <w:vAlign w:val="center"/>
          </w:tcPr>
          <w:p>
            <w:pPr>
              <w:spacing w:line="276" w:lineRule="auto" w:before="0" w:after="0"/>
            </w:pPr>
            <w:r/>
            <w:r>
              <w:rPr>
                <w:rFonts w:ascii="Figtree" w:hAnsi="Figtree"/>
                <w:b w:val="0"/>
                <w:i w:val="0"/>
                <w:sz w:val="20"/>
              </w:rPr>
              <w:t>PAPSS integration-ready without rework</w:t>
            </w:r>
          </w:p>
        </w:tc>
        <w:tc>
          <w:tcPr>
            <w:tcW w:type="dxa" w:w="3249"/>
            <w:vAlign w:val="center"/>
          </w:tcPr>
          <w:p>
            <w:pPr>
              <w:spacing w:line="276" w:lineRule="auto" w:before="0" w:after="0"/>
            </w:pPr>
            <w:r/>
            <w:r>
              <w:rPr>
                <w:rFonts w:ascii="Figtree" w:hAnsi="Figtree"/>
                <w:b w:val="0"/>
                <w:i w:val="0"/>
                <w:sz w:val="20"/>
              </w:rPr>
              <w:t>Forward-compatible architecture</w:t>
            </w:r>
          </w:p>
        </w:tc>
      </w:tr>
    </w:tbl>
    <w:p>
      <w:pPr>
        <w:spacing w:before="0" w:after="0" w:line="120" w:lineRule="exact"/>
      </w:pPr>
    </w:p>
    <w:p>
      <w:r>
        <w:rPr>
          <w:rFonts w:ascii="Figtree" w:hAnsi="Figtree"/>
          <w:b w:val="0"/>
          <w:i w:val="0"/>
          <w:sz w:val="22"/>
        </w:rPr>
        <w:t>&gt; ROI quantification depends on Chipper Cash's specific corridor volumes, FX spreads, and current operational costs. SettleMint recommends a joint ROI workshop in Phase 1 to develop corridor-specific models.</w:t>
      </w:r>
    </w:p>
    <w:p>
      <w:pPr>
        <w:pStyle w:val="H2"/>
        <w:numPr>
          <w:ilvl w:val="1"/>
          <w:numId w:val="1"/>
        </w:numPr>
      </w:pPr>
      <w:r>
        <w:t>2.4 Payback Period Analysis</w:t>
      </w:r>
    </w:p>
    <w:p>
      <w:r>
        <w:rPr>
          <w:rFonts w:ascii="Figtree" w:hAnsi="Figtree"/>
          <w:b w:val="0"/>
          <w:i w:val="0"/>
          <w:sz w:val="22"/>
        </w:rPr>
        <w:t>Based on comparable cross-border remittance deployments and publicly available corridor cost data: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5"/>
        <w:gridCol w:w="3689"/>
        <w:gridCol w:w="786"/>
        <w:gridCol w:w="1995"/>
        <w:gridCol w:w="187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Annual Saving</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Payback on Implementation ($180K)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Payback on Year 1 Total ($824K)</w:t>
            </w:r>
          </w:p>
        </w:tc>
      </w:tr>
      <w:tr>
        <w:trPr>
          <w:trHeight w:val="425" w:hRule="atLeast"/>
        </w:trPr>
        <w:tc>
          <w:tcPr>
            <w:tcW w:type="dxa" w:w="1949"/>
            <w:vAlign w:val="center"/>
          </w:tcPr>
          <w:p>
            <w:pPr>
              <w:spacing w:line="276" w:lineRule="auto" w:before="0" w:after="0"/>
            </w:pPr>
            <w:r/>
            <w:r>
              <w:rPr>
                <w:rFonts w:ascii="Figtree" w:hAnsi="Figtree"/>
                <w:b w:val="0"/>
                <w:i w:val="0"/>
                <w:sz w:val="20"/>
              </w:rPr>
              <w:t>Conservative</w:t>
            </w:r>
          </w:p>
        </w:tc>
        <w:tc>
          <w:tcPr>
            <w:tcW w:type="dxa" w:w="1949"/>
            <w:vAlign w:val="center"/>
          </w:tcPr>
          <w:p>
            <w:pPr>
              <w:spacing w:line="276" w:lineRule="auto" w:before="0" w:after="0"/>
            </w:pPr>
            <w:r/>
            <w:r>
              <w:rPr>
                <w:rFonts w:ascii="Figtree" w:hAnsi="Figtree"/>
                <w:b w:val="0"/>
                <w:i w:val="0"/>
                <w:sz w:val="20"/>
              </w:rPr>
              <w:t>2% correspondent fee reduction on $50M annual corridor volume</w:t>
            </w:r>
          </w:p>
        </w:tc>
        <w:tc>
          <w:tcPr>
            <w:tcW w:type="dxa" w:w="1949"/>
            <w:vAlign w:val="center"/>
          </w:tcPr>
          <w:p>
            <w:pPr>
              <w:spacing w:line="276" w:lineRule="auto" w:before="0" w:after="0"/>
            </w:pPr>
            <w:r/>
            <w:r>
              <w:rPr>
                <w:rFonts w:ascii="Figtree" w:hAnsi="Figtree"/>
                <w:b w:val="0"/>
                <w:i w:val="0"/>
                <w:sz w:val="20"/>
              </w:rPr>
              <w:t>$1,000,000</w:t>
            </w:r>
          </w:p>
        </w:tc>
        <w:tc>
          <w:tcPr>
            <w:tcW w:type="dxa" w:w="1949"/>
            <w:vAlign w:val="center"/>
          </w:tcPr>
          <w:p>
            <w:pPr>
              <w:spacing w:line="276" w:lineRule="auto" w:before="0" w:after="0"/>
            </w:pPr>
            <w:r/>
            <w:r>
              <w:rPr>
                <w:rFonts w:ascii="Figtree" w:hAnsi="Figtree"/>
                <w:b w:val="0"/>
                <w:i w:val="0"/>
                <w:sz w:val="20"/>
              </w:rPr>
              <w:t>2 months</w:t>
            </w:r>
          </w:p>
        </w:tc>
        <w:tc>
          <w:tcPr>
            <w:tcW w:type="dxa" w:w="1949"/>
            <w:vAlign w:val="center"/>
          </w:tcPr>
          <w:p>
            <w:pPr>
              <w:spacing w:line="276" w:lineRule="auto" w:before="0" w:after="0"/>
            </w:pPr>
            <w:r/>
            <w:r>
              <w:rPr>
                <w:rFonts w:ascii="Figtree" w:hAnsi="Figtree"/>
                <w:b w:val="0"/>
                <w:i w:val="0"/>
                <w:sz w:val="20"/>
              </w:rPr>
              <w:t>10 months</w:t>
            </w:r>
          </w:p>
        </w:tc>
      </w:tr>
      <w:tr>
        <w:trPr>
          <w:trHeight w:val="425" w:hRule="atLeast"/>
        </w:trPr>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3% fee reduction on $75M volume + 20% liquidity efficiency</w:t>
            </w:r>
          </w:p>
        </w:tc>
        <w:tc>
          <w:tcPr>
            <w:tcW w:type="dxa" w:w="1949"/>
            <w:vAlign w:val="center"/>
          </w:tcPr>
          <w:p>
            <w:pPr>
              <w:spacing w:line="276" w:lineRule="auto" w:before="0" w:after="0"/>
            </w:pPr>
            <w:r/>
            <w:r>
              <w:rPr>
                <w:rFonts w:ascii="Figtree" w:hAnsi="Figtree"/>
                <w:b w:val="0"/>
                <w:i w:val="0"/>
                <w:sz w:val="20"/>
              </w:rPr>
              <w:t>$2,750,000</w:t>
            </w:r>
          </w:p>
        </w:tc>
        <w:tc>
          <w:tcPr>
            <w:tcW w:type="dxa" w:w="1949"/>
            <w:vAlign w:val="center"/>
          </w:tcPr>
          <w:p>
            <w:pPr>
              <w:spacing w:line="276" w:lineRule="auto" w:before="0" w:after="0"/>
            </w:pPr>
            <w:r/>
            <w:r>
              <w:rPr>
                <w:rFonts w:ascii="Figtree" w:hAnsi="Figtree"/>
                <w:b w:val="0"/>
                <w:i w:val="0"/>
                <w:sz w:val="20"/>
              </w:rPr>
              <w:t>&lt; 1 month</w:t>
            </w:r>
          </w:p>
        </w:tc>
        <w:tc>
          <w:tcPr>
            <w:tcW w:type="dxa" w:w="1949"/>
            <w:vAlign w:val="center"/>
          </w:tcPr>
          <w:p>
            <w:pPr>
              <w:spacing w:line="276" w:lineRule="auto" w:before="0" w:after="0"/>
            </w:pPr>
            <w:r/>
            <w:r>
              <w:rPr>
                <w:rFonts w:ascii="Figtree" w:hAnsi="Figtree"/>
                <w:b w:val="0"/>
                <w:i w:val="0"/>
                <w:sz w:val="20"/>
              </w:rPr>
              <w:t>4 months</w:t>
            </w:r>
          </w:p>
        </w:tc>
      </w:tr>
      <w:tr>
        <w:trPr>
          <w:trHeight w:val="425" w:hRule="atLeast"/>
        </w:trPr>
        <w:tc>
          <w:tcPr>
            <w:tcW w:type="dxa" w:w="1949"/>
            <w:vAlign w:val="center"/>
          </w:tcPr>
          <w:p>
            <w:pPr>
              <w:spacing w:line="276" w:lineRule="auto" w:before="0" w:after="0"/>
            </w:pPr>
            <w:r/>
            <w:r>
              <w:rPr>
                <w:rFonts w:ascii="Figtree" w:hAnsi="Figtree"/>
                <w:b w:val="0"/>
                <w:i w:val="0"/>
                <w:sz w:val="20"/>
              </w:rPr>
              <w:t>Aggressive</w:t>
            </w:r>
          </w:p>
        </w:tc>
        <w:tc>
          <w:tcPr>
            <w:tcW w:type="dxa" w:w="1949"/>
            <w:vAlign w:val="center"/>
          </w:tcPr>
          <w:p>
            <w:pPr>
              <w:spacing w:line="276" w:lineRule="auto" w:before="0" w:after="0"/>
            </w:pPr>
            <w:r/>
            <w:r>
              <w:rPr>
                <w:rFonts w:ascii="Figtree" w:hAnsi="Figtree"/>
                <w:b w:val="0"/>
                <w:i w:val="0"/>
                <w:sz w:val="20"/>
              </w:rPr>
              <w:t>4% fee reduction on $100M+ volume + PAPSS savings</w:t>
            </w:r>
          </w:p>
        </w:tc>
        <w:tc>
          <w:tcPr>
            <w:tcW w:type="dxa" w:w="1949"/>
            <w:vAlign w:val="center"/>
          </w:tcPr>
          <w:p>
            <w:pPr>
              <w:spacing w:line="276" w:lineRule="auto" w:before="0" w:after="0"/>
            </w:pPr>
            <w:r/>
            <w:r>
              <w:rPr>
                <w:rFonts w:ascii="Figtree" w:hAnsi="Figtree"/>
                <w:b w:val="0"/>
                <w:i w:val="0"/>
                <w:sz w:val="20"/>
              </w:rPr>
              <w:t>$4,500,000+</w:t>
            </w:r>
          </w:p>
        </w:tc>
        <w:tc>
          <w:tcPr>
            <w:tcW w:type="dxa" w:w="1949"/>
            <w:vAlign w:val="center"/>
          </w:tcPr>
          <w:p>
            <w:pPr>
              <w:spacing w:line="276" w:lineRule="auto" w:before="0" w:after="0"/>
            </w:pPr>
            <w:r/>
            <w:r>
              <w:rPr>
                <w:rFonts w:ascii="Figtree" w:hAnsi="Figtree"/>
                <w:b w:val="0"/>
                <w:i w:val="0"/>
                <w:sz w:val="20"/>
              </w:rPr>
              <w:t>&lt; 1 month</w:t>
            </w:r>
          </w:p>
        </w:tc>
        <w:tc>
          <w:tcPr>
            <w:tcW w:type="dxa" w:w="1949"/>
            <w:vAlign w:val="center"/>
          </w:tcPr>
          <w:p>
            <w:pPr>
              <w:spacing w:line="276" w:lineRule="auto" w:before="0" w:after="0"/>
            </w:pPr>
            <w:r/>
            <w:r>
              <w:rPr>
                <w:rFonts w:ascii="Figtree" w:hAnsi="Figtree"/>
                <w:b w:val="0"/>
                <w:i w:val="0"/>
                <w:sz w:val="20"/>
              </w:rPr>
              <w:t>3 months</w:t>
            </w:r>
          </w:p>
        </w:tc>
      </w:tr>
    </w:tbl>
    <w:p>
      <w:pPr>
        <w:spacing w:before="0" w:after="0" w:line="120" w:lineRule="exact"/>
      </w:pPr>
    </w:p>
    <w:p>
      <w:r>
        <w:rPr>
          <w:rFonts w:ascii="Figtree" w:hAnsi="Figtree"/>
          <w:b/>
          <w:i w:val="0"/>
          <w:sz w:val="22"/>
        </w:rPr>
        <w:t>Key insight:</w:t>
      </w:r>
      <w:r>
        <w:rPr>
          <w:rFonts w:ascii="Figtree" w:hAnsi="Figtree"/>
          <w:b w:val="0"/>
          <w:i w:val="0"/>
          <w:sz w:val="22"/>
        </w:rPr>
        <w:t xml:space="preserve"> Even under the most conservative scenario, the implementation investment ($180,000) pays back within the first quarter. The full Year 1 investment ($824,000) pays back within 10 months from correspondent banking fee reduction alone, before accounting for capital efficiency gains, compliance staff savings, or new corridor revenue enablement.</w:t>
      </w:r>
    </w:p>
    <w:p>
      <w:r>
        <w:rPr>
          <w:rFonts w:ascii="Figtree" w:hAnsi="Figtree"/>
          <w:b w:val="0"/>
          <w:i w:val="0"/>
          <w:sz w:val="22"/>
        </w:rPr>
        <w:t>The payback analysis assumes Chipper Cash's total cross-border settlement volume exceeds $50M annually across all corridors. If actual corridor volumes are significantly lower, the payback timeline extends proportionally. SettleMint recommends validating these assumptions during Phase 1 discovery with actual corridor data.</w:t>
      </w:r>
    </w:p>
    <w:p>
      <w:r>
        <w:br w:type="page"/>
      </w:r>
    </w:p>
    <w:p>
      <w:pPr>
        <w:pStyle w:val="H1"/>
        <w:numPr>
          <w:ilvl w:val="0"/>
          <w:numId w:val="1"/>
        </w:numPr>
      </w:pPr>
      <w:r>
        <w:t>3. Licensing Model</w:t>
      </w:r>
    </w:p>
    <w:p>
      <w:pPr>
        <w:pStyle w:val="H2"/>
        <w:numPr>
          <w:ilvl w:val="1"/>
          <w:numId w:val="1"/>
        </w:numPr>
      </w:pPr>
      <w:r>
        <w:t>3.1 Enterprise Licence — What's Included</w:t>
      </w:r>
    </w:p>
    <w:p>
      <w:r>
        <w:rPr>
          <w:rFonts w:ascii="Figtree" w:hAnsi="Figtree"/>
          <w:b w:val="0"/>
          <w:i w:val="0"/>
          <w:sz w:val="22"/>
        </w:rPr>
        <w:t>For Chipper Cash's use case, the Enterprise licence includes all capabilities needed: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76"/>
        <w:gridCol w:w="419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Included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4873"/>
            <w:vAlign w:val="center"/>
          </w:tcPr>
          <w:p>
            <w:pPr>
              <w:spacing w:line="276" w:lineRule="auto" w:before="0" w:after="0"/>
            </w:pPr>
            <w:r/>
            <w:r>
              <w:rPr>
                <w:rFonts w:ascii="Figtree" w:hAnsi="Figtree"/>
                <w:b w:val="0"/>
                <w:i w:val="0"/>
                <w:sz w:val="20"/>
              </w:rPr>
              <w:t>All stablecoin/deposit asset types</w:t>
            </w:r>
          </w:p>
        </w:tc>
        <w:tc>
          <w:tcPr>
            <w:tcW w:type="dxa" w:w="4873"/>
            <w:vAlign w:val="center"/>
          </w:tcPr>
          <w:p>
            <w:pPr>
              <w:spacing w:line="276" w:lineRule="auto" w:before="0" w:after="0"/>
            </w:pPr>
            <w:r/>
            <w:r>
              <w:rPr>
                <w:rFonts w:ascii="Figtree" w:hAnsi="Figtree"/>
                <w:b w:val="0"/>
                <w:i w:val="0"/>
                <w:sz w:val="20"/>
              </w:rPr>
              <w:t>Multi-currency corridor tokens</w:t>
            </w:r>
          </w:p>
        </w:tc>
      </w:tr>
      <w:tr>
        <w:trPr>
          <w:trHeight w:val="425" w:hRule="atLeast"/>
        </w:trPr>
        <w:tc>
          <w:tcPr>
            <w:tcW w:type="dxa" w:w="4873"/>
            <w:vAlign w:val="center"/>
          </w:tcPr>
          <w:p>
            <w:pPr>
              <w:spacing w:line="276" w:lineRule="auto" w:before="0" w:after="0"/>
            </w:pPr>
            <w:r/>
            <w:r>
              <w:rPr>
                <w:rFonts w:ascii="Figtree" w:hAnsi="Figtree"/>
                <w:b w:val="0"/>
                <w:i w:val="0"/>
                <w:sz w:val="20"/>
              </w:rPr>
              <w:t>Per-corridor compliance modules (unlimited)</w:t>
            </w:r>
          </w:p>
        </w:tc>
        <w:tc>
          <w:tcPr>
            <w:tcW w:type="dxa" w:w="4873"/>
            <w:vAlign w:val="center"/>
          </w:tcPr>
          <w:p>
            <w:pPr>
              <w:spacing w:line="276" w:lineRule="auto" w:before="0" w:after="0"/>
            </w:pPr>
            <w:r/>
            <w:r>
              <w:rPr>
                <w:rFonts w:ascii="Figtree" w:hAnsi="Figtree"/>
                <w:b w:val="0"/>
                <w:i w:val="0"/>
                <w:sz w:val="20"/>
              </w:rPr>
              <w:t>Per-instrument configuration</w:t>
            </w:r>
          </w:p>
        </w:tc>
      </w:tr>
      <w:tr>
        <w:trPr>
          <w:trHeight w:val="425" w:hRule="atLeast"/>
        </w:trPr>
        <w:tc>
          <w:tcPr>
            <w:tcW w:type="dxa" w:w="4873"/>
            <w:vAlign w:val="center"/>
          </w:tcPr>
          <w:p>
            <w:pPr>
              <w:spacing w:line="276" w:lineRule="auto" w:before="0" w:after="0"/>
            </w:pPr>
            <w:r/>
            <w:r>
              <w:rPr>
                <w:rFonts w:ascii="Figtree" w:hAnsi="Figtree"/>
                <w:b w:val="0"/>
                <w:i w:val="0"/>
                <w:sz w:val="20"/>
              </w:rPr>
              <w:t>XvP Settlement addon</w:t>
            </w:r>
          </w:p>
        </w:tc>
        <w:tc>
          <w:tcPr>
            <w:tcW w:type="dxa" w:w="4873"/>
            <w:vAlign w:val="center"/>
          </w:tcPr>
          <w:p>
            <w:pPr>
              <w:spacing w:line="276" w:lineRule="auto" w:before="0" w:after="0"/>
            </w:pPr>
            <w:r/>
            <w:r>
              <w:rPr>
                <w:rFonts w:ascii="Figtree" w:hAnsi="Figtree"/>
                <w:b w:val="0"/>
                <w:i w:val="0"/>
                <w:sz w:val="20"/>
              </w:rPr>
              <w:t>Atomic cross-corridor swaps</w:t>
            </w:r>
          </w:p>
        </w:tc>
      </w:tr>
      <w:tr>
        <w:trPr>
          <w:trHeight w:val="425" w:hRule="atLeast"/>
        </w:trPr>
        <w:tc>
          <w:tcPr>
            <w:tcW w:type="dxa" w:w="4873"/>
            <w:vAlign w:val="center"/>
          </w:tcPr>
          <w:p>
            <w:pPr>
              <w:spacing w:line="276" w:lineRule="auto" w:before="0" w:after="0"/>
            </w:pPr>
            <w:r/>
            <w:r>
              <w:rPr>
                <w:rFonts w:ascii="Figtree" w:hAnsi="Figtree"/>
                <w:b w:val="0"/>
                <w:i w:val="0"/>
                <w:sz w:val="20"/>
              </w:rPr>
              <w:t>Airdrop module</w:t>
            </w:r>
          </w:p>
        </w:tc>
        <w:tc>
          <w:tcPr>
            <w:tcW w:type="dxa" w:w="4873"/>
            <w:vAlign w:val="center"/>
          </w:tcPr>
          <w:p>
            <w:pPr>
              <w:spacing w:line="276" w:lineRule="auto" w:before="0" w:after="0"/>
            </w:pPr>
            <w:r/>
            <w:r>
              <w:rPr>
                <w:rFonts w:ascii="Figtree" w:hAnsi="Figtree"/>
                <w:b w:val="0"/>
                <w:i w:val="0"/>
                <w:sz w:val="20"/>
              </w:rPr>
              <w:t>Liquidity injection to corridor pools</w:t>
            </w:r>
          </w:p>
        </w:tc>
      </w:tr>
      <w:tr>
        <w:trPr>
          <w:trHeight w:val="425" w:hRule="atLeast"/>
        </w:trPr>
        <w:tc>
          <w:tcPr>
            <w:tcW w:type="dxa" w:w="4873"/>
            <w:vAlign w:val="center"/>
          </w:tcPr>
          <w:p>
            <w:pPr>
              <w:spacing w:line="276" w:lineRule="auto" w:before="0" w:after="0"/>
            </w:pPr>
            <w:r/>
            <w:r>
              <w:rPr>
                <w:rFonts w:ascii="Figtree" w:hAnsi="Figtree"/>
                <w:b w:val="0"/>
                <w:i w:val="0"/>
                <w:sz w:val="20"/>
              </w:rPr>
              <w:t>Managed SaaS infrastructure</w:t>
            </w:r>
          </w:p>
        </w:tc>
        <w:tc>
          <w:tcPr>
            <w:tcW w:type="dxa" w:w="4873"/>
            <w:vAlign w:val="center"/>
          </w:tcPr>
          <w:p>
            <w:pPr>
              <w:spacing w:line="276" w:lineRule="auto" w:before="0" w:after="0"/>
            </w:pPr>
            <w:r/>
            <w:r>
              <w:rPr>
                <w:rFonts w:ascii="Figtree" w:hAnsi="Figtree"/>
                <w:b w:val="0"/>
                <w:i w:val="0"/>
                <w:sz w:val="20"/>
              </w:rPr>
              <w:t>Included — no separate cloud cost</w:t>
            </w:r>
          </w:p>
        </w:tc>
      </w:tr>
      <w:tr>
        <w:trPr>
          <w:trHeight w:val="425" w:hRule="atLeast"/>
        </w:trPr>
        <w:tc>
          <w:tcPr>
            <w:tcW w:type="dxa" w:w="4873"/>
            <w:vAlign w:val="center"/>
          </w:tcPr>
          <w:p>
            <w:pPr>
              <w:spacing w:line="276" w:lineRule="auto" w:before="0" w:after="0"/>
            </w:pPr>
            <w:r/>
            <w:r>
              <w:rPr>
                <w:rFonts w:ascii="Figtree" w:hAnsi="Figtree"/>
                <w:b w:val="0"/>
                <w:i w:val="0"/>
                <w:sz w:val="20"/>
              </w:rPr>
              <w:t>OpenAPI 3.1 + webhook events</w:t>
            </w:r>
          </w:p>
        </w:tc>
        <w:tc>
          <w:tcPr>
            <w:tcW w:type="dxa" w:w="4873"/>
            <w:vAlign w:val="center"/>
          </w:tcPr>
          <w:p>
            <w:pPr>
              <w:spacing w:line="276" w:lineRule="auto" w:before="0" w:after="0"/>
            </w:pPr>
            <w:r/>
            <w:r>
              <w:rPr>
                <w:rFonts w:ascii="Figtree" w:hAnsi="Figtree"/>
                <w:b w:val="0"/>
                <w:i w:val="0"/>
                <w:sz w:val="20"/>
              </w:rPr>
              <w:t>Mobile money integration</w:t>
            </w:r>
          </w:p>
        </w:tc>
      </w:tr>
      <w:tr>
        <w:trPr>
          <w:trHeight w:val="425" w:hRule="atLeast"/>
        </w:trPr>
        <w:tc>
          <w:tcPr>
            <w:tcW w:type="dxa" w:w="4873"/>
            <w:vAlign w:val="center"/>
          </w:tcPr>
          <w:p>
            <w:pPr>
              <w:spacing w:line="276" w:lineRule="auto" w:before="0" w:after="0"/>
            </w:pPr>
            <w:r/>
            <w:r>
              <w:rPr>
                <w:rFonts w:ascii="Figtree" w:hAnsi="Figtree"/>
                <w:b w:val="0"/>
                <w:i w:val="0"/>
                <w:sz w:val="20"/>
              </w:rPr>
              <w:t>ISO 20022 adapter</w:t>
            </w:r>
          </w:p>
        </w:tc>
        <w:tc>
          <w:tcPr>
            <w:tcW w:type="dxa" w:w="4873"/>
            <w:vAlign w:val="center"/>
          </w:tcPr>
          <w:p>
            <w:pPr>
              <w:spacing w:line="276" w:lineRule="auto" w:before="0" w:after="0"/>
            </w:pPr>
            <w:r/>
            <w:r>
              <w:rPr>
                <w:rFonts w:ascii="Figtree" w:hAnsi="Figtree"/>
                <w:b w:val="0"/>
                <w:i w:val="0"/>
                <w:sz w:val="20"/>
              </w:rPr>
              <w:t>PAPSS and RTGS connectivity</w:t>
            </w:r>
          </w:p>
        </w:tc>
      </w:tr>
      <w:tr>
        <w:trPr>
          <w:trHeight w:val="425" w:hRule="atLeast"/>
        </w:trPr>
        <w:tc>
          <w:tcPr>
            <w:tcW w:type="dxa" w:w="4873"/>
            <w:vAlign w:val="center"/>
          </w:tcPr>
          <w:p>
            <w:pPr>
              <w:spacing w:line="276" w:lineRule="auto" w:before="0" w:after="0"/>
            </w:pPr>
            <w:r/>
            <w:r>
              <w:rPr>
                <w:rFonts w:ascii="Figtree" w:hAnsi="Figtree"/>
                <w:b w:val="0"/>
                <w:i w:val="0"/>
                <w:sz w:val="20"/>
              </w:rPr>
              <w:t>Operations dashboard</w:t>
            </w:r>
          </w:p>
        </w:tc>
        <w:tc>
          <w:tcPr>
            <w:tcW w:type="dxa" w:w="4873"/>
            <w:vAlign w:val="center"/>
          </w:tcPr>
          <w:p>
            <w:pPr>
              <w:spacing w:line="276" w:lineRule="auto" w:before="0" w:after="0"/>
            </w:pPr>
            <w:r/>
            <w:r>
              <w:rPr>
                <w:rFonts w:ascii="Figtree" w:hAnsi="Figtree"/>
                <w:b w:val="0"/>
                <w:i w:val="0"/>
                <w:sz w:val="20"/>
              </w:rPr>
              <w:t>Liquidity management view</w:t>
            </w:r>
          </w:p>
        </w:tc>
      </w:tr>
      <w:tr>
        <w:trPr>
          <w:trHeight w:val="425" w:hRule="atLeast"/>
        </w:trPr>
        <w:tc>
          <w:tcPr>
            <w:tcW w:type="dxa" w:w="4873"/>
            <w:vAlign w:val="center"/>
          </w:tcPr>
          <w:p>
            <w:pPr>
              <w:spacing w:line="276" w:lineRule="auto" w:before="0" w:after="0"/>
            </w:pPr>
            <w:r/>
            <w:r>
              <w:rPr>
                <w:rFonts w:ascii="Figtree" w:hAnsi="Figtree"/>
                <w:b w:val="0"/>
                <w:i w:val="0"/>
                <w:sz w:val="20"/>
              </w:rPr>
              <w:t>Compliance alert dashboard</w:t>
            </w:r>
          </w:p>
        </w:tc>
        <w:tc>
          <w:tcPr>
            <w:tcW w:type="dxa" w:w="4873"/>
            <w:vAlign w:val="center"/>
          </w:tcPr>
          <w:p>
            <w:pPr>
              <w:spacing w:line="276" w:lineRule="auto" w:before="0" w:after="0"/>
            </w:pPr>
            <w:r/>
            <w:r>
              <w:rPr>
                <w:rFonts w:ascii="Figtree" w:hAnsi="Figtree"/>
                <w:b w:val="0"/>
                <w:i w:val="0"/>
                <w:sz w:val="20"/>
              </w:rPr>
              <w:t>AML case management</w:t>
            </w:r>
          </w:p>
        </w:tc>
      </w:tr>
      <w:tr>
        <w:trPr>
          <w:trHeight w:val="425" w:hRule="atLeast"/>
        </w:trPr>
        <w:tc>
          <w:tcPr>
            <w:tcW w:type="dxa" w:w="4873"/>
            <w:vAlign w:val="center"/>
          </w:tcPr>
          <w:p>
            <w:pPr>
              <w:spacing w:line="276" w:lineRule="auto" w:before="0" w:after="0"/>
            </w:pPr>
            <w:r/>
            <w:r>
              <w:rPr>
                <w:rFonts w:ascii="Figtree" w:hAnsi="Figtree"/>
                <w:b w:val="0"/>
                <w:i w:val="0"/>
                <w:sz w:val="20"/>
              </w:rPr>
              <w:t>Audit log export</w:t>
            </w:r>
          </w:p>
        </w:tc>
        <w:tc>
          <w:tcPr>
            <w:tcW w:type="dxa" w:w="4873"/>
            <w:vAlign w:val="center"/>
          </w:tcPr>
          <w:p>
            <w:pPr>
              <w:spacing w:line="276" w:lineRule="auto" w:before="0" w:after="0"/>
            </w:pPr>
            <w:r/>
            <w:r>
              <w:rPr>
                <w:rFonts w:ascii="Figtree" w:hAnsi="Figtree"/>
                <w:b w:val="0"/>
                <w:i w:val="0"/>
                <w:sz w:val="20"/>
              </w:rPr>
              <w:t>Per-corridor regulatory evidence</w:t>
            </w:r>
          </w:p>
        </w:tc>
      </w:tr>
    </w:tbl>
    <w:p>
      <w:pPr>
        <w:spacing w:before="0" w:after="0" w:line="120" w:lineRule="exact"/>
      </w:pPr>
    </w:p>
    <w:p>
      <w:r>
        <w:rPr>
          <w:rFonts w:ascii="Figtree" w:hAnsi="Figtree"/>
          <w:b/>
          <w:i w:val="0"/>
          <w:sz w:val="22"/>
        </w:rPr>
        <w:t>No per-transaction fee.</w:t>
      </w:r>
      <w:r>
        <w:rPr>
          <w:rFonts w:ascii="Figtree" w:hAnsi="Figtree"/>
          <w:b w:val="0"/>
          <w:i w:val="0"/>
          <w:sz w:val="22"/>
        </w:rPr>
        <w:t xml:space="preserve"> Chipper Cash's transaction volume growth does not increase platform costs. The licence covers all settlement volume within the platform.</w:t>
      </w:r>
    </w:p>
    <w:p>
      <w:pPr>
        <w:pStyle w:val="H2"/>
        <w:numPr>
          <w:ilvl w:val="1"/>
          <w:numId w:val="1"/>
        </w:numPr>
      </w:pPr>
      <w:r>
        <w:t>3.2 Platform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84"/>
        <w:gridCol w:w="1080"/>
        <w:gridCol w:w="2592"/>
        <w:gridCol w:w="29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w:t>
            </w:r>
          </w:p>
        </w:tc>
      </w:tr>
      <w:tr>
        <w:trPr>
          <w:trHeight w:val="425" w:hRule="atLeast"/>
        </w:trPr>
        <w:tc>
          <w:tcPr>
            <w:tcW w:type="dxa" w:w="2436"/>
            <w:vAlign w:val="center"/>
          </w:tcPr>
          <w:p>
            <w:pPr>
              <w:spacing w:line="276" w:lineRule="auto" w:before="0" w:after="0"/>
            </w:pPr>
            <w:r/>
            <w:r>
              <w:rPr>
                <w:rFonts w:ascii="Figtree" w:hAnsi="Figtree"/>
                <w:b w:val="0"/>
                <w:i w:val="0"/>
                <w:sz w:val="20"/>
              </w:rPr>
              <w:t>Corridor tokens</w:t>
            </w:r>
          </w:p>
        </w:tc>
        <w:tc>
          <w:tcPr>
            <w:tcW w:type="dxa" w:w="2436"/>
            <w:vAlign w:val="center"/>
          </w:tcPr>
          <w:p>
            <w:pPr>
              <w:spacing w:line="276" w:lineRule="auto" w:before="0" w:after="0"/>
            </w:pPr>
            <w:r/>
            <w:r>
              <w:rPr>
                <w:rFonts w:ascii="Figtree" w:hAnsi="Figtree"/>
                <w:b w:val="0"/>
                <w:i w:val="0"/>
                <w:sz w:val="20"/>
              </w:rPr>
              <w:t>Up to 3</w:t>
            </w:r>
          </w:p>
        </w:tc>
        <w:tc>
          <w:tcPr>
            <w:tcW w:type="dxa" w:w="2436"/>
            <w:vAlign w:val="center"/>
          </w:tcPr>
          <w:p>
            <w:pPr>
              <w:spacing w:line="276" w:lineRule="auto" w:before="0" w:after="0"/>
            </w:pPr>
            <w:r/>
            <w:r>
              <w:rPr>
                <w:rFonts w:ascii="Figtree" w:hAnsi="Figtree"/>
                <w:b w:val="0"/>
                <w:i w:val="0"/>
                <w:sz w:val="20"/>
              </w:rPr>
              <w:t>Unlimited</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Environments</w:t>
            </w:r>
          </w:p>
        </w:tc>
        <w:tc>
          <w:tcPr>
            <w:tcW w:type="dxa" w:w="2436"/>
            <w:vAlign w:val="center"/>
          </w:tcPr>
          <w:p>
            <w:pPr>
              <w:spacing w:line="276" w:lineRule="auto" w:before="0" w:after="0"/>
            </w:pPr>
            <w:r/>
            <w:r>
              <w:rPr>
                <w:rFonts w:ascii="Figtree" w:hAnsi="Figtree"/>
                <w:b w:val="0"/>
                <w:i w:val="0"/>
                <w:sz w:val="20"/>
              </w:rPr>
              <w:t>2</w:t>
            </w:r>
          </w:p>
        </w:tc>
        <w:tc>
          <w:tcPr>
            <w:tcW w:type="dxa" w:w="2436"/>
            <w:vAlign w:val="center"/>
          </w:tcPr>
          <w:p>
            <w:pPr>
              <w:spacing w:line="276" w:lineRule="auto" w:before="0" w:after="0"/>
            </w:pPr>
            <w:r/>
            <w:r>
              <w:rPr>
                <w:rFonts w:ascii="Figtree" w:hAnsi="Figtree"/>
                <w:b w:val="0"/>
                <w:i w:val="0"/>
                <w:sz w:val="20"/>
              </w:rPr>
              <w:t>4</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Managed SaaS</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No (private cloud required)</w:t>
            </w:r>
          </w:p>
        </w:tc>
      </w:tr>
      <w:tr>
        <w:trPr>
          <w:trHeight w:val="425" w:hRule="atLeast"/>
        </w:trPr>
        <w:tc>
          <w:tcPr>
            <w:tcW w:type="dxa" w:w="2436"/>
            <w:vAlign w:val="center"/>
          </w:tcPr>
          <w:p>
            <w:pPr>
              <w:spacing w:line="276" w:lineRule="auto" w:before="0" w:after="0"/>
            </w:pPr>
            <w:r/>
            <w:r>
              <w:rPr>
                <w:rFonts w:ascii="Figtree" w:hAnsi="Figtree"/>
                <w:b w:val="0"/>
                <w:i w:val="0"/>
                <w:sz w:val="20"/>
              </w:rPr>
              <w:t>Per-corridor compliance</w:t>
            </w:r>
          </w:p>
        </w:tc>
        <w:tc>
          <w:tcPr>
            <w:tcW w:type="dxa" w:w="2436"/>
            <w:vAlign w:val="center"/>
          </w:tcPr>
          <w:p>
            <w:pPr>
              <w:spacing w:line="276" w:lineRule="auto" w:before="0" w:after="0"/>
            </w:pPr>
            <w:r/>
            <w:r>
              <w:rPr>
                <w:rFonts w:ascii="Figtree" w:hAnsi="Figtree"/>
                <w:b w:val="0"/>
                <w:i w:val="0"/>
                <w:sz w:val="20"/>
              </w:rPr>
              <w:t>Basic</w:t>
            </w:r>
          </w:p>
        </w:tc>
        <w:tc>
          <w:tcPr>
            <w:tcW w:type="dxa" w:w="2436"/>
            <w:vAlign w:val="center"/>
          </w:tcPr>
          <w:p>
            <w:pPr>
              <w:spacing w:line="276" w:lineRule="auto" w:before="0" w:after="0"/>
            </w:pPr>
            <w:r/>
            <w:r>
              <w:rPr>
                <w:rFonts w:ascii="Figtree" w:hAnsi="Figtree"/>
                <w:b w:val="0"/>
                <w:i w:val="0"/>
                <w:sz w:val="20"/>
              </w:rPr>
              <w:t>Full (all modules)</w:t>
            </w:r>
          </w:p>
        </w:tc>
        <w:tc>
          <w:tcPr>
            <w:tcW w:type="dxa" w:w="2436"/>
            <w:vAlign w:val="center"/>
          </w:tcPr>
          <w:p>
            <w:pPr>
              <w:spacing w:line="276" w:lineRule="auto" w:before="0" w:after="0"/>
            </w:pPr>
            <w:r/>
            <w:r>
              <w:rPr>
                <w:rFonts w:ascii="Figtree" w:hAnsi="Figtree"/>
                <w:b w:val="0"/>
                <w:i w:val="0"/>
                <w:sz w:val="20"/>
              </w:rPr>
              <w:t>Full + custom</w:t>
            </w:r>
          </w:p>
        </w:tc>
      </w:tr>
      <w:tr>
        <w:trPr>
          <w:trHeight w:val="425" w:hRule="atLeast"/>
        </w:trPr>
        <w:tc>
          <w:tcPr>
            <w:tcW w:type="dxa" w:w="2436"/>
            <w:vAlign w:val="center"/>
          </w:tcPr>
          <w:p>
            <w:pPr>
              <w:spacing w:line="276" w:lineRule="auto" w:before="0" w:after="0"/>
            </w:pPr>
            <w:r/>
            <w:r>
              <w:rPr>
                <w:rFonts w:ascii="Figtree" w:hAnsi="Figtree"/>
                <w:b w:val="0"/>
                <w:i w:val="0"/>
                <w:sz w:val="20"/>
              </w:rPr>
              <w:t>PAPSS adapter</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Mobile money hooks</w:t>
            </w:r>
          </w:p>
        </w:tc>
        <w:tc>
          <w:tcPr>
            <w:tcW w:type="dxa" w:w="2436"/>
            <w:vAlign w:val="center"/>
          </w:tcPr>
          <w:p>
            <w:pPr>
              <w:spacing w:line="276" w:lineRule="auto" w:before="0" w:after="0"/>
            </w:pPr>
            <w:r/>
            <w:r>
              <w:rPr>
                <w:rFonts w:ascii="Figtree" w:hAnsi="Figtree"/>
                <w:b w:val="0"/>
                <w:i w:val="0"/>
                <w:sz w:val="20"/>
              </w:rPr>
              <w:t>Basic</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Annual licence</w:t>
            </w:r>
          </w:p>
        </w:tc>
        <w:tc>
          <w:tcPr>
            <w:tcW w:type="dxa" w:w="2436"/>
            <w:vAlign w:val="center"/>
          </w:tcPr>
          <w:p>
            <w:pPr>
              <w:spacing w:line="276" w:lineRule="auto" w:before="0" w:after="0"/>
            </w:pPr>
            <w:r/>
            <w:r>
              <w:rPr>
                <w:rFonts w:ascii="Figtree" w:hAnsi="Figtree"/>
                <w:b w:val="0"/>
                <w:i w:val="0"/>
                <w:sz w:val="20"/>
              </w:rPr>
              <w:t>$240,000</w:t>
            </w:r>
          </w:p>
        </w:tc>
        <w:tc>
          <w:tcPr>
            <w:tcW w:type="dxa" w:w="2436"/>
            <w:vAlign w:val="center"/>
          </w:tcPr>
          <w:p>
            <w:pPr>
              <w:spacing w:line="276" w:lineRule="auto" w:before="0" w:after="0"/>
            </w:pPr>
            <w:r/>
            <w:r>
              <w:rPr>
                <w:rFonts w:ascii="Figtree" w:hAnsi="Figtree"/>
                <w:b w:val="0"/>
                <w:i w:val="0"/>
                <w:sz w:val="20"/>
              </w:rPr>
              <w:t>$480,000</w:t>
            </w:r>
          </w:p>
        </w:tc>
        <w:tc>
          <w:tcPr>
            <w:tcW w:type="dxa" w:w="2436"/>
            <w:vAlign w:val="center"/>
          </w:tcPr>
          <w:p>
            <w:pPr>
              <w:spacing w:line="276" w:lineRule="auto" w:before="0" w:after="0"/>
            </w:pPr>
            <w:r/>
            <w:r>
              <w:rPr>
                <w:rFonts w:ascii="Figtree" w:hAnsi="Figtree"/>
                <w:b w:val="0"/>
                <w:i w:val="0"/>
                <w:sz w:val="20"/>
              </w:rPr>
              <w:t>$720,000+</w:t>
            </w:r>
          </w:p>
        </w:tc>
      </w:tr>
    </w:tbl>
    <w:p>
      <w:pPr>
        <w:spacing w:before="0" w:after="0" w:line="120" w:lineRule="exact"/>
      </w:pPr>
    </w:p>
    <w:p>
      <w:r>
        <w:rPr>
          <w:rFonts w:ascii="Figtree" w:hAnsi="Figtree"/>
          <w:b/>
          <w:i w:val="0"/>
          <w:sz w:val="22"/>
        </w:rPr>
        <w:t>Recommendation:</w:t>
      </w:r>
      <w:r>
        <w:rPr>
          <w:rFonts w:ascii="Figtree" w:hAnsi="Figtree"/>
          <w:b w:val="0"/>
          <w:i w:val="0"/>
          <w:sz w:val="22"/>
        </w:rPr>
        <w:t xml:space="preserve"> Enterprise. Unlimited corridors, full compliance module access, PAPSS adapter, and managed SaaS infrastructure included. Foundation tier is insufficient for 6+ corridors with full compliance configuration.</w:t>
      </w:r>
    </w:p>
    <w:p>
      <w:r>
        <w:br w:type="page"/>
      </w:r>
    </w:p>
    <w:p>
      <w:pPr>
        <w:pStyle w:val="H1"/>
        <w:numPr>
          <w:ilvl w:val="0"/>
          <w:numId w:val="1"/>
        </w:numPr>
      </w:pPr>
      <w:r>
        <w:t>4. Deployment Options and Pricing</w:t>
      </w:r>
    </w:p>
    <w:p>
      <w:pPr>
        <w:pStyle w:val="H2"/>
        <w:numPr>
          <w:ilvl w:val="1"/>
          <w:numId w:val="1"/>
        </w:numPr>
      </w:pPr>
      <w:r>
        <w:t>4.1 Recommended: Managed SaaS</w:t>
      </w:r>
    </w:p>
    <w:p>
      <w:r>
        <w:rPr>
          <w:rFonts w:ascii="Figtree" w:hAnsi="Figtree"/>
          <w:b w:val="0"/>
          <w:i w:val="0"/>
          <w:sz w:val="22"/>
        </w:rPr>
        <w:t>For Chipper Cash as a fintech, managed SaaS is the correct deployment model:</w:t>
      </w:r>
    </w:p>
    <w:p>
      <w:pPr>
        <w:pStyle w:val="ListParagraph"/>
        <w:numPr>
          <w:ilvl w:val="0"/>
          <w:numId w:val="4"/>
        </w:numPr>
      </w:pPr>
      <w:r>
        <w:rPr>
          <w:rFonts w:ascii="Figtree" w:hAnsi="Figtree"/>
          <w:b/>
          <w:i w:val="0"/>
          <w:sz w:val="22"/>
        </w:rPr>
        <w:t>Infrastructure included in licence:</w:t>
      </w:r>
      <w:r>
        <w:rPr>
          <w:rFonts w:ascii="Figtree" w:hAnsi="Figtree"/>
          <w:b w:val="0"/>
          <w:i w:val="0"/>
          <w:sz w:val="22"/>
        </w:rPr>
        <w:t xml:space="preserve"> No additional cloud cost — $0 additional infrastructure</w:t>
      </w:r>
    </w:p>
    <w:p>
      <w:pPr>
        <w:pStyle w:val="ListParagraph"/>
        <w:numPr>
          <w:ilvl w:val="0"/>
          <w:numId w:val="4"/>
        </w:numPr>
      </w:pPr>
      <w:r>
        <w:rPr>
          <w:rFonts w:ascii="Figtree" w:hAnsi="Figtree"/>
          <w:b/>
          <w:i w:val="0"/>
          <w:sz w:val="22"/>
        </w:rPr>
        <w:t>Fastest time-to-production:</w:t>
      </w:r>
      <w:r>
        <w:rPr>
          <w:rFonts w:ascii="Figtree" w:hAnsi="Figtree"/>
          <w:b w:val="0"/>
          <w:i w:val="0"/>
          <w:sz w:val="22"/>
        </w:rPr>
        <w:t xml:space="preserve"> 16-week implementation vs 20+ weeks for private cloud</w:t>
      </w:r>
    </w:p>
    <w:p>
      <w:pPr>
        <w:pStyle w:val="ListParagraph"/>
        <w:numPr>
          <w:ilvl w:val="0"/>
          <w:numId w:val="4"/>
        </w:numPr>
      </w:pPr>
      <w:r>
        <w:rPr>
          <w:rFonts w:ascii="Figtree" w:hAnsi="Figtree"/>
          <w:b/>
          <w:i w:val="0"/>
          <w:sz w:val="22"/>
        </w:rPr>
        <w:t>Zero infrastructure management:</w:t>
      </w:r>
      <w:r>
        <w:rPr>
          <w:rFonts w:ascii="Figtree" w:hAnsi="Figtree"/>
          <w:b w:val="0"/>
          <w:i w:val="0"/>
          <w:sz w:val="22"/>
        </w:rPr>
        <w:t xml:space="preserve"> Chipper Cash's engineering team focuses on API integration</w:t>
      </w:r>
    </w:p>
    <w:p>
      <w:pPr>
        <w:pStyle w:val="ListParagraph"/>
        <w:numPr>
          <w:ilvl w:val="0"/>
          <w:numId w:val="4"/>
        </w:numPr>
      </w:pPr>
      <w:r>
        <w:rPr>
          <w:rFonts w:ascii="Figtree" w:hAnsi="Figtree"/>
          <w:b/>
          <w:i w:val="0"/>
          <w:sz w:val="22"/>
        </w:rPr>
        <w:t>Same platform capabilities:</w:t>
      </w:r>
      <w:r>
        <w:rPr>
          <w:rFonts w:ascii="Figtree" w:hAnsi="Figtree"/>
          <w:b w:val="0"/>
          <w:i w:val="0"/>
          <w:sz w:val="22"/>
        </w:rPr>
        <w:t xml:space="preserve"> All DALP capabilities available in managed SaaS</w:t>
      </w:r>
    </w:p>
    <w:p>
      <w:r>
        <w:rPr>
          <w:rFonts w:ascii="Figtree" w:hAnsi="Figtree"/>
          <w:b/>
          <w:i w:val="0"/>
          <w:sz w:val="22"/>
        </w:rPr>
        <w:t>Data residency consideration:</w:t>
      </w:r>
      <w:r>
        <w:rPr>
          <w:rFonts w:ascii="Figtree" w:hAnsi="Figtree"/>
          <w:b w:val="0"/>
          <w:i w:val="0"/>
          <w:sz w:val="22"/>
        </w:rPr>
        <w:t xml:space="preserve"> Chipper Cash does not store end-user PII in DALP. Settlement records are operational data. EU-region managed SaaS satisfies Chipper Cash's processing requirements.</w:t>
      </w:r>
    </w:p>
    <w:p>
      <w:pPr>
        <w:pStyle w:val="H2"/>
        <w:numPr>
          <w:ilvl w:val="1"/>
          <w:numId w:val="1"/>
        </w:numPr>
      </w:pPr>
      <w:r>
        <w:t>4.2 Cost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58"/>
        <w:gridCol w:w="1251"/>
        <w:gridCol w:w="1251"/>
        <w:gridCol w:w="1251"/>
        <w:gridCol w:w="145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Enterprise Licence (incl. SaaS infra)</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$1,440,000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$180,000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$180,000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$432,000</w:t>
            </w:r>
          </w:p>
        </w:tc>
      </w:tr>
      <w:tr>
        <w:trPr>
          <w:trHeight w:val="425" w:hRule="atLeast"/>
        </w:trPr>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$10,000</w:t>
            </w:r>
          </w:p>
        </w:tc>
        <w:tc>
          <w:tcPr>
            <w:tcW w:type="dxa" w:w="1949"/>
            <w:vAlign w:val="center"/>
          </w:tcPr>
          <w:p>
            <w:pPr>
              <w:spacing w:line="276" w:lineRule="auto" w:before="0" w:after="0"/>
            </w:pPr>
            <w:r/>
            <w:r>
              <w:rPr>
                <w:rFonts w:ascii="Figtree" w:hAnsi="Figtree"/>
                <w:b w:val="0"/>
                <w:i w:val="0"/>
                <w:sz w:val="20"/>
              </w:rPr>
              <w:t>$30,000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$824,000</w:t>
            </w:r>
          </w:p>
        </w:tc>
        <w:tc>
          <w:tcPr>
            <w:tcW w:type="dxa" w:w="1949"/>
            <w:vAlign w:val="center"/>
          </w:tcPr>
          <w:p>
            <w:pPr>
              <w:spacing w:line="276" w:lineRule="auto" w:before="0" w:after="0"/>
            </w:pPr>
            <w:r/>
            <w:r>
              <w:rPr>
                <w:rFonts w:ascii="Figtree" w:hAnsi="Figtree"/>
                <w:b/>
                <w:i w:val="0"/>
                <w:sz w:val="20"/>
              </w:rPr>
              <w:t>$624,000</w:t>
            </w:r>
          </w:p>
        </w:tc>
        <w:tc>
          <w:tcPr>
            <w:tcW w:type="dxa" w:w="1949"/>
            <w:vAlign w:val="center"/>
          </w:tcPr>
          <w:p>
            <w:pPr>
              <w:spacing w:line="276" w:lineRule="auto" w:before="0" w:after="0"/>
            </w:pPr>
            <w:r/>
            <w:r>
              <w:rPr>
                <w:rFonts w:ascii="Figtree" w:hAnsi="Figtree"/>
                <w:b/>
                <w:i w:val="0"/>
                <w:sz w:val="20"/>
              </w:rPr>
              <w:t>$634,000</w:t>
            </w:r>
          </w:p>
        </w:tc>
        <w:tc>
          <w:tcPr>
            <w:tcW w:type="dxa" w:w="1949"/>
            <w:vAlign w:val="center"/>
          </w:tcPr>
          <w:p>
            <w:pPr>
              <w:spacing w:line="276" w:lineRule="auto" w:before="0" w:after="0"/>
            </w:pPr>
            <w:r/>
            <w:r>
              <w:rPr>
                <w:rFonts w:ascii="Figtree" w:hAnsi="Figtree"/>
                <w:b/>
                <w:i w:val="0"/>
                <w:sz w:val="20"/>
              </w:rPr>
              <w:t>$2,082,000</w:t>
            </w:r>
          </w:p>
        </w:tc>
      </w:tr>
    </w:tbl>
    <w:p>
      <w:pPr>
        <w:spacing w:before="0" w:after="0" w:line="120" w:lineRule="exact"/>
      </w:pPr>
    </w:p>
    <w:p>
      <w:pPr>
        <w:pStyle w:val="H2"/>
        <w:numPr>
          <w:ilvl w:val="1"/>
          <w:numId w:val="1"/>
        </w:numPr>
      </w:pPr>
      <w:r>
        <w:t>4.3 Cost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37"/>
        <w:gridCol w:w="393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r>
      <w:tr>
        <w:trPr>
          <w:trHeight w:val="425" w:hRule="atLeast"/>
        </w:trPr>
        <w:tc>
          <w:tcPr>
            <w:tcW w:type="dxa" w:w="4873"/>
            <w:vAlign w:val="center"/>
          </w:tcPr>
          <w:p>
            <w:pPr>
              <w:spacing w:line="276" w:lineRule="auto" w:before="0" w:after="0"/>
            </w:pPr>
            <w:r/>
            <w:r>
              <w:rPr>
                <w:rFonts w:ascii="Figtree" w:hAnsi="Figtree"/>
                <w:b w:val="0"/>
                <w:i w:val="0"/>
                <w:sz w:val="20"/>
              </w:rPr>
              <w:t>Additional corridors beyond initial 6</w:t>
            </w:r>
          </w:p>
        </w:tc>
        <w:tc>
          <w:tcPr>
            <w:tcW w:type="dxa" w:w="4873"/>
            <w:vAlign w:val="center"/>
          </w:tcPr>
          <w:p>
            <w:pPr>
              <w:spacing w:line="276" w:lineRule="auto" w:before="0" w:after="0"/>
            </w:pPr>
            <w:r/>
            <w:r>
              <w:rPr>
                <w:rFonts w:ascii="Figtree" w:hAnsi="Figtree"/>
                <w:b w:val="0"/>
                <w:i w:val="0"/>
                <w:sz w:val="20"/>
              </w:rPr>
              <w:t>No additional licence cost</w:t>
            </w:r>
          </w:p>
        </w:tc>
      </w:tr>
      <w:tr>
        <w:trPr>
          <w:trHeight w:val="425" w:hRule="atLeast"/>
        </w:trPr>
        <w:tc>
          <w:tcPr>
            <w:tcW w:type="dxa" w:w="4873"/>
            <w:vAlign w:val="center"/>
          </w:tcPr>
          <w:p>
            <w:pPr>
              <w:spacing w:line="276" w:lineRule="auto" w:before="0" w:after="0"/>
            </w:pPr>
            <w:r/>
            <w:r>
              <w:rPr>
                <w:rFonts w:ascii="Figtree" w:hAnsi="Figtree"/>
                <w:b w:val="0"/>
                <w:i w:val="0"/>
                <w:sz w:val="20"/>
              </w:rPr>
              <w:t>Private cloud option (if required by regulator)</w:t>
            </w:r>
          </w:p>
        </w:tc>
        <w:tc>
          <w:tcPr>
            <w:tcW w:type="dxa" w:w="4873"/>
            <w:vAlign w:val="center"/>
          </w:tcPr>
          <w:p>
            <w:pPr>
              <w:spacing w:line="276" w:lineRule="auto" w:before="0" w:after="0"/>
            </w:pPr>
            <w:r/>
            <w:r>
              <w:rPr>
                <w:rFonts w:ascii="Figtree" w:hAnsi="Figtree"/>
                <w:b w:val="0"/>
                <w:i w:val="0"/>
                <w:sz w:val="20"/>
              </w:rPr>
              <w:t>+$72,000-$96,000/year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PAPSS integration (Phase 2)</w:t>
            </w:r>
          </w:p>
        </w:tc>
        <w:tc>
          <w:tcPr>
            <w:tcW w:type="dxa" w:w="4873"/>
            <w:vAlign w:val="center"/>
          </w:tcPr>
          <w:p>
            <w:pPr>
              <w:spacing w:line="276" w:lineRule="auto" w:before="0" w:after="0"/>
            </w:pPr>
            <w:r/>
            <w:r>
              <w:rPr>
                <w:rFonts w:ascii="Figtree" w:hAnsi="Figtree"/>
                <w:b w:val="0"/>
                <w:i w:val="0"/>
                <w:sz w:val="20"/>
              </w:rPr>
              <w:t>$20,000-$40,000 integration services</w:t>
            </w:r>
          </w:p>
        </w:tc>
      </w:tr>
      <w:tr>
        <w:trPr>
          <w:trHeight w:val="425" w:hRule="atLeast"/>
        </w:trPr>
        <w:tc>
          <w:tcPr>
            <w:tcW w:type="dxa" w:w="4873"/>
            <w:vAlign w:val="center"/>
          </w:tcPr>
          <w:p>
            <w:pPr>
              <w:spacing w:line="276" w:lineRule="auto" w:before="0" w:after="0"/>
            </w:pPr>
            <w:r/>
            <w:r>
              <w:rPr>
                <w:rFonts w:ascii="Figtree" w:hAnsi="Figtree"/>
                <w:b w:val="0"/>
                <w:i w:val="0"/>
                <w:sz w:val="20"/>
              </w:rPr>
              <w:t>Additional mobile money providers</w:t>
            </w:r>
          </w:p>
        </w:tc>
        <w:tc>
          <w:tcPr>
            <w:tcW w:type="dxa" w:w="4873"/>
            <w:vAlign w:val="center"/>
          </w:tcPr>
          <w:p>
            <w:pPr>
              <w:spacing w:line="276" w:lineRule="auto" w:before="0" w:after="0"/>
            </w:pPr>
            <w:r/>
            <w:r>
              <w:rPr>
                <w:rFonts w:ascii="Figtree" w:hAnsi="Figtree"/>
                <w:b w:val="0"/>
                <w:i w:val="0"/>
                <w:sz w:val="20"/>
              </w:rPr>
              <w:t>$5,000-$15,000/provider one-time</w:t>
            </w:r>
          </w:p>
        </w:tc>
      </w:tr>
      <w:tr>
        <w:trPr>
          <w:trHeight w:val="425" w:hRule="atLeast"/>
        </w:trPr>
        <w:tc>
          <w:tcPr>
            <w:tcW w:type="dxa" w:w="4873"/>
            <w:vAlign w:val="center"/>
          </w:tcPr>
          <w:p>
            <w:pPr>
              <w:spacing w:line="276" w:lineRule="auto" w:before="0" w:after="0"/>
            </w:pPr>
            <w:r/>
            <w:r>
              <w:rPr>
                <w:rFonts w:ascii="Figtree" w:hAnsi="Figtree"/>
                <w:b w:val="0"/>
                <w:i w:val="0"/>
                <w:sz w:val="20"/>
              </w:rPr>
              <w:t>3-year committed discount</w:t>
            </w:r>
          </w:p>
        </w:tc>
        <w:tc>
          <w:tcPr>
            <w:tcW w:type="dxa" w:w="4873"/>
            <w:vAlign w:val="center"/>
          </w:tcPr>
          <w:p>
            <w:pPr>
              <w:spacing w:line="276" w:lineRule="auto" w:before="0" w:after="0"/>
            </w:pPr>
            <w:r/>
            <w:r>
              <w:rPr>
                <w:rFonts w:ascii="Figtree" w:hAnsi="Figtree"/>
                <w:b w:val="0"/>
                <w:i w:val="0"/>
                <w:sz w:val="20"/>
              </w:rPr>
              <w:t>-10% on licence ($144,000 saving)</w:t>
            </w:r>
          </w:p>
        </w:tc>
      </w:tr>
    </w:tbl>
    <w:p>
      <w:pPr>
        <w:spacing w:before="0" w:after="0" w:line="120" w:lineRule="exact"/>
      </w:pPr>
    </w:p>
    <w:p>
      <w:r>
        <w:br w:type="page"/>
      </w:r>
    </w:p>
    <w:p>
      <w:pPr>
        <w:pStyle w:val="H1"/>
        <w:numPr>
          <w:ilvl w:val="0"/>
          <w:numId w:val="1"/>
        </w:numPr>
      </w:pPr>
      <w:r>
        <w:t>5. Support and SLA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20"/>
        <w:gridCol w:w="3606"/>
        <w:gridCol w:w="1420"/>
        <w:gridCol w:w="262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Business hours</w:t>
            </w:r>
          </w:p>
        </w:tc>
        <w:tc>
          <w:tcPr>
            <w:tcW w:type="dxa" w:w="2436"/>
            <w:vAlign w:val="center"/>
          </w:tcPr>
          <w:p>
            <w:pPr>
              <w:spacing w:line="276" w:lineRule="auto" w:before="0" w:after="0"/>
            </w:pPr>
            <w:r/>
            <w:r>
              <w:rPr>
                <w:rFonts w:ascii="Figtree" w:hAnsi="Figtree"/>
                <w:b w:val="0"/>
                <w:i w:val="0"/>
                <w:sz w:val="20"/>
              </w:rPr>
              <w:t>Extended</w:t>
            </w:r>
          </w:p>
        </w:tc>
        <w:tc>
          <w:tcPr>
            <w:tcW w:type="dxa" w:w="2436"/>
            <w:vAlign w:val="center"/>
          </w:tcPr>
          <w:p>
            <w:pPr>
              <w:spacing w:line="276" w:lineRule="auto" w:before="0" w:after="0"/>
            </w:pPr>
            <w:r/>
            <w:r>
              <w:rPr>
                <w:rFonts w:ascii="Figtree" w:hAnsi="Figtree"/>
                <w:b w:val="0"/>
                <w:i w:val="0"/>
                <w:sz w:val="20"/>
              </w:rPr>
              <w:t>24/7</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4h</w:t>
            </w:r>
          </w:p>
        </w:tc>
        <w:tc>
          <w:tcPr>
            <w:tcW w:type="dxa" w:w="2436"/>
            <w:vAlign w:val="center"/>
          </w:tcPr>
          <w:p>
            <w:pPr>
              <w:spacing w:line="276" w:lineRule="auto" w:before="0" w:after="0"/>
            </w:pPr>
            <w:r/>
            <w:r>
              <w:rPr>
                <w:rFonts w:ascii="Figtree" w:hAnsi="Figtree"/>
                <w:b w:val="0"/>
                <w:i w:val="0"/>
                <w:sz w:val="20"/>
              </w:rPr>
              <w:t>2h</w:t>
            </w:r>
          </w:p>
        </w:tc>
        <w:tc>
          <w:tcPr>
            <w:tcW w:type="dxa" w:w="2436"/>
            <w:vAlign w:val="center"/>
          </w:tcPr>
          <w:p>
            <w:pPr>
              <w:spacing w:line="276" w:lineRule="auto" w:before="0" w:after="0"/>
            </w:pPr>
            <w:r/>
            <w:r>
              <w:rPr>
                <w:rFonts w:ascii="Figtree" w:hAnsi="Figtree"/>
                <w:b w:val="0"/>
                <w:i w:val="0"/>
                <w:sz w:val="20"/>
              </w:rPr>
              <w:t>1h</w:t>
            </w:r>
          </w:p>
        </w:tc>
      </w:tr>
      <w:tr>
        <w:trPr>
          <w:trHeight w:val="425" w:hRule="atLeast"/>
        </w:trPr>
        <w:tc>
          <w:tcPr>
            <w:tcW w:type="dxa" w:w="2436"/>
            <w:vAlign w:val="center"/>
          </w:tcPr>
          <w:p>
            <w:pPr>
              <w:spacing w:line="276" w:lineRule="auto" w:before="0" w:after="0"/>
            </w:pPr>
            <w:r/>
            <w:r>
              <w:rPr>
                <w:rFonts w:ascii="Figtree" w:hAnsi="Figtree"/>
                <w:b w:val="0"/>
                <w:i w:val="0"/>
                <w:sz w:val="20"/>
              </w:rPr>
              <w:t>Settlement P1</w:t>
            </w:r>
          </w:p>
        </w:tc>
        <w:tc>
          <w:tcPr>
            <w:tcW w:type="dxa" w:w="2436"/>
            <w:vAlign w:val="center"/>
          </w:tcPr>
          <w:p>
            <w:pPr>
              <w:spacing w:line="276" w:lineRule="auto" w:before="0" w:after="0"/>
            </w:pPr>
            <w:r/>
            <w:r>
              <w:rPr>
                <w:rFonts w:ascii="Figtree" w:hAnsi="Figtree"/>
                <w:b w:val="0"/>
                <w:i w:val="0"/>
                <w:sz w:val="20"/>
              </w:rPr>
              <w:t>Cross-corridor settlement failing</w:t>
            </w:r>
          </w:p>
        </w:tc>
        <w:tc>
          <w:tcPr>
            <w:tcW w:type="dxa" w:w="2436"/>
            <w:vAlign w:val="center"/>
          </w:tcPr>
          <w:p>
            <w:pPr>
              <w:spacing w:line="276" w:lineRule="auto" w:before="0" w:after="0"/>
            </w:pPr>
            <w:r/>
            <w:r>
              <w:rPr>
                <w:rFonts w:ascii="Figtree" w:hAnsi="Figtree"/>
                <w:b w:val="0"/>
                <w:i w:val="0"/>
                <w:sz w:val="20"/>
              </w:rPr>
              <w:t>Same</w:t>
            </w:r>
          </w:p>
        </w:tc>
        <w:tc>
          <w:tcPr>
            <w:tcW w:type="dxa" w:w="2436"/>
            <w:vAlign w:val="center"/>
          </w:tcPr>
          <w:p>
            <w:pPr>
              <w:spacing w:line="276" w:lineRule="auto" w:before="0" w:after="0"/>
            </w:pPr>
            <w:r/>
            <w:r>
              <w:rPr>
                <w:rFonts w:ascii="Figtree" w:hAnsi="Figtree"/>
                <w:b w:val="0"/>
                <w:i w:val="0"/>
                <w:sz w:val="20"/>
              </w:rPr>
              <w:t>Same</w:t>
            </w:r>
          </w:p>
        </w:tc>
      </w:tr>
      <w:tr>
        <w:trPr>
          <w:trHeight w:val="425" w:hRule="atLeast"/>
        </w:trPr>
        <w:tc>
          <w:tcPr>
            <w:tcW w:type="dxa" w:w="2436"/>
            <w:vAlign w:val="center"/>
          </w:tcPr>
          <w:p>
            <w:pPr>
              <w:spacing w:line="276" w:lineRule="auto" w:before="0" w:after="0"/>
            </w:pPr>
            <w:r/>
            <w:r>
              <w:rPr>
                <w:rFonts w:ascii="Figtree" w:hAnsi="Figtree"/>
                <w:b w:val="0"/>
                <w:i w:val="0"/>
                <w:sz w:val="20"/>
              </w:rPr>
              <w:t>Channels</w:t>
            </w:r>
          </w:p>
        </w:tc>
        <w:tc>
          <w:tcPr>
            <w:tcW w:type="dxa" w:w="2436"/>
            <w:vAlign w:val="center"/>
          </w:tcPr>
          <w:p>
            <w:pPr>
              <w:spacing w:line="276" w:lineRule="auto" w:before="0" w:after="0"/>
            </w:pPr>
            <w:r/>
            <w:r>
              <w:rPr>
                <w:rFonts w:ascii="Figtree" w:hAnsi="Figtree"/>
                <w:b w:val="0"/>
                <w:i w:val="0"/>
                <w:sz w:val="20"/>
              </w:rPr>
              <w:t>Email</w:t>
            </w:r>
          </w:p>
        </w:tc>
        <w:tc>
          <w:tcPr>
            <w:tcW w:type="dxa" w:w="2436"/>
            <w:vAlign w:val="center"/>
          </w:tcPr>
          <w:p>
            <w:pPr>
              <w:spacing w:line="276" w:lineRule="auto" w:before="0" w:after="0"/>
            </w:pPr>
            <w:r/>
            <w:r>
              <w:rPr>
                <w:rFonts w:ascii="Figtree" w:hAnsi="Figtree"/>
                <w:b w:val="0"/>
                <w:i w:val="0"/>
                <w:sz w:val="20"/>
              </w:rPr>
              <w:t>Email + phone</w:t>
            </w:r>
          </w:p>
        </w:tc>
        <w:tc>
          <w:tcPr>
            <w:tcW w:type="dxa" w:w="2436"/>
            <w:vAlign w:val="center"/>
          </w:tcPr>
          <w:p>
            <w:pPr>
              <w:spacing w:line="276" w:lineRule="auto" w:before="0" w:after="0"/>
            </w:pPr>
            <w:r/>
            <w:r>
              <w:rPr>
                <w:rFonts w:ascii="Figtree" w:hAnsi="Figtree"/>
                <w:b w:val="0"/>
                <w:i w:val="0"/>
                <w:sz w:val="20"/>
              </w:rPr>
              <w:t>All + Slack</w:t>
            </w:r>
          </w:p>
        </w:tc>
      </w:tr>
      <w:tr>
        <w:trPr>
          <w:trHeight w:val="425" w:hRule="atLeast"/>
        </w:trPr>
        <w:tc>
          <w:tcPr>
            <w:tcW w:type="dxa" w:w="2436"/>
            <w:vAlign w:val="center"/>
          </w:tcPr>
          <w:p>
            <w:pPr>
              <w:spacing w:line="276" w:lineRule="auto" w:before="0" w:after="0"/>
            </w:pPr>
            <w:r/>
            <w:r>
              <w:rPr>
                <w:rFonts w:ascii="Figtree" w:hAnsi="Figtree"/>
                <w:b w:val="0"/>
                <w:i w:val="0"/>
                <w:sz w:val="20"/>
              </w:rPr>
              <w:t>Annual cost</w:t>
            </w:r>
          </w:p>
        </w:tc>
        <w:tc>
          <w:tcPr>
            <w:tcW w:type="dxa" w:w="2436"/>
            <w:vAlign w:val="center"/>
          </w:tcPr>
          <w:p>
            <w:pPr>
              <w:spacing w:line="276" w:lineRule="auto" w:before="0" w:after="0"/>
            </w:pPr>
            <w:r/>
            <w:r>
              <w:rPr>
                <w:rFonts w:ascii="Figtree" w:hAnsi="Figtree"/>
                <w:b w:val="0"/>
                <w:i w:val="0"/>
                <w:sz w:val="20"/>
              </w:rPr>
              <w:t>$72,000</w:t>
            </w:r>
          </w:p>
        </w:tc>
        <w:tc>
          <w:tcPr>
            <w:tcW w:type="dxa" w:w="2436"/>
            <w:vAlign w:val="center"/>
          </w:tcPr>
          <w:p>
            <w:pPr>
              <w:spacing w:line="276" w:lineRule="auto" w:before="0" w:after="0"/>
            </w:pPr>
            <w:r/>
            <w:r>
              <w:rPr>
                <w:rFonts w:ascii="Figtree" w:hAnsi="Figtree"/>
                <w:b w:val="0"/>
                <w:i w:val="0"/>
                <w:sz w:val="20"/>
              </w:rPr>
              <w:t>$108,000</w:t>
            </w:r>
          </w:p>
        </w:tc>
        <w:tc>
          <w:tcPr>
            <w:tcW w:type="dxa" w:w="2436"/>
            <w:vAlign w:val="center"/>
          </w:tcPr>
          <w:p>
            <w:pPr>
              <w:spacing w:line="276" w:lineRule="auto" w:before="0" w:after="0"/>
            </w:pPr>
            <w:r/>
            <w:r>
              <w:rPr>
                <w:rFonts w:ascii="Figtree" w:hAnsi="Figtree"/>
                <w:b w:val="0"/>
                <w:i w:val="0"/>
                <w:sz w:val="20"/>
              </w:rPr>
              <w:t>$144,000</w:t>
            </w:r>
          </w:p>
        </w:tc>
      </w:tr>
    </w:tbl>
    <w:p>
      <w:pPr>
        <w:spacing w:before="0" w:after="0" w:line="120" w:lineRule="exact"/>
      </w:pPr>
    </w:p>
    <w:p>
      <w:r>
        <w:rPr>
          <w:rFonts w:ascii="Figtree" w:hAnsi="Figtree"/>
          <w:b/>
          <w:i w:val="0"/>
          <w:sz w:val="22"/>
        </w:rPr>
        <w:t>Why 24/7 for Chipper Cash:</w:t>
      </w:r>
      <w:r>
        <w:rPr>
          <w:rFonts w:ascii="Figtree" w:hAnsi="Figtree"/>
          <w:b w:val="0"/>
          <w:i w:val="0"/>
          <w:sz w:val="22"/>
        </w:rPr>
        <w:t xml:space="preserve"> Cross-border remittance operates 24/7 across African time zones. Settlement failures at 2 AM Lagos time need 1-hour response, not 4-hour.</w:t>
      </w:r>
    </w:p>
    <w:p>
      <w:pPr>
        <w:pStyle w:val="H2"/>
        <w:numPr>
          <w:ilvl w:val="1"/>
          <w:numId w:val="1"/>
        </w:numPr>
      </w:pPr>
      <w:r>
        <w:t>5.1 Uptime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45"/>
        <w:gridCol w:w="232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Production (Settlement)</w:t>
            </w:r>
          </w:p>
        </w:tc>
        <w:tc>
          <w:tcPr>
            <w:tcW w:type="dxa" w:w="4873"/>
            <w:vAlign w:val="center"/>
          </w:tcPr>
          <w:p>
            <w:pPr>
              <w:spacing w:line="276" w:lineRule="auto" w:before="0" w:after="0"/>
            </w:pPr>
            <w:r/>
            <w:r>
              <w:rPr>
                <w:rFonts w:ascii="Figtree" w:hAnsi="Figtree"/>
                <w:b w:val="0"/>
                <w:i w:val="0"/>
                <w:sz w:val="20"/>
              </w:rPr>
              <w:t>99.9%</w:t>
            </w:r>
          </w:p>
        </w:tc>
      </w:tr>
      <w:tr>
        <w:trPr>
          <w:trHeight w:val="425" w:hRule="atLeast"/>
        </w:trPr>
        <w:tc>
          <w:tcPr>
            <w:tcW w:type="dxa" w:w="4873"/>
            <w:vAlign w:val="center"/>
          </w:tcPr>
          <w:p>
            <w:pPr>
              <w:spacing w:line="276" w:lineRule="auto" w:before="0" w:after="0"/>
            </w:pPr>
            <w:r/>
            <w:r>
              <w:rPr>
                <w:rFonts w:ascii="Figtree" w:hAnsi="Figtree"/>
                <w:b w:val="0"/>
                <w:i w:val="0"/>
                <w:sz w:val="20"/>
              </w:rPr>
              <w:t>UAT</w:t>
            </w:r>
          </w:p>
        </w:tc>
        <w:tc>
          <w:tcPr>
            <w:tcW w:type="dxa" w:w="4873"/>
            <w:vAlign w:val="center"/>
          </w:tcPr>
          <w:p>
            <w:pPr>
              <w:spacing w:line="276" w:lineRule="auto" w:before="0" w:after="0"/>
            </w:pPr>
            <w:r/>
            <w:r>
              <w:rPr>
                <w:rFonts w:ascii="Figtree" w:hAnsi="Figtree"/>
                <w:b w:val="0"/>
                <w:i w:val="0"/>
                <w:sz w:val="20"/>
              </w:rPr>
              <w:t>99.5%</w:t>
            </w:r>
          </w:p>
        </w:tc>
      </w:tr>
    </w:tbl>
    <w:p>
      <w:pPr>
        <w:spacing w:before="0" w:after="0" w:line="120" w:lineRule="exact"/>
      </w:pPr>
    </w:p>
    <w:p>
      <w:r>
        <w:rPr>
          <w:rFonts w:ascii="Figtree" w:hAnsi="Figtree"/>
          <w:b w:val="0"/>
          <w:i w:val="0"/>
          <w:sz w:val="22"/>
        </w:rPr>
        <w:t>Service credits: 99.5%-99.9%: 25% monthly support fee; below 99.5%: 50%.</w:t>
      </w:r>
    </w:p>
    <w:p>
      <w:r>
        <w:br w:type="page"/>
      </w:r>
    </w:p>
    <w:p>
      <w:pPr>
        <w:pStyle w:val="H1"/>
        <w:numPr>
          <w:ilvl w:val="0"/>
          <w:numId w:val="1"/>
        </w:numPr>
      </w:pPr>
      <w:r>
        <w:t>6. Implementation Investment</w:t>
      </w:r>
    </w:p>
    <w:p>
      <w:pPr>
        <w:pStyle w:val="H2"/>
        <w:numPr>
          <w:ilvl w:val="1"/>
          <w:numId w:val="1"/>
        </w:numPr>
      </w:pPr>
      <w:r>
        <w:t>6.1 Phase Pricing (16-Week Managed SaaS)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802"/>
        <w:gridCol w:w="1634"/>
        <w:gridCol w:w="163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3249"/>
            <w:vAlign w:val="center"/>
          </w:tcPr>
          <w:p>
            <w:pPr>
              <w:spacing w:line="276" w:lineRule="auto" w:before="0" w:after="0"/>
            </w:pPr>
            <w:r/>
            <w:r>
              <w:rPr>
                <w:rFonts w:ascii="Figtree" w:hAnsi="Figtree"/>
                <w:b w:val="0"/>
                <w:i w:val="0"/>
                <w:sz w:val="20"/>
              </w:rPr>
              <w:t>Phase 1 — Discovery</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$18,000</w:t>
            </w:r>
          </w:p>
        </w:tc>
      </w:tr>
      <w:tr>
        <w:trPr>
          <w:trHeight w:val="425" w:hRule="atLeast"/>
        </w:trPr>
        <w:tc>
          <w:tcPr>
            <w:tcW w:type="dxa" w:w="3249"/>
            <w:vAlign w:val="center"/>
          </w:tcPr>
          <w:p>
            <w:pPr>
              <w:spacing w:line="276" w:lineRule="auto" w:before="0" w:after="0"/>
            </w:pPr>
            <w:r/>
            <w:r>
              <w:rPr>
                <w:rFonts w:ascii="Figtree" w:hAnsi="Figtree"/>
                <w:b w:val="0"/>
                <w:i w:val="0"/>
                <w:sz w:val="20"/>
              </w:rPr>
              <w:t>Phase 2 — Foundation</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$24,000</w:t>
            </w:r>
          </w:p>
        </w:tc>
      </w:tr>
      <w:tr>
        <w:trPr>
          <w:trHeight w:val="425" w:hRule="atLeast"/>
        </w:trPr>
        <w:tc>
          <w:tcPr>
            <w:tcW w:type="dxa" w:w="3249"/>
            <w:vAlign w:val="center"/>
          </w:tcPr>
          <w:p>
            <w:pPr>
              <w:spacing w:line="276" w:lineRule="auto" w:before="0" w:after="0"/>
            </w:pPr>
            <w:r/>
            <w:r>
              <w:rPr>
                <w:rFonts w:ascii="Figtree" w:hAnsi="Figtree"/>
                <w:b w:val="0"/>
                <w:i w:val="0"/>
                <w:sz w:val="20"/>
              </w:rPr>
              <w:t>Phase 3 — Configuration (6 corridors)</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$60,000</w:t>
            </w:r>
          </w:p>
        </w:tc>
      </w:tr>
      <w:tr>
        <w:trPr>
          <w:trHeight w:val="425" w:hRule="atLeast"/>
        </w:trPr>
        <w:tc>
          <w:tcPr>
            <w:tcW w:type="dxa" w:w="3249"/>
            <w:vAlign w:val="center"/>
          </w:tcPr>
          <w:p>
            <w:pPr>
              <w:spacing w:line="276" w:lineRule="auto" w:before="0" w:after="0"/>
            </w:pPr>
            <w:r/>
            <w:r>
              <w:rPr>
                <w:rFonts w:ascii="Figtree" w:hAnsi="Figtree"/>
                <w:b w:val="0"/>
                <w:i w:val="0"/>
                <w:sz w:val="20"/>
              </w:rPr>
              <w:t>Phase 4 — Integration (mobile money, FX, PAPSS)</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$54,000</w:t>
            </w:r>
          </w:p>
        </w:tc>
      </w:tr>
      <w:tr>
        <w:trPr>
          <w:trHeight w:val="425" w:hRule="atLeast"/>
        </w:trPr>
        <w:tc>
          <w:tcPr>
            <w:tcW w:type="dxa" w:w="3249"/>
            <w:vAlign w:val="center"/>
          </w:tcPr>
          <w:p>
            <w:pPr>
              <w:spacing w:line="276" w:lineRule="auto" w:before="0" w:after="0"/>
            </w:pPr>
            <w:r/>
            <w:r>
              <w:rPr>
                <w:rFonts w:ascii="Figtree" w:hAnsi="Figtree"/>
                <w:b w:val="0"/>
                <w:i w:val="0"/>
                <w:sz w:val="20"/>
              </w:rPr>
              <w:t>Phase 5 — Go-Live</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$18,000</w:t>
            </w:r>
          </w:p>
        </w:tc>
      </w:tr>
      <w:tr>
        <w:trPr>
          <w:trHeight w:val="425" w:hRule="atLeast"/>
        </w:trPr>
        <w:tc>
          <w:tcPr>
            <w:tcW w:type="dxa" w:w="3249"/>
            <w:vAlign w:val="center"/>
          </w:tcPr>
          <w:p>
            <w:pPr>
              <w:spacing w:line="276" w:lineRule="auto" w:before="0" w:after="0"/>
            </w:pPr>
            <w:r/>
            <w:r>
              <w:rPr>
                <w:rFonts w:ascii="Figtree" w:hAnsi="Figtree"/>
                <w:b w:val="0"/>
                <w:i w:val="0"/>
                <w:sz w:val="20"/>
              </w:rPr>
              <w:t>Phase 6 — Hypercare</w:t>
            </w:r>
          </w:p>
        </w:tc>
        <w:tc>
          <w:tcPr>
            <w:tcW w:type="dxa" w:w="3249"/>
            <w:vAlign w:val="center"/>
          </w:tcPr>
          <w:p>
            <w:pPr>
              <w:spacing w:line="276" w:lineRule="auto" w:before="0" w:after="0"/>
            </w:pPr>
            <w:r/>
            <w:r>
              <w:rPr>
                <w:rFonts w:ascii="Figtree" w:hAnsi="Figtree"/>
                <w:b w:val="0"/>
                <w:i w:val="0"/>
                <w:sz w:val="20"/>
              </w:rPr>
              <w:t>1 week</w:t>
            </w:r>
          </w:p>
        </w:tc>
        <w:tc>
          <w:tcPr>
            <w:tcW w:type="dxa" w:w="3249"/>
            <w:vAlign w:val="center"/>
          </w:tcPr>
          <w:p>
            <w:pPr>
              <w:spacing w:line="276" w:lineRule="auto" w:before="0" w:after="0"/>
            </w:pPr>
            <w:r/>
            <w:r>
              <w:rPr>
                <w:rFonts w:ascii="Figtree" w:hAnsi="Figtree"/>
                <w:b w:val="0"/>
                <w:i w:val="0"/>
                <w:sz w:val="20"/>
              </w:rPr>
              <w:t>$6,000</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16 weeks</w:t>
            </w:r>
          </w:p>
        </w:tc>
        <w:tc>
          <w:tcPr>
            <w:tcW w:type="dxa" w:w="3249"/>
            <w:vAlign w:val="center"/>
          </w:tcPr>
          <w:p>
            <w:pPr>
              <w:spacing w:line="276" w:lineRule="auto" w:before="0" w:after="0"/>
            </w:pPr>
            <w:r/>
            <w:r>
              <w:rPr>
                <w:rFonts w:ascii="Figtree" w:hAnsi="Figtree"/>
                <w:b/>
                <w:i w:val="0"/>
                <w:sz w:val="20"/>
              </w:rPr>
              <w:t>$180,000</w:t>
            </w:r>
          </w:p>
        </w:tc>
      </w:tr>
    </w:tbl>
    <w:p>
      <w:pPr>
        <w:spacing w:before="0" w:after="0" w:line="120" w:lineRule="exact"/>
      </w:pPr>
    </w:p>
    <w:p>
      <w:pPr>
        <w:pStyle w:val="H2"/>
        <w:numPr>
          <w:ilvl w:val="1"/>
          <w:numId w:val="1"/>
        </w:numPr>
      </w:pPr>
      <w:r>
        <w:t>6.2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04"/>
        <w:gridCol w:w="356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4873"/>
            <w:vAlign w:val="center"/>
          </w:tcPr>
          <w:p>
            <w:pPr>
              <w:spacing w:line="276" w:lineRule="auto" w:before="0" w:after="0"/>
            </w:pPr>
            <w:r/>
            <w:r>
              <w:rPr>
                <w:rFonts w:ascii="Figtree" w:hAnsi="Figtree"/>
                <w:b w:val="0"/>
                <w:i w:val="0"/>
                <w:sz w:val="20"/>
              </w:rPr>
              <w:t>Contract execution (Licence Y1 + Support Y1)</w:t>
            </w:r>
          </w:p>
        </w:tc>
        <w:tc>
          <w:tcPr>
            <w:tcW w:type="dxa" w:w="4873"/>
            <w:vAlign w:val="center"/>
          </w:tcPr>
          <w:p>
            <w:pPr>
              <w:spacing w:line="276" w:lineRule="auto" w:before="0" w:after="0"/>
            </w:pPr>
            <w:r/>
            <w:r>
              <w:rPr>
                <w:rFonts w:ascii="Figtree" w:hAnsi="Figtree"/>
                <w:b w:val="0"/>
                <w:i w:val="0"/>
                <w:sz w:val="20"/>
              </w:rPr>
              <w:t>$624,000</w:t>
            </w:r>
          </w:p>
        </w:tc>
      </w:tr>
      <w:tr>
        <w:trPr>
          <w:trHeight w:val="425" w:hRule="atLeast"/>
        </w:trPr>
        <w:tc>
          <w:tcPr>
            <w:tcW w:type="dxa" w:w="4873"/>
            <w:vAlign w:val="center"/>
          </w:tcPr>
          <w:p>
            <w:pPr>
              <w:spacing w:line="276" w:lineRule="auto" w:before="0" w:after="0"/>
            </w:pPr>
            <w:r/>
            <w:r>
              <w:rPr>
                <w:rFonts w:ascii="Figtree" w:hAnsi="Figtree"/>
                <w:b w:val="0"/>
                <w:i w:val="0"/>
                <w:sz w:val="20"/>
              </w:rPr>
              <w:t>Phase 1 gate</w:t>
            </w:r>
          </w:p>
        </w:tc>
        <w:tc>
          <w:tcPr>
            <w:tcW w:type="dxa" w:w="4873"/>
            <w:vAlign w:val="center"/>
          </w:tcPr>
          <w:p>
            <w:pPr>
              <w:spacing w:line="276" w:lineRule="auto" w:before="0" w:after="0"/>
            </w:pPr>
            <w:r/>
            <w:r>
              <w:rPr>
                <w:rFonts w:ascii="Figtree" w:hAnsi="Figtree"/>
                <w:b w:val="0"/>
                <w:i w:val="0"/>
                <w:sz w:val="20"/>
              </w:rPr>
              <w:t>$27,000 (15%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Phase 3 gate</w:t>
            </w:r>
          </w:p>
        </w:tc>
        <w:tc>
          <w:tcPr>
            <w:tcW w:type="dxa" w:w="4873"/>
            <w:vAlign w:val="center"/>
          </w:tcPr>
          <w:p>
            <w:pPr>
              <w:spacing w:line="276" w:lineRule="auto" w:before="0" w:after="0"/>
            </w:pPr>
            <w:r/>
            <w:r>
              <w:rPr>
                <w:rFonts w:ascii="Figtree" w:hAnsi="Figtree"/>
                <w:b w:val="0"/>
                <w:i w:val="0"/>
                <w:sz w:val="20"/>
              </w:rPr>
              <w:t>$54,000 (30%)</w:t>
            </w:r>
          </w:p>
        </w:tc>
      </w:tr>
      <w:tr>
        <w:trPr>
          <w:trHeight w:val="425" w:hRule="atLeast"/>
        </w:trPr>
        <w:tc>
          <w:tcPr>
            <w:tcW w:type="dxa" w:w="4873"/>
            <w:vAlign w:val="center"/>
          </w:tcPr>
          <w:p>
            <w:pPr>
              <w:spacing w:line="276" w:lineRule="auto" w:before="0" w:after="0"/>
            </w:pPr>
            <w:r/>
            <w:r>
              <w:rPr>
                <w:rFonts w:ascii="Figtree" w:hAnsi="Figtree"/>
                <w:b w:val="0"/>
                <w:i w:val="0"/>
                <w:sz w:val="20"/>
              </w:rPr>
              <w:t>Phase 4 gate</w:t>
            </w:r>
          </w:p>
        </w:tc>
        <w:tc>
          <w:tcPr>
            <w:tcW w:type="dxa" w:w="4873"/>
            <w:vAlign w:val="center"/>
          </w:tcPr>
          <w:p>
            <w:pPr>
              <w:spacing w:line="276" w:lineRule="auto" w:before="0" w:after="0"/>
            </w:pPr>
            <w:r/>
            <w:r>
              <w:rPr>
                <w:rFonts w:ascii="Figtree" w:hAnsi="Figtree"/>
                <w:b w:val="0"/>
                <w:i w:val="0"/>
                <w:sz w:val="20"/>
              </w:rPr>
              <w:t>$36,000 (20%)</w:t>
            </w:r>
          </w:p>
        </w:tc>
      </w:tr>
      <w:tr>
        <w:trPr>
          <w:trHeight w:val="425" w:hRule="atLeast"/>
        </w:trPr>
        <w:tc>
          <w:tcPr>
            <w:tcW w:type="dxa" w:w="4873"/>
            <w:vAlign w:val="center"/>
          </w:tcPr>
          <w:p>
            <w:pPr>
              <w:spacing w:line="276" w:lineRule="auto" w:before="0" w:after="0"/>
            </w:pPr>
            <w:r/>
            <w:r>
              <w:rPr>
                <w:rFonts w:ascii="Figtree" w:hAnsi="Figtree"/>
                <w:b w:val="0"/>
                <w:i w:val="0"/>
                <w:sz w:val="20"/>
              </w:rPr>
              <w:t>Phase 6 completion</w:t>
            </w:r>
          </w:p>
        </w:tc>
        <w:tc>
          <w:tcPr>
            <w:tcW w:type="dxa" w:w="4873"/>
            <w:vAlign w:val="center"/>
          </w:tcPr>
          <w:p>
            <w:pPr>
              <w:spacing w:line="276" w:lineRule="auto" w:before="0" w:after="0"/>
            </w:pPr>
            <w:r/>
            <w:r>
              <w:rPr>
                <w:rFonts w:ascii="Figtree" w:hAnsi="Figtree"/>
                <w:b w:val="0"/>
                <w:i w:val="0"/>
                <w:sz w:val="20"/>
              </w:rPr>
              <w:t>$63,000 (35%)</w:t>
            </w:r>
          </w:p>
        </w:tc>
      </w:tr>
    </w:tbl>
    <w:p>
      <w:pPr>
        <w:spacing w:before="0" w:after="0" w:line="120" w:lineRule="exact"/>
      </w:pPr>
    </w:p>
    <w:p>
      <w:pPr>
        <w:pStyle w:val="H2"/>
        <w:numPr>
          <w:ilvl w:val="1"/>
          <w:numId w:val="1"/>
        </w:numPr>
      </w:pPr>
      <w:r>
        <w:t>6.3 Accelerators and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739"/>
        <w:gridCol w:w="433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Effect</w:t>
            </w:r>
          </w:p>
        </w:tc>
      </w:tr>
      <w:tr>
        <w:trPr>
          <w:trHeight w:val="425" w:hRule="atLeast"/>
        </w:trPr>
        <w:tc>
          <w:tcPr>
            <w:tcW w:type="dxa" w:w="4873"/>
            <w:vAlign w:val="center"/>
          </w:tcPr>
          <w:p>
            <w:pPr>
              <w:spacing w:line="276" w:lineRule="auto" w:before="0" w:after="0"/>
            </w:pPr>
            <w:r/>
            <w:r>
              <w:rPr>
                <w:rFonts w:ascii="Figtree" w:hAnsi="Figtree"/>
                <w:b w:val="0"/>
                <w:i w:val="0"/>
                <w:sz w:val="20"/>
              </w:rPr>
              <w:t>REST API AML provider</w:t>
            </w:r>
          </w:p>
        </w:tc>
        <w:tc>
          <w:tcPr>
            <w:tcW w:type="dxa" w:w="4873"/>
            <w:vAlign w:val="center"/>
          </w:tcPr>
          <w:p>
            <w:pPr>
              <w:spacing w:line="276" w:lineRule="auto" w:before="0" w:after="0"/>
            </w:pPr>
            <w:r/>
            <w:r>
              <w:rPr>
                <w:rFonts w:ascii="Figtree" w:hAnsi="Figtree"/>
                <w:b w:val="0"/>
                <w:i w:val="0"/>
                <w:sz w:val="20"/>
              </w:rPr>
              <w:t>Accelerates Phase 3</w:t>
            </w:r>
          </w:p>
        </w:tc>
      </w:tr>
      <w:tr>
        <w:trPr>
          <w:trHeight w:val="425" w:hRule="atLeast"/>
        </w:trPr>
        <w:tc>
          <w:tcPr>
            <w:tcW w:type="dxa" w:w="4873"/>
            <w:vAlign w:val="center"/>
          </w:tcPr>
          <w:p>
            <w:pPr>
              <w:spacing w:line="276" w:lineRule="auto" w:before="0" w:after="0"/>
            </w:pPr>
            <w:r/>
            <w:r>
              <w:rPr>
                <w:rFonts w:ascii="Figtree" w:hAnsi="Figtree"/>
                <w:b w:val="0"/>
                <w:i w:val="0"/>
                <w:sz w:val="20"/>
              </w:rPr>
              <w:t>Standard mobile money APIs</w:t>
            </w:r>
          </w:p>
        </w:tc>
        <w:tc>
          <w:tcPr>
            <w:tcW w:type="dxa" w:w="4873"/>
            <w:vAlign w:val="center"/>
          </w:tcPr>
          <w:p>
            <w:pPr>
              <w:spacing w:line="276" w:lineRule="auto" w:before="0" w:after="0"/>
            </w:pPr>
            <w:r/>
            <w:r>
              <w:rPr>
                <w:rFonts w:ascii="Figtree" w:hAnsi="Figtree"/>
                <w:b w:val="0"/>
                <w:i w:val="0"/>
                <w:sz w:val="20"/>
              </w:rPr>
              <w:t>Accelerates Phase 4</w:t>
            </w:r>
          </w:p>
        </w:tc>
      </w:tr>
      <w:tr>
        <w:trPr>
          <w:trHeight w:val="425" w:hRule="atLeast"/>
        </w:trPr>
        <w:tc>
          <w:tcPr>
            <w:tcW w:type="dxa" w:w="4873"/>
            <w:vAlign w:val="center"/>
          </w:tcPr>
          <w:p>
            <w:pPr>
              <w:spacing w:line="276" w:lineRule="auto" w:before="0" w:after="0"/>
            </w:pPr>
            <w:r/>
            <w:r>
              <w:rPr>
                <w:rFonts w:ascii="Figtree" w:hAnsi="Figtree"/>
                <w:b w:val="0"/>
                <w:i w:val="0"/>
                <w:sz w:val="20"/>
              </w:rPr>
              <w:t>Existing Chipper Cash API team</w:t>
            </w:r>
          </w:p>
        </w:tc>
        <w:tc>
          <w:tcPr>
            <w:tcW w:type="dxa" w:w="4873"/>
            <w:vAlign w:val="center"/>
          </w:tcPr>
          <w:p>
            <w:pPr>
              <w:spacing w:line="276" w:lineRule="auto" w:before="0" w:after="0"/>
            </w:pPr>
            <w:r/>
            <w:r>
              <w:rPr>
                <w:rFonts w:ascii="Figtree" w:hAnsi="Figtree"/>
                <w:b w:val="0"/>
                <w:i w:val="0"/>
                <w:sz w:val="20"/>
              </w:rPr>
              <w:t>Accelerates Phase 2</w:t>
            </w:r>
          </w:p>
        </w:tc>
      </w:tr>
      <w:tr>
        <w:trPr>
          <w:trHeight w:val="425" w:hRule="atLeast"/>
        </w:trPr>
        <w:tc>
          <w:tcPr>
            <w:tcW w:type="dxa" w:w="4873"/>
            <w:vAlign w:val="center"/>
          </w:tcPr>
          <w:p>
            <w:pPr>
              <w:spacing w:line="276" w:lineRule="auto" w:before="0" w:after="0"/>
            </w:pPr>
            <w:r/>
            <w:r>
              <w:rPr>
                <w:rFonts w:ascii="Figtree" w:hAnsi="Figtree"/>
                <w:b w:val="0"/>
                <w:i w:val="0"/>
                <w:sz w:val="20"/>
              </w:rPr>
              <w:t>Non-standard local RTGS interface</w:t>
            </w:r>
          </w:p>
        </w:tc>
        <w:tc>
          <w:tcPr>
            <w:tcW w:type="dxa" w:w="4873"/>
            <w:vAlign w:val="center"/>
          </w:tcPr>
          <w:p>
            <w:pPr>
              <w:spacing w:line="276" w:lineRule="auto" w:before="0" w:after="0"/>
            </w:pPr>
            <w:r/>
            <w:r>
              <w:rPr>
                <w:rFonts w:ascii="Figtree" w:hAnsi="Figtree"/>
                <w:b w:val="0"/>
                <w:i w:val="0"/>
                <w:sz w:val="20"/>
              </w:rPr>
              <w:t>+$15,000-$30,000 per corridor</w:t>
            </w:r>
          </w:p>
        </w:tc>
      </w:tr>
      <w:tr>
        <w:trPr>
          <w:trHeight w:val="425" w:hRule="atLeast"/>
        </w:trPr>
        <w:tc>
          <w:tcPr>
            <w:tcW w:type="dxa" w:w="4873"/>
            <w:vAlign w:val="center"/>
          </w:tcPr>
          <w:p>
            <w:pPr>
              <w:spacing w:line="276" w:lineRule="auto" w:before="0" w:after="0"/>
            </w:pPr>
            <w:r/>
            <w:r>
              <w:rPr>
                <w:rFonts w:ascii="Figtree" w:hAnsi="Figtree"/>
                <w:b w:val="0"/>
                <w:i w:val="0"/>
                <w:sz w:val="20"/>
              </w:rPr>
              <w:t>Complex PAPSS integration at launch</w:t>
            </w:r>
          </w:p>
        </w:tc>
        <w:tc>
          <w:tcPr>
            <w:tcW w:type="dxa" w:w="4873"/>
            <w:vAlign w:val="center"/>
          </w:tcPr>
          <w:p>
            <w:pPr>
              <w:spacing w:line="276" w:lineRule="auto" w:before="0" w:after="0"/>
            </w:pPr>
            <w:r/>
            <w:r>
              <w:rPr>
                <w:rFonts w:ascii="Figtree" w:hAnsi="Figtree"/>
                <w:b w:val="0"/>
                <w:i w:val="0"/>
                <w:sz w:val="20"/>
              </w:rPr>
              <w:t>+$20,000-$40,000, extend Phase 4</w:t>
            </w:r>
          </w:p>
        </w:tc>
      </w:tr>
    </w:tbl>
    <w:p>
      <w:pPr>
        <w:spacing w:before="0" w:after="0" w:line="120" w:lineRule="exact"/>
      </w:pPr>
    </w:p>
    <w:p>
      <w:r>
        <w:br w:type="page"/>
      </w:r>
    </w:p>
    <w:p>
      <w:pPr>
        <w:pStyle w:val="H1"/>
        <w:numPr>
          <w:ilvl w:val="0"/>
          <w:numId w:val="1"/>
        </w:numPr>
      </w:pPr>
      <w:r>
        <w:t>7. Commercial Terms</w:t>
      </w:r>
    </w:p>
    <w:p>
      <w:pPr>
        <w:pStyle w:val="H2"/>
        <w:numPr>
          <w:ilvl w:val="1"/>
          <w:numId w:val="1"/>
        </w:numPr>
      </w:pPr>
      <w:r>
        <w:t>7.1 Contract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95"/>
        <w:gridCol w:w="607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Agreement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Licence</w:t>
            </w:r>
          </w:p>
        </w:tc>
        <w:tc>
          <w:tcPr>
            <w:tcW w:type="dxa" w:w="4873"/>
            <w:vAlign w:val="center"/>
          </w:tcPr>
          <w:p>
            <w:pPr>
              <w:spacing w:line="276" w:lineRule="auto" w:before="0" w:after="0"/>
            </w:pPr>
            <w:r/>
            <w:r>
              <w:rPr>
                <w:rFonts w:ascii="Figtree" w:hAnsi="Figtree"/>
                <w:b w:val="0"/>
                <w:i w:val="0"/>
                <w:sz w:val="20"/>
              </w:rPr>
              <w:t>DALP software, managed SaaS service, IP boundaries</w:t>
            </w:r>
          </w:p>
        </w:tc>
      </w:tr>
      <w:tr>
        <w:trPr>
          <w:trHeight w:val="425" w:hRule="atLeast"/>
        </w:trPr>
        <w:tc>
          <w:tcPr>
            <w:tcW w:type="dxa" w:w="4873"/>
            <w:vAlign w:val="center"/>
          </w:tcPr>
          <w:p>
            <w:pPr>
              <w:spacing w:line="276" w:lineRule="auto" w:before="0" w:after="0"/>
            </w:pPr>
            <w:r/>
            <w:r>
              <w:rPr>
                <w:rFonts w:ascii="Figtree" w:hAnsi="Figtree"/>
                <w:b w:val="0"/>
                <w:i w:val="0"/>
                <w:sz w:val="20"/>
              </w:rPr>
              <w:t>Professional Services</w:t>
            </w:r>
          </w:p>
        </w:tc>
        <w:tc>
          <w:tcPr>
            <w:tcW w:type="dxa" w:w="4873"/>
            <w:vAlign w:val="center"/>
          </w:tcPr>
          <w:p>
            <w:pPr>
              <w:spacing w:line="276" w:lineRule="auto" w:before="0" w:after="0"/>
            </w:pPr>
            <w:r/>
            <w:r>
              <w:rPr>
                <w:rFonts w:ascii="Figtree" w:hAnsi="Figtree"/>
                <w:b w:val="0"/>
                <w:i w:val="0"/>
                <w:sz w:val="20"/>
              </w:rPr>
              <w:t>Implementation, training</w:t>
            </w:r>
          </w:p>
        </w:tc>
      </w:tr>
      <w:tr>
        <w:trPr>
          <w:trHeight w:val="425" w:hRule="atLeast"/>
        </w:trPr>
        <w:tc>
          <w:tcPr>
            <w:tcW w:type="dxa" w:w="4873"/>
            <w:vAlign w:val="center"/>
          </w:tcPr>
          <w:p>
            <w:pPr>
              <w:spacing w:line="276" w:lineRule="auto" w:before="0" w:after="0"/>
            </w:pPr>
            <w:r/>
            <w:r>
              <w:rPr>
                <w:rFonts w:ascii="Figtree" w:hAnsi="Figtree"/>
                <w:b w:val="0"/>
                <w:i w:val="0"/>
                <w:sz w:val="20"/>
              </w:rPr>
              <w:t>Support Services</w:t>
            </w:r>
          </w:p>
        </w:tc>
        <w:tc>
          <w:tcPr>
            <w:tcW w:type="dxa" w:w="4873"/>
            <w:vAlign w:val="center"/>
          </w:tcPr>
          <w:p>
            <w:pPr>
              <w:spacing w:line="276" w:lineRule="auto" w:before="0" w:after="0"/>
            </w:pPr>
            <w:r/>
            <w:r>
              <w:rPr>
                <w:rFonts w:ascii="Figtree" w:hAnsi="Figtree"/>
                <w:b w:val="0"/>
                <w:i w:val="0"/>
                <w:sz w:val="20"/>
              </w:rPr>
              <w:t>Enterprise 24/7, SLA, service credits</w:t>
            </w:r>
          </w:p>
        </w:tc>
      </w:tr>
    </w:tbl>
    <w:p>
      <w:pPr>
        <w:spacing w:before="0" w:after="0" w:line="120" w:lineRule="exact"/>
      </w:pPr>
    </w:p>
    <w:p>
      <w:pPr>
        <w:pStyle w:val="H2"/>
        <w:numPr>
          <w:ilvl w:val="1"/>
          <w:numId w:val="1"/>
        </w:numPr>
      </w:pPr>
      <w:r>
        <w:t>7.2 Payment and Duration</w:t>
      </w:r>
    </w:p>
    <w:p>
      <w:pPr>
        <w:pStyle w:val="ListParagraph"/>
        <w:numPr>
          <w:ilvl w:val="0"/>
          <w:numId w:val="4"/>
        </w:numPr>
      </w:pPr>
      <w:r>
        <w:rPr>
          <w:rFonts w:ascii="Figtree" w:hAnsi="Figtree"/>
          <w:b/>
          <w:i w:val="0"/>
          <w:sz w:val="22"/>
        </w:rPr>
        <w:t>Licence term:</w:t>
      </w:r>
      <w:r>
        <w:rPr>
          <w:rFonts w:ascii="Figtree" w:hAnsi="Figtree"/>
          <w:b w:val="0"/>
          <w:i w:val="0"/>
          <w:sz w:val="22"/>
        </w:rPr>
        <w:t xml:space="preserve"> 3 years from contract execution</w:t>
      </w:r>
    </w:p>
    <w:p>
      <w:pPr>
        <w:pStyle w:val="ListParagraph"/>
        <w:numPr>
          <w:ilvl w:val="0"/>
          <w:numId w:val="4"/>
        </w:numPr>
      </w:pPr>
      <w:r>
        <w:rPr>
          <w:rFonts w:ascii="Figtree" w:hAnsi="Figtree"/>
          <w:b/>
          <w:i w:val="0"/>
          <w:sz w:val="22"/>
        </w:rPr>
        <w:t>Currency:</w:t>
      </w:r>
      <w:r>
        <w:rPr>
          <w:rFonts w:ascii="Figtree" w:hAnsi="Figtree"/>
          <w:b w:val="0"/>
          <w:i w:val="0"/>
          <w:sz w:val="22"/>
        </w:rPr>
        <w:t xml:space="preserve"> USD</w:t>
      </w:r>
    </w:p>
    <w:p>
      <w:pPr>
        <w:pStyle w:val="ListParagraph"/>
        <w:numPr>
          <w:ilvl w:val="0"/>
          <w:numId w:val="4"/>
        </w:numPr>
      </w:pPr>
      <w:r>
        <w:rPr>
          <w:rFonts w:ascii="Figtree" w:hAnsi="Figtree"/>
          <w:b/>
          <w:i w:val="0"/>
          <w:sz w:val="22"/>
        </w:rPr>
        <w:t>Payment:</w:t>
      </w:r>
      <w:r>
        <w:rPr>
          <w:rFonts w:ascii="Figtree" w:hAnsi="Figtree"/>
          <w:b w:val="0"/>
          <w:i w:val="0"/>
          <w:sz w:val="22"/>
        </w:rPr>
        <w:t xml:space="preserve"> Annual licence + support in advance; implementation milestone-based</w:t>
      </w:r>
    </w:p>
    <w:p>
      <w:pPr>
        <w:pStyle w:val="ListParagraph"/>
        <w:numPr>
          <w:ilvl w:val="0"/>
          <w:numId w:val="4"/>
        </w:numPr>
      </w:pPr>
      <w:r>
        <w:rPr>
          <w:rFonts w:ascii="Figtree" w:hAnsi="Figtree"/>
          <w:b/>
          <w:i w:val="0"/>
          <w:sz w:val="22"/>
        </w:rPr>
        <w:t>Multi-year discount:</w:t>
      </w:r>
      <w:r>
        <w:rPr>
          <w:rFonts w:ascii="Figtree" w:hAnsi="Figtree"/>
          <w:b w:val="0"/>
          <w:i w:val="0"/>
          <w:sz w:val="22"/>
        </w:rPr>
        <w:t xml:space="preserve"> 10% on licence fees, applied as annual credit against each year's licence invoice</w:t>
      </w:r>
    </w:p>
    <w:p>
      <w:pPr>
        <w:pStyle w:val="H3"/>
        <w:numPr>
          <w:ilvl w:val="2"/>
          <w:numId w:val="1"/>
        </w:numPr>
      </w:pPr>
      <w:r>
        <w:t>Discounted Pricing (3-Year Commitment)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34"/>
        <w:gridCol w:w="2668"/>
        <w:gridCol w:w="1219"/>
        <w:gridCol w:w="1296"/>
        <w:gridCol w:w="175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Undiscounted Annual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Discount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Discounted Annual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Discounted Total</w:t>
            </w:r>
          </w:p>
        </w:tc>
      </w:tr>
      <w:tr>
        <w:trPr>
          <w:trHeight w:val="425" w:hRule="atLeast"/>
        </w:trPr>
        <w:tc>
          <w:tcPr>
            <w:tcW w:type="dxa" w:w="1949"/>
            <w:vAlign w:val="center"/>
          </w:tcPr>
          <w:p>
            <w:pPr>
              <w:spacing w:line="276" w:lineRule="auto" w:before="0" w:after="0"/>
            </w:pPr>
            <w:r/>
            <w:r>
              <w:rPr>
                <w:rFonts w:ascii="Figtree" w:hAnsi="Figtree"/>
                <w:b w:val="0"/>
                <w:i w:val="0"/>
                <w:sz w:val="20"/>
              </w:rPr>
              <w:t>Enterprise Licence</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10% ($48,000/yr)</w:t>
            </w:r>
          </w:p>
        </w:tc>
        <w:tc>
          <w:tcPr>
            <w:tcW w:type="dxa" w:w="1949"/>
            <w:vAlign w:val="center"/>
          </w:tcPr>
          <w:p>
            <w:pPr>
              <w:spacing w:line="276" w:lineRule="auto" w:before="0" w:after="0"/>
            </w:pPr>
            <w:r/>
            <w:r>
              <w:rPr>
                <w:rFonts w:ascii="Figtree" w:hAnsi="Figtree"/>
                <w:b w:val="0"/>
                <w:i w:val="0"/>
                <w:sz w:val="20"/>
              </w:rPr>
              <w:t>$432,000</w:t>
            </w:r>
          </w:p>
        </w:tc>
        <w:tc>
          <w:tcPr>
            <w:tcW w:type="dxa" w:w="1949"/>
            <w:vAlign w:val="center"/>
          </w:tcPr>
          <w:p>
            <w:pPr>
              <w:spacing w:line="276" w:lineRule="auto" w:before="0" w:after="0"/>
            </w:pPr>
            <w:r/>
            <w:r>
              <w:rPr>
                <w:rFonts w:ascii="Figtree" w:hAnsi="Figtree"/>
                <w:b w:val="0"/>
                <w:i w:val="0"/>
                <w:sz w:val="20"/>
              </w:rPr>
              <w:t>$1,296,000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$432,000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$180,000 (Year 1)</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$180,000</w:t>
            </w:r>
          </w:p>
        </w:tc>
        <w:tc>
          <w:tcPr>
            <w:tcW w:type="dxa" w:w="1949"/>
            <w:vAlign w:val="center"/>
          </w:tcPr>
          <w:p>
            <w:pPr>
              <w:spacing w:line="276" w:lineRule="auto" w:before="0" w:after="0"/>
            </w:pPr>
            <w:r/>
            <w:r>
              <w:rPr>
                <w:rFonts w:ascii="Figtree" w:hAnsi="Figtree"/>
                <w:b w:val="0"/>
                <w:i w:val="0"/>
                <w:sz w:val="20"/>
              </w:rPr>
              <w:t>$180,000</w:t>
            </w:r>
          </w:p>
        </w:tc>
      </w:tr>
      <w:tr>
        <w:trPr>
          <w:trHeight w:val="425" w:hRule="atLeast"/>
        </w:trPr>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$20,000 (Year 1) + $10,000 (Year 3)</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$30,000</w:t>
            </w:r>
          </w:p>
        </w:tc>
      </w:tr>
      <w:tr>
        <w:trPr>
          <w:trHeight w:val="425" w:hRule="atLeast"/>
        </w:trPr>
        <w:tc>
          <w:tcPr>
            <w:tcW w:type="dxa" w:w="1949"/>
            <w:vAlign w:val="center"/>
          </w:tcPr>
          <w:p>
            <w:pPr>
              <w:spacing w:line="276" w:lineRule="auto" w:before="0" w:after="0"/>
            </w:pPr>
            <w:r/>
            <w:r>
              <w:rPr>
                <w:rFonts w:ascii="Figtree" w:hAnsi="Figtree"/>
                <w:b/>
                <w:i w:val="0"/>
                <w:sz w:val="20"/>
              </w:rPr>
              <w:t>Total (Discounted)</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$1,938,000</w:t>
            </w:r>
          </w:p>
        </w:tc>
      </w:tr>
      <w:tr>
        <w:trPr>
          <w:trHeight w:val="425" w:hRule="atLeast"/>
        </w:trPr>
        <w:tc>
          <w:tcPr>
            <w:tcW w:type="dxa" w:w="1949"/>
            <w:vAlign w:val="center"/>
          </w:tcPr>
          <w:p>
            <w:pPr>
              <w:spacing w:line="276" w:lineRule="auto" w:before="0" w:after="0"/>
            </w:pPr>
            <w:r/>
            <w:r>
              <w:rPr>
                <w:rFonts w:ascii="Figtree" w:hAnsi="Figtree"/>
                <w:b/>
                <w:i w:val="0"/>
                <w:sz w:val="20"/>
              </w:rPr>
              <w:t>Savings vs. Undiscounted</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$144,000</w:t>
            </w:r>
          </w:p>
        </w:tc>
      </w:tr>
    </w:tbl>
    <w:p>
      <w:pPr>
        <w:spacing w:before="0" w:after="0" w:line="120" w:lineRule="exact"/>
      </w:pPr>
    </w:p>
    <w:p>
      <w:r>
        <w:rPr>
          <w:rFonts w:ascii="Figtree" w:hAnsi="Figtree"/>
          <w:b w:val="0"/>
          <w:i w:val="0"/>
          <w:sz w:val="22"/>
        </w:rPr>
        <w:t>The 10% multi-year discount is credited annually against the licence invoice. Year 1 total: $776,000 (vs. $824,000 undiscounted). Year 2: $576,000 (vs. $624,000). Year 3: $586,000 (vs. $634,000).</w:t>
      </w:r>
    </w:p>
    <w:p>
      <w:pPr>
        <w:pStyle w:val="H2"/>
        <w:numPr>
          <w:ilvl w:val="1"/>
          <w:numId w:val="1"/>
        </w:numPr>
      </w:pPr>
      <w:r>
        <w:t>7.3 Key Terms</w:t>
      </w:r>
    </w:p>
    <w:p>
      <w:pPr>
        <w:pStyle w:val="ListParagraph"/>
        <w:numPr>
          <w:ilvl w:val="0"/>
          <w:numId w:val="4"/>
        </w:numPr>
      </w:pPr>
      <w:r>
        <w:rPr>
          <w:rFonts w:ascii="Figtree" w:hAnsi="Figtree"/>
          <w:b/>
          <w:i w:val="0"/>
          <w:sz w:val="22"/>
        </w:rPr>
        <w:t>IP:</w:t>
      </w:r>
      <w:r>
        <w:rPr>
          <w:rFonts w:ascii="Figtree" w:hAnsi="Figtree"/>
          <w:b w:val="0"/>
          <w:i w:val="0"/>
          <w:sz w:val="22"/>
        </w:rPr>
        <w:t xml:space="preserve"> DALP platform remains SettleMint's. Chipper Cash's settlement records and configurations remain Chipper Cash's.</w:t>
      </w:r>
    </w:p>
    <w:p>
      <w:pPr>
        <w:pStyle w:val="ListParagraph"/>
        <w:numPr>
          <w:ilvl w:val="0"/>
          <w:numId w:val="4"/>
        </w:numPr>
      </w:pPr>
      <w:r>
        <w:rPr>
          <w:rFonts w:ascii="Figtree" w:hAnsi="Figtree"/>
          <w:b/>
          <w:i w:val="0"/>
          <w:sz w:val="22"/>
        </w:rPr>
        <w:t>Liability:</w:t>
      </w:r>
      <w:r>
        <w:rPr>
          <w:rFonts w:ascii="Figtree" w:hAnsi="Figtree"/>
          <w:b w:val="0"/>
          <w:i w:val="0"/>
          <w:sz w:val="22"/>
        </w:rPr>
        <w:t xml:space="preserve"> Capped at 12 months of licence fees.</w:t>
      </w:r>
    </w:p>
    <w:p>
      <w:pPr>
        <w:pStyle w:val="ListParagraph"/>
        <w:numPr>
          <w:ilvl w:val="0"/>
          <w:numId w:val="4"/>
        </w:numPr>
      </w:pPr>
      <w:r>
        <w:rPr>
          <w:rFonts w:ascii="Figtree" w:hAnsi="Figtree"/>
          <w:b/>
          <w:i w:val="0"/>
          <w:sz w:val="22"/>
        </w:rPr>
        <w:t>Confidentiality:</w:t>
      </w:r>
      <w:r>
        <w:rPr>
          <w:rFonts w:ascii="Figtree" w:hAnsi="Figtree"/>
          <w:b w:val="0"/>
          <w:i w:val="0"/>
          <w:sz w:val="22"/>
        </w:rPr>
        <w:t xml:space="preserve"> Mutual, 3 years post-term.</w:t>
      </w:r>
    </w:p>
    <w:p>
      <w:pPr>
        <w:pStyle w:val="ListParagraph"/>
        <w:numPr>
          <w:ilvl w:val="0"/>
          <w:numId w:val="4"/>
        </w:numPr>
      </w:pPr>
      <w:r>
        <w:rPr>
          <w:rFonts w:ascii="Figtree" w:hAnsi="Figtree"/>
          <w:b/>
          <w:i w:val="0"/>
          <w:sz w:val="22"/>
        </w:rPr>
        <w:t>Termination for cause:</w:t>
      </w:r>
      <w:r>
        <w:rPr>
          <w:rFonts w:ascii="Figtree" w:hAnsi="Figtree"/>
          <w:b w:val="0"/>
          <w:i w:val="0"/>
          <w:sz w:val="22"/>
        </w:rPr>
        <w:t xml:space="preserve"> 30-day cure period; data export 90-day window.</w:t>
      </w:r>
    </w:p>
    <w:p>
      <w:pPr>
        <w:pStyle w:val="ListParagraph"/>
        <w:numPr>
          <w:ilvl w:val="0"/>
          <w:numId w:val="4"/>
        </w:numPr>
      </w:pPr>
      <w:r>
        <w:rPr>
          <w:rFonts w:ascii="Figtree" w:hAnsi="Figtree"/>
          <w:b/>
          <w:i w:val="0"/>
          <w:sz w:val="22"/>
        </w:rPr>
        <w:t>Data Processing Agreement (DPA):</w:t>
      </w:r>
      <w:r>
        <w:rPr>
          <w:rFonts w:ascii="Figtree" w:hAnsi="Figtree"/>
          <w:b w:val="0"/>
          <w:i w:val="0"/>
          <w:sz w:val="22"/>
        </w:rPr>
        <w:t xml:space="preserve"> A GDPR-compliant Data Processing Agreement is included as a standard annex to the Platform Licence agreement. The DPA covers SettleMint's obligations as data processor for settlement records processed in the EU-region managed SaaS environment, including sub-processor disclosure, data breach notification (72-hour), and data subject access request support. DALP does not process end-user PII (which remains in Chipper Cash's own systems), but the DPA covers any operational or transactional data that may qualify as personal data under GDPR.</w:t>
      </w:r>
    </w:p>
    <w:p>
      <w:pPr>
        <w:pStyle w:val="ListParagraph"/>
        <w:numPr>
          <w:ilvl w:val="0"/>
          <w:numId w:val="4"/>
        </w:numPr>
      </w:pPr>
      <w:r>
        <w:rPr>
          <w:rFonts w:ascii="Figtree" w:hAnsi="Figtree"/>
          <w:b/>
          <w:i w:val="0"/>
          <w:sz w:val="22"/>
        </w:rPr>
        <w:t>New corridors:</w:t>
      </w:r>
      <w:r>
        <w:rPr>
          <w:rFonts w:ascii="Figtree" w:hAnsi="Figtree"/>
          <w:b w:val="0"/>
          <w:i w:val="0"/>
          <w:sz w:val="22"/>
        </w:rPr>
        <w:t xml:space="preserve"> Adding new corridors within the licence term requires no additional licence or commercial amendment — it is a configuration activity.</w:t>
      </w:r>
    </w:p>
    <w:p>
      <w:pPr>
        <w:pStyle w:val="ListParagraph"/>
        <w:numPr>
          <w:ilvl w:val="0"/>
          <w:numId w:val="4"/>
        </w:numPr>
      </w:pPr>
      <w:r>
        <w:rPr>
          <w:rFonts w:ascii="Figtree" w:hAnsi="Figtree"/>
          <w:b/>
          <w:i w:val="0"/>
          <w:sz w:val="22"/>
        </w:rPr>
        <w:t>PAPSS integration:</w:t>
      </w:r>
      <w:r>
        <w:rPr>
          <w:rFonts w:ascii="Figtree" w:hAnsi="Figtree"/>
          <w:b w:val="0"/>
          <w:i w:val="0"/>
          <w:sz w:val="22"/>
        </w:rPr>
        <w:t xml:space="preserve"> If PAPSS integration is required before Phase 2, it can be incorporated into Phase 4 for an additional services fee (see Section 6.3).</w:t>
      </w:r>
    </w:p>
    <w:p>
      <w:r>
        <w:br w:type="page"/>
      </w:r>
    </w:p>
    <w:p>
      <w:pPr>
        <w:pStyle w:val="H1"/>
        <w:numPr>
          <w:ilvl w:val="0"/>
          <w:numId w:val="1"/>
        </w:numPr>
      </w:pPr>
      <w:r>
        <w:t>8. Total Cost of Ownership</w:t>
      </w:r>
    </w:p>
    <w:p>
      <w:pPr>
        <w:pStyle w:val="H2"/>
        <w:numPr>
          <w:ilvl w:val="1"/>
          <w:numId w:val="1"/>
        </w:numPr>
      </w:pPr>
      <w:r>
        <w:t>8.1 Three-Year TCO — DALP vs Build vs Multi-Vendor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8"/>
        <w:gridCol w:w="1713"/>
        <w:gridCol w:w="2520"/>
        <w:gridCol w:w="252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Managed SaaS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 Assembly</w:t>
            </w:r>
          </w:p>
        </w:tc>
      </w:tr>
      <w:tr>
        <w:trPr>
          <w:trHeight w:val="425" w:hRule="atLeast"/>
        </w:trPr>
        <w:tc>
          <w:tcPr>
            <w:tcW w:type="dxa" w:w="2436"/>
            <w:vAlign w:val="center"/>
          </w:tcPr>
          <w:p>
            <w:pPr>
              <w:spacing w:line="276" w:lineRule="auto" w:before="0" w:after="0"/>
            </w:pPr>
            <w:r/>
            <w:r>
              <w:rPr>
                <w:rFonts w:ascii="Figtree" w:hAnsi="Figtree"/>
                <w:b w:val="0"/>
                <w:i w:val="0"/>
                <w:sz w:val="20"/>
              </w:rPr>
              <w:t>Year 1</w:t>
            </w:r>
          </w:p>
        </w:tc>
        <w:tc>
          <w:tcPr>
            <w:tcW w:type="dxa" w:w="2436"/>
            <w:vAlign w:val="center"/>
          </w:tcPr>
          <w:p>
            <w:pPr>
              <w:spacing w:line="276" w:lineRule="auto" w:before="0" w:after="0"/>
            </w:pPr>
            <w:r/>
            <w:r>
              <w:rPr>
                <w:rFonts w:ascii="Figtree" w:hAnsi="Figtree"/>
                <w:b w:val="0"/>
                <w:i w:val="0"/>
                <w:sz w:val="20"/>
              </w:rPr>
              <w:t>$824,000</w:t>
            </w:r>
          </w:p>
        </w:tc>
        <w:tc>
          <w:tcPr>
            <w:tcW w:type="dxa" w:w="2436"/>
            <w:vAlign w:val="center"/>
          </w:tcPr>
          <w:p>
            <w:pPr>
              <w:spacing w:line="276" w:lineRule="auto" w:before="0" w:after="0"/>
            </w:pPr>
            <w:r/>
            <w:r>
              <w:rPr>
                <w:rFonts w:ascii="Figtree" w:hAnsi="Figtree"/>
                <w:b w:val="0"/>
                <w:i w:val="0"/>
                <w:sz w:val="20"/>
              </w:rPr>
              <w:t>$2,800,000-$4,200,000</w:t>
            </w:r>
          </w:p>
        </w:tc>
        <w:tc>
          <w:tcPr>
            <w:tcW w:type="dxa" w:w="2436"/>
            <w:vAlign w:val="center"/>
          </w:tcPr>
          <w:p>
            <w:pPr>
              <w:spacing w:line="276" w:lineRule="auto" w:before="0" w:after="0"/>
            </w:pPr>
            <w:r/>
            <w:r>
              <w:rPr>
                <w:rFonts w:ascii="Figtree" w:hAnsi="Figtree"/>
                <w:b w:val="0"/>
                <w:i w:val="0"/>
                <w:sz w:val="20"/>
              </w:rPr>
              <w:t>$1,800,000-$2,800,000</w:t>
            </w:r>
          </w:p>
        </w:tc>
      </w:tr>
      <w:tr>
        <w:trPr>
          <w:trHeight w:val="425" w:hRule="atLeast"/>
        </w:trPr>
        <w:tc>
          <w:tcPr>
            <w:tcW w:type="dxa" w:w="2436"/>
            <w:vAlign w:val="center"/>
          </w:tcPr>
          <w:p>
            <w:pPr>
              <w:spacing w:line="276" w:lineRule="auto" w:before="0" w:after="0"/>
            </w:pPr>
            <w:r/>
            <w:r>
              <w:rPr>
                <w:rFonts w:ascii="Figtree" w:hAnsi="Figtree"/>
                <w:b w:val="0"/>
                <w:i w:val="0"/>
                <w:sz w:val="20"/>
              </w:rPr>
              <w:t>Year 2</w:t>
            </w:r>
          </w:p>
        </w:tc>
        <w:tc>
          <w:tcPr>
            <w:tcW w:type="dxa" w:w="2436"/>
            <w:vAlign w:val="center"/>
          </w:tcPr>
          <w:p>
            <w:pPr>
              <w:spacing w:line="276" w:lineRule="auto" w:before="0" w:after="0"/>
            </w:pPr>
            <w:r/>
            <w:r>
              <w:rPr>
                <w:rFonts w:ascii="Figtree" w:hAnsi="Figtree"/>
                <w:b w:val="0"/>
                <w:i w:val="0"/>
                <w:sz w:val="20"/>
              </w:rPr>
              <w:t>$624,000</w:t>
            </w:r>
          </w:p>
        </w:tc>
        <w:tc>
          <w:tcPr>
            <w:tcW w:type="dxa" w:w="2436"/>
            <w:vAlign w:val="center"/>
          </w:tcPr>
          <w:p>
            <w:pPr>
              <w:spacing w:line="276" w:lineRule="auto" w:before="0" w:after="0"/>
            </w:pPr>
            <w:r/>
            <w:r>
              <w:rPr>
                <w:rFonts w:ascii="Figtree" w:hAnsi="Figtree"/>
                <w:b w:val="0"/>
                <w:i w:val="0"/>
                <w:sz w:val="20"/>
              </w:rPr>
              <w:t>$1,200,000-$1,800,000</w:t>
            </w:r>
          </w:p>
        </w:tc>
        <w:tc>
          <w:tcPr>
            <w:tcW w:type="dxa" w:w="2436"/>
            <w:vAlign w:val="center"/>
          </w:tcPr>
          <w:p>
            <w:pPr>
              <w:spacing w:line="276" w:lineRule="auto" w:before="0" w:after="0"/>
            </w:pPr>
            <w:r/>
            <w:r>
              <w:rPr>
                <w:rFonts w:ascii="Figtree" w:hAnsi="Figtree"/>
                <w:b w:val="0"/>
                <w:i w:val="0"/>
                <w:sz w:val="20"/>
              </w:rPr>
              <w:t>$1,200,000-$1,800,000</w:t>
            </w:r>
          </w:p>
        </w:tc>
      </w:tr>
      <w:tr>
        <w:trPr>
          <w:trHeight w:val="425" w:hRule="atLeast"/>
        </w:trPr>
        <w:tc>
          <w:tcPr>
            <w:tcW w:type="dxa" w:w="2436"/>
            <w:vAlign w:val="center"/>
          </w:tcPr>
          <w:p>
            <w:pPr>
              <w:spacing w:line="276" w:lineRule="auto" w:before="0" w:after="0"/>
            </w:pPr>
            <w:r/>
            <w:r>
              <w:rPr>
                <w:rFonts w:ascii="Figtree" w:hAnsi="Figtree"/>
                <w:b w:val="0"/>
                <w:i w:val="0"/>
                <w:sz w:val="20"/>
              </w:rPr>
              <w:t>Year 3</w:t>
            </w:r>
          </w:p>
        </w:tc>
        <w:tc>
          <w:tcPr>
            <w:tcW w:type="dxa" w:w="2436"/>
            <w:vAlign w:val="center"/>
          </w:tcPr>
          <w:p>
            <w:pPr>
              <w:spacing w:line="276" w:lineRule="auto" w:before="0" w:after="0"/>
            </w:pPr>
            <w:r/>
            <w:r>
              <w:rPr>
                <w:rFonts w:ascii="Figtree" w:hAnsi="Figtree"/>
                <w:b w:val="0"/>
                <w:i w:val="0"/>
                <w:sz w:val="20"/>
              </w:rPr>
              <w:t>$634,000</w:t>
            </w:r>
          </w:p>
        </w:tc>
        <w:tc>
          <w:tcPr>
            <w:tcW w:type="dxa" w:w="2436"/>
            <w:vAlign w:val="center"/>
          </w:tcPr>
          <w:p>
            <w:pPr>
              <w:spacing w:line="276" w:lineRule="auto" w:before="0" w:after="0"/>
            </w:pPr>
            <w:r/>
            <w:r>
              <w:rPr>
                <w:rFonts w:ascii="Figtree" w:hAnsi="Figtree"/>
                <w:b w:val="0"/>
                <w:i w:val="0"/>
                <w:sz w:val="20"/>
              </w:rPr>
              <w:t>$1,200,000-$1,800,000</w:t>
            </w:r>
          </w:p>
        </w:tc>
        <w:tc>
          <w:tcPr>
            <w:tcW w:type="dxa" w:w="2436"/>
            <w:vAlign w:val="center"/>
          </w:tcPr>
          <w:p>
            <w:pPr>
              <w:spacing w:line="276" w:lineRule="auto" w:before="0" w:after="0"/>
            </w:pPr>
            <w:r/>
            <w:r>
              <w:rPr>
                <w:rFonts w:ascii="Figtree" w:hAnsi="Figtree"/>
                <w:b w:val="0"/>
                <w:i w:val="0"/>
                <w:sz w:val="20"/>
              </w:rPr>
              <w:t>$1,200,000-$1,800,000</w:t>
            </w:r>
          </w:p>
        </w:tc>
      </w:tr>
      <w:tr>
        <w:trPr>
          <w:trHeight w:val="425" w:hRule="atLeast"/>
        </w:trPr>
        <w:tc>
          <w:tcPr>
            <w:tcW w:type="dxa" w:w="2436"/>
            <w:vAlign w:val="center"/>
          </w:tcPr>
          <w:p>
            <w:pPr>
              <w:spacing w:line="276" w:lineRule="auto" w:before="0" w:after="0"/>
            </w:pPr>
            <w:r/>
            <w:r>
              <w:rPr>
                <w:rFonts w:ascii="Figtree" w:hAnsi="Figtree"/>
                <w:b/>
                <w:i w:val="0"/>
                <w:sz w:val="20"/>
              </w:rPr>
              <w:t>3-Year Total</w:t>
            </w:r>
          </w:p>
        </w:tc>
        <w:tc>
          <w:tcPr>
            <w:tcW w:type="dxa" w:w="2436"/>
            <w:vAlign w:val="center"/>
          </w:tcPr>
          <w:p>
            <w:pPr>
              <w:spacing w:line="276" w:lineRule="auto" w:before="0" w:after="0"/>
            </w:pPr>
            <w:r/>
            <w:r>
              <w:rPr>
                <w:rFonts w:ascii="Figtree" w:hAnsi="Figtree"/>
                <w:b/>
                <w:i w:val="0"/>
                <w:sz w:val="20"/>
              </w:rPr>
              <w:t>$2,082,000</w:t>
            </w:r>
          </w:p>
        </w:tc>
        <w:tc>
          <w:tcPr>
            <w:tcW w:type="dxa" w:w="2436"/>
            <w:vAlign w:val="center"/>
          </w:tcPr>
          <w:p>
            <w:pPr>
              <w:spacing w:line="276" w:lineRule="auto" w:before="0" w:after="0"/>
            </w:pPr>
            <w:r/>
            <w:r>
              <w:rPr>
                <w:rFonts w:ascii="Figtree" w:hAnsi="Figtree"/>
                <w:b/>
                <w:i w:val="0"/>
                <w:sz w:val="20"/>
              </w:rPr>
              <w:t>$5,200,000-$7,800,000</w:t>
            </w:r>
          </w:p>
        </w:tc>
        <w:tc>
          <w:tcPr>
            <w:tcW w:type="dxa" w:w="2436"/>
            <w:vAlign w:val="center"/>
          </w:tcPr>
          <w:p>
            <w:pPr>
              <w:spacing w:line="276" w:lineRule="auto" w:before="0" w:after="0"/>
            </w:pPr>
            <w:r/>
            <w:r>
              <w:rPr>
                <w:rFonts w:ascii="Figtree" w:hAnsi="Figtree"/>
                <w:b/>
                <w:i w:val="0"/>
                <w:sz w:val="20"/>
              </w:rPr>
              <w:t>$4,200,000-$6,400,000</w:t>
            </w:r>
          </w:p>
        </w:tc>
      </w:tr>
      <w:tr>
        <w:trPr>
          <w:trHeight w:val="425" w:hRule="atLeast"/>
        </w:trPr>
        <w:tc>
          <w:tcPr>
            <w:tcW w:type="dxa" w:w="2436"/>
            <w:vAlign w:val="center"/>
          </w:tcPr>
          <w:p>
            <w:pPr>
              <w:spacing w:line="276" w:lineRule="auto" w:before="0" w:after="0"/>
            </w:pPr>
            <w:r/>
            <w:r>
              <w:rPr>
                <w:rFonts w:ascii="Figtree" w:hAnsi="Figtree"/>
                <w:b w:val="0"/>
                <w:i w:val="0"/>
                <w:sz w:val="20"/>
              </w:rPr>
              <w:t>Time to 6 corridors</w:t>
            </w:r>
          </w:p>
        </w:tc>
        <w:tc>
          <w:tcPr>
            <w:tcW w:type="dxa" w:w="2436"/>
            <w:vAlign w:val="center"/>
          </w:tcPr>
          <w:p>
            <w:pPr>
              <w:spacing w:line="276" w:lineRule="auto" w:before="0" w:after="0"/>
            </w:pPr>
            <w:r/>
            <w:r>
              <w:rPr>
                <w:rFonts w:ascii="Figtree" w:hAnsi="Figtree"/>
                <w:b w:val="0"/>
                <w:i w:val="0"/>
                <w:sz w:val="20"/>
              </w:rPr>
              <w:t>16 weeks</w:t>
            </w:r>
          </w:p>
        </w:tc>
        <w:tc>
          <w:tcPr>
            <w:tcW w:type="dxa" w:w="2436"/>
            <w:vAlign w:val="center"/>
          </w:tcPr>
          <w:p>
            <w:pPr>
              <w:spacing w:line="276" w:lineRule="auto" w:before="0" w:after="0"/>
            </w:pPr>
            <w:r/>
            <w:r>
              <w:rPr>
                <w:rFonts w:ascii="Figtree" w:hAnsi="Figtree"/>
                <w:b w:val="0"/>
                <w:i w:val="0"/>
                <w:sz w:val="20"/>
              </w:rPr>
              <w:t>18-24 months</w:t>
            </w:r>
          </w:p>
        </w:tc>
        <w:tc>
          <w:tcPr>
            <w:tcW w:type="dxa" w:w="2436"/>
            <w:vAlign w:val="center"/>
          </w:tcPr>
          <w:p>
            <w:pPr>
              <w:spacing w:line="276" w:lineRule="auto" w:before="0" w:after="0"/>
            </w:pPr>
            <w:r/>
            <w:r>
              <w:rPr>
                <w:rFonts w:ascii="Figtree" w:hAnsi="Figtree"/>
                <w:b w:val="0"/>
                <w:i w:val="0"/>
                <w:sz w:val="20"/>
              </w:rPr>
              <w:t>12-18 months</w:t>
            </w:r>
          </w:p>
        </w:tc>
      </w:tr>
      <w:tr>
        <w:trPr>
          <w:trHeight w:val="425" w:hRule="atLeast"/>
        </w:trPr>
        <w:tc>
          <w:tcPr>
            <w:tcW w:type="dxa" w:w="2436"/>
            <w:vAlign w:val="center"/>
          </w:tcPr>
          <w:p>
            <w:pPr>
              <w:spacing w:line="276" w:lineRule="auto" w:before="0" w:after="0"/>
            </w:pPr>
            <w:r/>
            <w:r>
              <w:rPr>
                <w:rFonts w:ascii="Figtree" w:hAnsi="Figtree"/>
                <w:b w:val="0"/>
                <w:i w:val="0"/>
                <w:sz w:val="20"/>
              </w:rPr>
              <w:t>New corridor add</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3-6 months (dev)</w:t>
            </w:r>
          </w:p>
        </w:tc>
        <w:tc>
          <w:tcPr>
            <w:tcW w:type="dxa" w:w="2436"/>
            <w:vAlign w:val="center"/>
          </w:tcPr>
          <w:p>
            <w:pPr>
              <w:spacing w:line="276" w:lineRule="auto" w:before="0" w:after="0"/>
            </w:pPr>
            <w:r/>
            <w:r>
              <w:rPr>
                <w:rFonts w:ascii="Figtree" w:hAnsi="Figtree"/>
                <w:b w:val="0"/>
                <w:i w:val="0"/>
                <w:sz w:val="20"/>
              </w:rPr>
              <w:t>2-4 months</w:t>
            </w:r>
          </w:p>
        </w:tc>
      </w:tr>
      <w:tr>
        <w:trPr>
          <w:trHeight w:val="425" w:hRule="atLeast"/>
        </w:trPr>
        <w:tc>
          <w:tcPr>
            <w:tcW w:type="dxa" w:w="2436"/>
            <w:vAlign w:val="center"/>
          </w:tcPr>
          <w:p>
            <w:pPr>
              <w:spacing w:line="276" w:lineRule="auto" w:before="0" w:after="0"/>
            </w:pPr>
            <w:r/>
            <w:r>
              <w:rPr>
                <w:rFonts w:ascii="Figtree" w:hAnsi="Figtree"/>
                <w:b w:val="0"/>
                <w:i w:val="0"/>
                <w:sz w:val="20"/>
              </w:rPr>
              <w:t>PAPSS readiness</w:t>
            </w:r>
          </w:p>
        </w:tc>
        <w:tc>
          <w:tcPr>
            <w:tcW w:type="dxa" w:w="2436"/>
            <w:vAlign w:val="center"/>
          </w:tcPr>
          <w:p>
            <w:pPr>
              <w:spacing w:line="276" w:lineRule="auto" w:before="0" w:after="0"/>
            </w:pPr>
            <w:r/>
            <w:r>
              <w:rPr>
                <w:rFonts w:ascii="Figtree" w:hAnsi="Figtree"/>
                <w:b w:val="0"/>
                <w:i w:val="0"/>
                <w:sz w:val="20"/>
              </w:rPr>
              <w:t>Phase 2 extension</w:t>
            </w:r>
          </w:p>
        </w:tc>
        <w:tc>
          <w:tcPr>
            <w:tcW w:type="dxa" w:w="2436"/>
            <w:vAlign w:val="center"/>
          </w:tcPr>
          <w:p>
            <w:pPr>
              <w:spacing w:line="276" w:lineRule="auto" w:before="0" w:after="0"/>
            </w:pPr>
            <w:r/>
            <w:r>
              <w:rPr>
                <w:rFonts w:ascii="Figtree" w:hAnsi="Figtree"/>
                <w:b w:val="0"/>
                <w:i w:val="0"/>
                <w:sz w:val="20"/>
              </w:rPr>
              <w:t>Requires development</w:t>
            </w:r>
          </w:p>
        </w:tc>
        <w:tc>
          <w:tcPr>
            <w:tcW w:type="dxa" w:w="2436"/>
            <w:vAlign w:val="center"/>
          </w:tcPr>
          <w:p>
            <w:pPr>
              <w:spacing w:line="276" w:lineRule="auto" w:before="0" w:after="0"/>
            </w:pPr>
            <w:r/>
            <w:r>
              <w:rPr>
                <w:rFonts w:ascii="Figtree" w:hAnsi="Figtree"/>
                <w:b w:val="0"/>
                <w:i w:val="0"/>
                <w:sz w:val="20"/>
              </w:rPr>
              <w:t>Uncertain</w:t>
            </w:r>
          </w:p>
        </w:tc>
      </w:tr>
      <w:tr>
        <w:trPr>
          <w:trHeight w:val="425" w:hRule="atLeast"/>
        </w:trPr>
        <w:tc>
          <w:tcPr>
            <w:tcW w:type="dxa" w:w="2436"/>
            <w:vAlign w:val="center"/>
          </w:tcPr>
          <w:p>
            <w:pPr>
              <w:spacing w:line="276" w:lineRule="auto" w:before="0" w:after="0"/>
            </w:pPr>
            <w:r/>
            <w:r>
              <w:rPr>
                <w:rFonts w:ascii="Figtree" w:hAnsi="Figtree"/>
                <w:b w:val="0"/>
                <w:i w:val="0"/>
                <w:sz w:val="20"/>
              </w:rPr>
              <w:t>Per-corridor compliance</w:t>
            </w:r>
          </w:p>
        </w:tc>
        <w:tc>
          <w:tcPr>
            <w:tcW w:type="dxa" w:w="2436"/>
            <w:vAlign w:val="center"/>
          </w:tcPr>
          <w:p>
            <w:pPr>
              <w:spacing w:line="276" w:lineRule="auto" w:before="0" w:after="0"/>
            </w:pPr>
            <w:r/>
            <w:r>
              <w:rPr>
                <w:rFonts w:ascii="Figtree" w:hAnsi="Figtree"/>
                <w:b w:val="0"/>
                <w:i w:val="0"/>
                <w:sz w:val="20"/>
              </w:rPr>
              <w:t>Configuration</w:t>
            </w:r>
          </w:p>
        </w:tc>
        <w:tc>
          <w:tcPr>
            <w:tcW w:type="dxa" w:w="2436"/>
            <w:vAlign w:val="center"/>
          </w:tcPr>
          <w:p>
            <w:pPr>
              <w:spacing w:line="276" w:lineRule="auto" w:before="0" w:after="0"/>
            </w:pPr>
            <w:r/>
            <w:r>
              <w:rPr>
                <w:rFonts w:ascii="Figtree" w:hAnsi="Figtree"/>
                <w:b w:val="0"/>
                <w:i w:val="0"/>
                <w:sz w:val="20"/>
              </w:rPr>
              <w:t>Code + legal</w:t>
            </w:r>
          </w:p>
        </w:tc>
        <w:tc>
          <w:tcPr>
            <w:tcW w:type="dxa" w:w="2436"/>
            <w:vAlign w:val="center"/>
          </w:tcPr>
          <w:p>
            <w:pPr>
              <w:spacing w:line="276" w:lineRule="auto" w:before="0" w:after="0"/>
            </w:pPr>
            <w:r/>
            <w:r>
              <w:rPr>
                <w:rFonts w:ascii="Figtree" w:hAnsi="Figtree"/>
                <w:b w:val="0"/>
                <w:i w:val="0"/>
                <w:sz w:val="20"/>
              </w:rPr>
              <w:t>Multiple vendor patches</w:t>
            </w:r>
          </w:p>
        </w:tc>
      </w:tr>
    </w:tbl>
    <w:p>
      <w:pPr>
        <w:spacing w:before="0" w:after="0" w:line="120" w:lineRule="exact"/>
      </w:pPr>
    </w:p>
    <w:p>
      <w:pPr>
        <w:pStyle w:val="H2"/>
        <w:numPr>
          <w:ilvl w:val="1"/>
          <w:numId w:val="1"/>
        </w:numPr>
      </w:pPr>
      <w:r>
        <w:t>8.2 Five-Year Projection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87"/>
        <w:gridCol w:w="3342"/>
        <w:gridCol w:w="334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r>
      <w:tr>
        <w:trPr>
          <w:trHeight w:val="425" w:hRule="atLeast"/>
        </w:trPr>
        <w:tc>
          <w:tcPr>
            <w:tcW w:type="dxa" w:w="3249"/>
            <w:vAlign w:val="center"/>
          </w:tcPr>
          <w:p>
            <w:pPr>
              <w:spacing w:line="276" w:lineRule="auto" w:before="0" w:after="0"/>
            </w:pPr>
            <w:r/>
            <w:r>
              <w:rPr>
                <w:rFonts w:ascii="Figtree" w:hAnsi="Figtree"/>
                <w:b w:val="0"/>
                <w:i w:val="0"/>
                <w:sz w:val="20"/>
              </w:rPr>
              <w:t>1</w:t>
            </w:r>
          </w:p>
        </w:tc>
        <w:tc>
          <w:tcPr>
            <w:tcW w:type="dxa" w:w="3249"/>
            <w:vAlign w:val="center"/>
          </w:tcPr>
          <w:p>
            <w:pPr>
              <w:spacing w:line="276" w:lineRule="auto" w:before="0" w:after="0"/>
            </w:pPr>
            <w:r/>
            <w:r>
              <w:rPr>
                <w:rFonts w:ascii="Figtree" w:hAnsi="Figtree"/>
                <w:b w:val="0"/>
                <w:i w:val="0"/>
                <w:sz w:val="20"/>
              </w:rPr>
              <w:t>$824,000</w:t>
            </w:r>
          </w:p>
        </w:tc>
        <w:tc>
          <w:tcPr>
            <w:tcW w:type="dxa" w:w="3249"/>
            <w:vAlign w:val="center"/>
          </w:tcPr>
          <w:p>
            <w:pPr>
              <w:spacing w:line="276" w:lineRule="auto" w:before="0" w:after="0"/>
            </w:pPr>
            <w:r/>
            <w:r>
              <w:rPr>
                <w:rFonts w:ascii="Figtree" w:hAnsi="Figtree"/>
                <w:b w:val="0"/>
                <w:i w:val="0"/>
                <w:sz w:val="20"/>
              </w:rPr>
              <w:t>$3,500,000</w:t>
            </w:r>
          </w:p>
        </w:tc>
      </w:tr>
      <w:tr>
        <w:trPr>
          <w:trHeight w:val="425" w:hRule="atLeast"/>
        </w:trPr>
        <w:tc>
          <w:tcPr>
            <w:tcW w:type="dxa" w:w="3249"/>
            <w:vAlign w:val="center"/>
          </w:tcPr>
          <w:p>
            <w:pPr>
              <w:spacing w:line="276" w:lineRule="auto" w:before="0" w:after="0"/>
            </w:pPr>
            <w:r/>
            <w:r>
              <w:rPr>
                <w:rFonts w:ascii="Figtree" w:hAnsi="Figtree"/>
                <w:b w:val="0"/>
                <w:i w:val="0"/>
                <w:sz w:val="20"/>
              </w:rPr>
              <w:t>2</w:t>
            </w:r>
          </w:p>
        </w:tc>
        <w:tc>
          <w:tcPr>
            <w:tcW w:type="dxa" w:w="3249"/>
            <w:vAlign w:val="center"/>
          </w:tcPr>
          <w:p>
            <w:pPr>
              <w:spacing w:line="276" w:lineRule="auto" w:before="0" w:after="0"/>
            </w:pPr>
            <w:r/>
            <w:r>
              <w:rPr>
                <w:rFonts w:ascii="Figtree" w:hAnsi="Figtree"/>
                <w:b w:val="0"/>
                <w:i w:val="0"/>
                <w:sz w:val="20"/>
              </w:rPr>
              <w:t>$624,000</w:t>
            </w:r>
          </w:p>
        </w:tc>
        <w:tc>
          <w:tcPr>
            <w:tcW w:type="dxa" w:w="3249"/>
            <w:vAlign w:val="center"/>
          </w:tcPr>
          <w:p>
            <w:pPr>
              <w:spacing w:line="276" w:lineRule="auto" w:before="0" w:after="0"/>
            </w:pPr>
            <w:r/>
            <w:r>
              <w:rPr>
                <w:rFonts w:ascii="Figtree" w:hAnsi="Figtree"/>
                <w:b w:val="0"/>
                <w:i w:val="0"/>
                <w:sz w:val="20"/>
              </w:rPr>
              <w:t>$1,400,000</w:t>
            </w:r>
          </w:p>
        </w:tc>
      </w:tr>
      <w:tr>
        <w:trPr>
          <w:trHeight w:val="425" w:hRule="atLeast"/>
        </w:trPr>
        <w:tc>
          <w:tcPr>
            <w:tcW w:type="dxa" w:w="3249"/>
            <w:vAlign w:val="center"/>
          </w:tcPr>
          <w:p>
            <w:pPr>
              <w:spacing w:line="276" w:lineRule="auto" w:before="0" w:after="0"/>
            </w:pPr>
            <w:r/>
            <w:r>
              <w:rPr>
                <w:rFonts w:ascii="Figtree" w:hAnsi="Figtree"/>
                <w:b w:val="0"/>
                <w:i w:val="0"/>
                <w:sz w:val="20"/>
              </w:rPr>
              <w:t>3</w:t>
            </w:r>
          </w:p>
        </w:tc>
        <w:tc>
          <w:tcPr>
            <w:tcW w:type="dxa" w:w="3249"/>
            <w:vAlign w:val="center"/>
          </w:tcPr>
          <w:p>
            <w:pPr>
              <w:spacing w:line="276" w:lineRule="auto" w:before="0" w:after="0"/>
            </w:pPr>
            <w:r/>
            <w:r>
              <w:rPr>
                <w:rFonts w:ascii="Figtree" w:hAnsi="Figtree"/>
                <w:b w:val="0"/>
                <w:i w:val="0"/>
                <w:sz w:val="20"/>
              </w:rPr>
              <w:t>$634,000</w:t>
            </w:r>
          </w:p>
        </w:tc>
        <w:tc>
          <w:tcPr>
            <w:tcW w:type="dxa" w:w="3249"/>
            <w:vAlign w:val="center"/>
          </w:tcPr>
          <w:p>
            <w:pPr>
              <w:spacing w:line="276" w:lineRule="auto" w:before="0" w:after="0"/>
            </w:pPr>
            <w:r/>
            <w:r>
              <w:rPr>
                <w:rFonts w:ascii="Figtree" w:hAnsi="Figtree"/>
                <w:b w:val="0"/>
                <w:i w:val="0"/>
                <w:sz w:val="20"/>
              </w:rPr>
              <w:t>$1,500,000</w:t>
            </w:r>
          </w:p>
        </w:tc>
      </w:tr>
      <w:tr>
        <w:trPr>
          <w:trHeight w:val="425" w:hRule="atLeast"/>
        </w:trPr>
        <w:tc>
          <w:tcPr>
            <w:tcW w:type="dxa" w:w="3249"/>
            <w:vAlign w:val="center"/>
          </w:tcPr>
          <w:p>
            <w:pPr>
              <w:spacing w:line="276" w:lineRule="auto" w:before="0" w:after="0"/>
            </w:pPr>
            <w:r/>
            <w:r>
              <w:rPr>
                <w:rFonts w:ascii="Figtree" w:hAnsi="Figtree"/>
                <w:b w:val="0"/>
                <w:i w:val="0"/>
                <w:sz w:val="20"/>
              </w:rPr>
              <w:t>4</w:t>
            </w:r>
          </w:p>
        </w:tc>
        <w:tc>
          <w:tcPr>
            <w:tcW w:type="dxa" w:w="3249"/>
            <w:vAlign w:val="center"/>
          </w:tcPr>
          <w:p>
            <w:pPr>
              <w:spacing w:line="276" w:lineRule="auto" w:before="0" w:after="0"/>
            </w:pPr>
            <w:r/>
            <w:r>
              <w:rPr>
                <w:rFonts w:ascii="Figtree" w:hAnsi="Figtree"/>
                <w:b w:val="0"/>
                <w:i w:val="0"/>
                <w:sz w:val="20"/>
              </w:rPr>
              <w:t>$634,000</w:t>
            </w:r>
          </w:p>
        </w:tc>
        <w:tc>
          <w:tcPr>
            <w:tcW w:type="dxa" w:w="3249"/>
            <w:vAlign w:val="center"/>
          </w:tcPr>
          <w:p>
            <w:pPr>
              <w:spacing w:line="276" w:lineRule="auto" w:before="0" w:after="0"/>
            </w:pPr>
            <w:r/>
            <w:r>
              <w:rPr>
                <w:rFonts w:ascii="Figtree" w:hAnsi="Figtree"/>
                <w:b w:val="0"/>
                <w:i w:val="0"/>
                <w:sz w:val="20"/>
              </w:rPr>
              <w:t>$1,600,000</w:t>
            </w:r>
          </w:p>
        </w:tc>
      </w:tr>
      <w:tr>
        <w:trPr>
          <w:trHeight w:val="425" w:hRule="atLeast"/>
        </w:trPr>
        <w:tc>
          <w:tcPr>
            <w:tcW w:type="dxa" w:w="3249"/>
            <w:vAlign w:val="center"/>
          </w:tcPr>
          <w:p>
            <w:pPr>
              <w:spacing w:line="276" w:lineRule="auto" w:before="0" w:after="0"/>
            </w:pPr>
            <w:r/>
            <w:r>
              <w:rPr>
                <w:rFonts w:ascii="Figtree" w:hAnsi="Figtree"/>
                <w:b w:val="0"/>
                <w:i w:val="0"/>
                <w:sz w:val="20"/>
              </w:rPr>
              <w:t>5</w:t>
            </w:r>
          </w:p>
        </w:tc>
        <w:tc>
          <w:tcPr>
            <w:tcW w:type="dxa" w:w="3249"/>
            <w:vAlign w:val="center"/>
          </w:tcPr>
          <w:p>
            <w:pPr>
              <w:spacing w:line="276" w:lineRule="auto" w:before="0" w:after="0"/>
            </w:pPr>
            <w:r/>
            <w:r>
              <w:rPr>
                <w:rFonts w:ascii="Figtree" w:hAnsi="Figtree"/>
                <w:b w:val="0"/>
                <w:i w:val="0"/>
                <w:sz w:val="20"/>
              </w:rPr>
              <w:t>$634,000</w:t>
            </w:r>
          </w:p>
        </w:tc>
        <w:tc>
          <w:tcPr>
            <w:tcW w:type="dxa" w:w="3249"/>
            <w:vAlign w:val="center"/>
          </w:tcPr>
          <w:p>
            <w:pPr>
              <w:spacing w:line="276" w:lineRule="auto" w:before="0" w:after="0"/>
            </w:pPr>
            <w:r/>
            <w:r>
              <w:rPr>
                <w:rFonts w:ascii="Figtree" w:hAnsi="Figtree"/>
                <w:b w:val="0"/>
                <w:i w:val="0"/>
                <w:sz w:val="20"/>
              </w:rPr>
              <w:t>$1,700,000</w:t>
            </w:r>
          </w:p>
        </w:tc>
      </w:tr>
      <w:tr>
        <w:trPr>
          <w:trHeight w:val="425" w:hRule="atLeast"/>
        </w:trPr>
        <w:tc>
          <w:tcPr>
            <w:tcW w:type="dxa" w:w="3249"/>
            <w:vAlign w:val="center"/>
          </w:tcPr>
          <w:p>
            <w:pPr>
              <w:spacing w:line="276" w:lineRule="auto" w:before="0" w:after="0"/>
            </w:pPr>
            <w:r/>
            <w:r>
              <w:rPr>
                <w:rFonts w:ascii="Figtree" w:hAnsi="Figtree"/>
                <w:b/>
                <w:i w:val="0"/>
                <w:sz w:val="20"/>
              </w:rPr>
              <w:t>5-Year</w:t>
            </w:r>
          </w:p>
        </w:tc>
        <w:tc>
          <w:tcPr>
            <w:tcW w:type="dxa" w:w="3249"/>
            <w:vAlign w:val="center"/>
          </w:tcPr>
          <w:p>
            <w:pPr>
              <w:spacing w:line="276" w:lineRule="auto" w:before="0" w:after="0"/>
            </w:pPr>
            <w:r/>
            <w:r>
              <w:rPr>
                <w:rFonts w:ascii="Figtree" w:hAnsi="Figtree"/>
                <w:b/>
                <w:i w:val="0"/>
                <w:sz w:val="20"/>
              </w:rPr>
              <w:t>$3,350,000</w:t>
            </w:r>
          </w:p>
        </w:tc>
        <w:tc>
          <w:tcPr>
            <w:tcW w:type="dxa" w:w="3249"/>
            <w:vAlign w:val="center"/>
          </w:tcPr>
          <w:p>
            <w:pPr>
              <w:spacing w:line="276" w:lineRule="auto" w:before="0" w:after="0"/>
            </w:pPr>
            <w:r/>
            <w:r>
              <w:rPr>
                <w:rFonts w:ascii="Figtree" w:hAnsi="Figtree"/>
                <w:b/>
                <w:i w:val="0"/>
                <w:sz w:val="20"/>
              </w:rPr>
              <w:t>$9,700,000</w:t>
            </w:r>
          </w:p>
        </w:tc>
      </w:tr>
    </w:tbl>
    <w:p>
      <w:pPr>
        <w:spacing w:before="0" w:after="0" w:line="120" w:lineRule="exact"/>
      </w:pPr>
    </w:p>
    <w:p>
      <w:r>
        <w:rPr>
          <w:rFonts w:ascii="Figtree" w:hAnsi="Figtree"/>
          <w:b w:val="0"/>
          <w:i w:val="0"/>
          <w:sz w:val="22"/>
        </w:rPr>
        <w:t>5-year DALP advantage: $6,350,000 vs internal build; $5,200,000+ vs multi-vendor. The managed SaaS infrastructure inclusion is a major contributor — no separate cloud cost across 5 years.</w:t>
      </w:r>
    </w:p>
    <w:p>
      <w:r>
        <w:br w:type="page"/>
      </w:r>
    </w:p>
    <w:p>
      <w:pPr>
        <w:pStyle w:val="H1"/>
        <w:numPr>
          <w:ilvl w:val="0"/>
          <w:numId w:val="1"/>
        </w:numPr>
      </w:pPr>
      <w:r>
        <w:t>9.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5"/>
        <w:gridCol w:w="2349"/>
        <w:gridCol w:w="469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Chipper Cash</w:t>
            </w:r>
          </w:p>
        </w:tc>
      </w:tr>
      <w:tr>
        <w:trPr>
          <w:trHeight w:val="425" w:hRule="atLeast"/>
        </w:trPr>
        <w:tc>
          <w:tcPr>
            <w:tcW w:type="dxa" w:w="3249"/>
            <w:vAlign w:val="center"/>
          </w:tcPr>
          <w:p>
            <w:pPr>
              <w:spacing w:line="276" w:lineRule="auto" w:before="0" w:after="0"/>
            </w:pPr>
            <w:r/>
            <w:r>
              <w:rPr>
                <w:rFonts w:ascii="Figtree" w:hAnsi="Figtree"/>
                <w:b w:val="0"/>
                <w:i w:val="0"/>
                <w:sz w:val="20"/>
              </w:rPr>
              <w:t>Standard Bank Africa</w:t>
            </w:r>
          </w:p>
        </w:tc>
        <w:tc>
          <w:tcPr>
            <w:tcW w:type="dxa" w:w="3249"/>
            <w:vAlign w:val="center"/>
          </w:tcPr>
          <w:p>
            <w:pPr>
              <w:spacing w:line="276" w:lineRule="auto" w:before="0" w:after="0"/>
            </w:pPr>
            <w:r/>
            <w:r>
              <w:rPr>
                <w:rFonts w:ascii="Figtree" w:hAnsi="Figtree"/>
                <w:b w:val="0"/>
                <w:i w:val="0"/>
                <w:sz w:val="20"/>
              </w:rPr>
              <w:t>Pan-African digital payments</w:t>
            </w:r>
          </w:p>
        </w:tc>
        <w:tc>
          <w:tcPr>
            <w:tcW w:type="dxa" w:w="3249"/>
            <w:vAlign w:val="center"/>
          </w:tcPr>
          <w:p>
            <w:pPr>
              <w:spacing w:line="276" w:lineRule="auto" w:before="0" w:after="0"/>
            </w:pPr>
            <w:r/>
            <w:r>
              <w:rPr>
                <w:rFonts w:ascii="Figtree" w:hAnsi="Figtree"/>
                <w:b w:val="0"/>
                <w:i w:val="0"/>
                <w:sz w:val="20"/>
              </w:rPr>
              <w:t>Multi-corridor African market, local regulatory experience</w:t>
            </w:r>
          </w:p>
        </w:tc>
      </w:tr>
      <w:tr>
        <w:trPr>
          <w:trHeight w:val="425" w:hRule="atLeast"/>
        </w:trPr>
        <w:tc>
          <w:tcPr>
            <w:tcW w:type="dxa" w:w="3249"/>
            <w:vAlign w:val="center"/>
          </w:tcPr>
          <w:p>
            <w:pPr>
              <w:spacing w:line="276" w:lineRule="auto" w:before="0" w:after="0"/>
            </w:pPr>
            <w:r/>
            <w:r>
              <w:rPr>
                <w:rFonts w:ascii="Figtree" w:hAnsi="Figtree"/>
                <w:b w:val="0"/>
                <w:i w:val="0"/>
                <w:sz w:val="20"/>
              </w:rPr>
              <w:t>Standard Chartered Africa</w:t>
            </w:r>
          </w:p>
        </w:tc>
        <w:tc>
          <w:tcPr>
            <w:tcW w:type="dxa" w:w="3249"/>
            <w:vAlign w:val="center"/>
          </w:tcPr>
          <w:p>
            <w:pPr>
              <w:spacing w:line="276" w:lineRule="auto" w:before="0" w:after="0"/>
            </w:pPr>
            <w:r/>
            <w:r>
              <w:rPr>
                <w:rFonts w:ascii="Figtree" w:hAnsi="Figtree"/>
                <w:b w:val="0"/>
                <w:i w:val="0"/>
                <w:sz w:val="20"/>
              </w:rPr>
              <w:t>Cross-border digital assets</w:t>
            </w:r>
          </w:p>
        </w:tc>
        <w:tc>
          <w:tcPr>
            <w:tcW w:type="dxa" w:w="3249"/>
            <w:vAlign w:val="center"/>
          </w:tcPr>
          <w:p>
            <w:pPr>
              <w:spacing w:line="276" w:lineRule="auto" w:before="0" w:after="0"/>
            </w:pPr>
            <w:r/>
            <w:r>
              <w:rPr>
                <w:rFonts w:ascii="Figtree" w:hAnsi="Figtree"/>
                <w:b w:val="0"/>
                <w:i w:val="0"/>
                <w:sz w:val="20"/>
              </w:rPr>
              <w:t>Multi-jurisdiction AML/CFT, African corridor management</w:t>
            </w:r>
          </w:p>
        </w:tc>
      </w:tr>
      <w:tr>
        <w:trPr>
          <w:trHeight w:val="425" w:hRule="atLeast"/>
        </w:trPr>
        <w:tc>
          <w:tcPr>
            <w:tcW w:type="dxa" w:w="3249"/>
            <w:vAlign w:val="center"/>
          </w:tcPr>
          <w:p>
            <w:pPr>
              <w:spacing w:line="276" w:lineRule="auto" w:before="0" w:after="0"/>
            </w:pPr>
            <w:r/>
            <w:r>
              <w:rPr>
                <w:rFonts w:ascii="Figtree" w:hAnsi="Figtree"/>
                <w:b w:val="0"/>
                <w:i w:val="0"/>
                <w:sz w:val="20"/>
              </w:rPr>
              <w:t>Walmart/GoHenry context</w:t>
            </w:r>
          </w:p>
        </w:tc>
        <w:tc>
          <w:tcPr>
            <w:tcW w:type="dxa" w:w="3249"/>
            <w:vAlign w:val="center"/>
          </w:tcPr>
          <w:p>
            <w:pPr>
              <w:spacing w:line="276" w:lineRule="auto" w:before="0" w:after="0"/>
            </w:pPr>
            <w:r/>
            <w:r>
              <w:rPr>
                <w:rFonts w:ascii="Figtree" w:hAnsi="Figtree"/>
                <w:b w:val="0"/>
                <w:i w:val="0"/>
                <w:sz w:val="20"/>
              </w:rPr>
              <w:t>Consumer fintech + compliance</w:t>
            </w:r>
          </w:p>
        </w:tc>
        <w:tc>
          <w:tcPr>
            <w:tcW w:type="dxa" w:w="3249"/>
            <w:vAlign w:val="center"/>
          </w:tcPr>
          <w:p>
            <w:pPr>
              <w:spacing w:line="276" w:lineRule="auto" w:before="0" w:after="0"/>
            </w:pPr>
            <w:r/>
            <w:r>
              <w:rPr>
                <w:rFonts w:ascii="Figtree" w:hAnsi="Figtree"/>
                <w:b w:val="0"/>
                <w:i w:val="0"/>
                <w:sz w:val="20"/>
              </w:rPr>
              <w:t>High-volume consumer financial platform</w:t>
            </w:r>
          </w:p>
        </w:tc>
      </w:tr>
      <w:tr>
        <w:trPr>
          <w:trHeight w:val="425" w:hRule="atLeast"/>
        </w:trPr>
        <w:tc>
          <w:tcPr>
            <w:tcW w:type="dxa" w:w="3249"/>
            <w:vAlign w:val="center"/>
          </w:tcPr>
          <w:p>
            <w:pPr>
              <w:spacing w:line="276" w:lineRule="auto" w:before="0" w:after="0"/>
            </w:pPr>
            <w:r/>
            <w:r>
              <w:rPr>
                <w:rFonts w:ascii="Figtree" w:hAnsi="Figtree"/>
                <w:b w:val="0"/>
                <w:i w:val="0"/>
                <w:sz w:val="20"/>
              </w:rPr>
              <w:t>Central Bank of UAE</w:t>
            </w:r>
          </w:p>
        </w:tc>
        <w:tc>
          <w:tcPr>
            <w:tcW w:type="dxa" w:w="3249"/>
            <w:vAlign w:val="center"/>
          </w:tcPr>
          <w:p>
            <w:pPr>
              <w:spacing w:line="276" w:lineRule="auto" w:before="0" w:after="0"/>
            </w:pPr>
            <w:r/>
            <w:r>
              <w:rPr>
                <w:rFonts w:ascii="Figtree" w:hAnsi="Figtree"/>
                <w:b w:val="0"/>
                <w:i w:val="0"/>
                <w:sz w:val="20"/>
              </w:rPr>
              <w:t>CBDC settlement</w:t>
            </w:r>
          </w:p>
        </w:tc>
        <w:tc>
          <w:tcPr>
            <w:tcW w:type="dxa" w:w="3249"/>
            <w:vAlign w:val="center"/>
          </w:tcPr>
          <w:p>
            <w:pPr>
              <w:spacing w:line="276" w:lineRule="auto" w:before="0" w:after="0"/>
            </w:pPr>
            <w:r/>
            <w:r>
              <w:rPr>
                <w:rFonts w:ascii="Figtree" w:hAnsi="Figtree"/>
                <w:b w:val="0"/>
                <w:i w:val="0"/>
                <w:sz w:val="20"/>
              </w:rPr>
              <w:t>Settlement determinism; compliance enforcement model</w:t>
            </w:r>
          </w:p>
        </w:tc>
      </w:tr>
      <w:tr>
        <w:trPr>
          <w:trHeight w:val="425" w:hRule="atLeast"/>
        </w:trPr>
        <w:tc>
          <w:tcPr>
            <w:tcW w:type="dxa" w:w="3249"/>
            <w:vAlign w:val="center"/>
          </w:tcPr>
          <w:p>
            <w:pPr>
              <w:spacing w:line="276" w:lineRule="auto" w:before="0" w:after="0"/>
            </w:pPr>
            <w:r/>
            <w:r>
              <w:rPr>
                <w:rFonts w:ascii="Figtree" w:hAnsi="Figtree"/>
                <w:b w:val="0"/>
                <w:i w:val="0"/>
                <w:sz w:val="20"/>
              </w:rPr>
              <w:t>NGEX Digital Post-Trade</w:t>
            </w:r>
          </w:p>
        </w:tc>
        <w:tc>
          <w:tcPr>
            <w:tcW w:type="dxa" w:w="3249"/>
            <w:vAlign w:val="center"/>
          </w:tcPr>
          <w:p>
            <w:pPr>
              <w:spacing w:line="276" w:lineRule="auto" w:before="0" w:after="0"/>
            </w:pPr>
            <w:r/>
            <w:r>
              <w:rPr>
                <w:rFonts w:ascii="Figtree" w:hAnsi="Figtree"/>
                <w:b w:val="0"/>
                <w:i w:val="0"/>
                <w:sz w:val="20"/>
              </w:rPr>
              <w:t>Settlement infrastructure</w:t>
            </w:r>
          </w:p>
        </w:tc>
        <w:tc>
          <w:tcPr>
            <w:tcW w:type="dxa" w:w="3249"/>
            <w:vAlign w:val="center"/>
          </w:tcPr>
          <w:p>
            <w:pPr>
              <w:spacing w:line="276" w:lineRule="auto" w:before="0" w:after="0"/>
            </w:pPr>
            <w:r/>
            <w:r>
              <w:rPr>
                <w:rFonts w:ascii="Figtree" w:hAnsi="Figtree"/>
                <w:b w:val="0"/>
                <w:i w:val="0"/>
                <w:sz w:val="20"/>
              </w:rPr>
              <w:t>DvP patterns applicable to corridor settlement</w:t>
            </w:r>
          </w:p>
        </w:tc>
      </w:tr>
    </w:tbl>
    <w:p>
      <w:pPr>
        <w:spacing w:before="0" w:after="0" w:line="120" w:lineRule="exact"/>
      </w:pPr>
    </w:p>
    <w:p>
      <w:r>
        <w:br w:type="page"/>
      </w:r>
    </w:p>
    <w:p>
      <w:pPr>
        <w:pStyle w:val="H1"/>
        <w:numPr>
          <w:ilvl w:val="0"/>
          <w:numId w:val="1"/>
        </w:numPr>
      </w:pPr>
      <w:r>
        <w:t>10. 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66"/>
        <w:gridCol w:w="3366"/>
        <w:gridCol w:w="233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25" w:hRule="atLeast"/>
        </w:trPr>
        <w:tc>
          <w:tcPr>
            <w:tcW w:type="dxa" w:w="3249"/>
            <w:vAlign w:val="center"/>
          </w:tcPr>
          <w:p>
            <w:pPr>
              <w:spacing w:line="276" w:lineRule="auto" w:before="0" w:after="0"/>
            </w:pPr>
            <w:r/>
            <w:r>
              <w:rPr>
                <w:rFonts w:ascii="Figtree" w:hAnsi="Figtree"/>
                <w:b w:val="0"/>
                <w:i w:val="0"/>
                <w:sz w:val="20"/>
              </w:rPr>
              <w:t>Commercial acknowledgment</w:t>
            </w:r>
          </w:p>
        </w:tc>
        <w:tc>
          <w:tcPr>
            <w:tcW w:type="dxa" w:w="3249"/>
            <w:vAlign w:val="center"/>
          </w:tcPr>
          <w:p>
            <w:pPr>
              <w:spacing w:line="276" w:lineRule="auto" w:before="0" w:after="0"/>
            </w:pPr>
            <w:r/>
            <w:r>
              <w:rPr>
                <w:rFonts w:ascii="Figtree" w:hAnsi="Figtree"/>
                <w:b w:val="0"/>
                <w:i w:val="0"/>
                <w:sz w:val="20"/>
              </w:rPr>
              <w:t>Chipper Cash Procurement</w:t>
            </w:r>
          </w:p>
        </w:tc>
        <w:tc>
          <w:tcPr>
            <w:tcW w:type="dxa" w:w="3249"/>
            <w:vAlign w:val="center"/>
          </w:tcPr>
          <w:p>
            <w:pPr>
              <w:spacing w:line="276" w:lineRule="auto" w:before="0" w:after="0"/>
            </w:pPr>
            <w:r/>
            <w:r>
              <w:rPr>
                <w:rFonts w:ascii="Figtree" w:hAnsi="Figtree"/>
                <w:b w:val="0"/>
                <w:i w:val="0"/>
                <w:sz w:val="20"/>
              </w:rPr>
              <w:t>Week 1</w:t>
            </w:r>
          </w:p>
        </w:tc>
      </w:tr>
      <w:tr>
        <w:trPr>
          <w:trHeight w:val="425" w:hRule="atLeast"/>
        </w:trPr>
        <w:tc>
          <w:tcPr>
            <w:tcW w:type="dxa" w:w="3249"/>
            <w:vAlign w:val="center"/>
          </w:tcPr>
          <w:p>
            <w:pPr>
              <w:spacing w:line="276" w:lineRule="auto" w:before="0" w:after="0"/>
            </w:pPr>
            <w:r/>
            <w:r>
              <w:rPr>
                <w:rFonts w:ascii="Figtree" w:hAnsi="Figtree"/>
                <w:b w:val="0"/>
                <w:i w:val="0"/>
                <w:sz w:val="20"/>
              </w:rPr>
              <w:t>Technical presentation</w:t>
            </w:r>
          </w:p>
        </w:tc>
        <w:tc>
          <w:tcPr>
            <w:tcW w:type="dxa" w:w="3249"/>
            <w:vAlign w:val="center"/>
          </w:tcPr>
          <w:p>
            <w:pPr>
              <w:spacing w:line="276" w:lineRule="auto" w:before="0" w:after="0"/>
            </w:pPr>
            <w:r/>
            <w:r>
              <w:rPr>
                <w:rFonts w:ascii="Figtree" w:hAnsi="Figtree"/>
                <w:b w:val="0"/>
                <w:i w:val="0"/>
                <w:sz w:val="20"/>
              </w:rPr>
              <w:t>SettleMint</w:t>
            </w:r>
          </w:p>
        </w:tc>
        <w:tc>
          <w:tcPr>
            <w:tcW w:type="dxa" w:w="3249"/>
            <w:vAlign w:val="center"/>
          </w:tcPr>
          <w:p>
            <w:pPr>
              <w:spacing w:line="276" w:lineRule="auto" w:before="0" w:after="0"/>
            </w:pPr>
            <w:r/>
            <w:r>
              <w:rPr>
                <w:rFonts w:ascii="Figtree" w:hAnsi="Figtree"/>
                <w:b w:val="0"/>
                <w:i w:val="0"/>
                <w:sz w:val="20"/>
              </w:rPr>
              <w:t>Week 2</w:t>
            </w:r>
          </w:p>
        </w:tc>
      </w:tr>
      <w:tr>
        <w:trPr>
          <w:trHeight w:val="425" w:hRule="atLeast"/>
        </w:trPr>
        <w:tc>
          <w:tcPr>
            <w:tcW w:type="dxa" w:w="3249"/>
            <w:vAlign w:val="center"/>
          </w:tcPr>
          <w:p>
            <w:pPr>
              <w:spacing w:line="276" w:lineRule="auto" w:before="0" w:after="0"/>
            </w:pPr>
            <w:r/>
            <w:r>
              <w:rPr>
                <w:rFonts w:ascii="Figtree" w:hAnsi="Figtree"/>
                <w:b w:val="0"/>
                <w:i w:val="0"/>
                <w:sz w:val="20"/>
              </w:rPr>
              <w:t>Corridor ROI workshop</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2-3</w:t>
            </w:r>
          </w:p>
        </w:tc>
      </w:tr>
      <w:tr>
        <w:trPr>
          <w:trHeight w:val="425" w:hRule="atLeast"/>
        </w:trPr>
        <w:tc>
          <w:tcPr>
            <w:tcW w:type="dxa" w:w="3249"/>
            <w:vAlign w:val="center"/>
          </w:tcPr>
          <w:p>
            <w:pPr>
              <w:spacing w:line="276" w:lineRule="auto" w:before="0" w:after="0"/>
            </w:pPr>
            <w:r/>
            <w:r>
              <w:rPr>
                <w:rFonts w:ascii="Figtree" w:hAnsi="Figtree"/>
                <w:b w:val="0"/>
                <w:i w:val="0"/>
                <w:sz w:val="20"/>
              </w:rPr>
              <w:t>AML provider discussion</w:t>
            </w:r>
          </w:p>
        </w:tc>
        <w:tc>
          <w:tcPr>
            <w:tcW w:type="dxa" w:w="3249"/>
            <w:vAlign w:val="center"/>
          </w:tcPr>
          <w:p>
            <w:pPr>
              <w:spacing w:line="276" w:lineRule="auto" w:before="0" w:after="0"/>
            </w:pPr>
            <w:r/>
            <w:r>
              <w:rPr>
                <w:rFonts w:ascii="Figtree" w:hAnsi="Figtree"/>
                <w:b w:val="0"/>
                <w:i w:val="0"/>
                <w:sz w:val="20"/>
              </w:rPr>
              <w:t>Chipper Cash Compliance + SettleMint</w:t>
            </w:r>
          </w:p>
        </w:tc>
        <w:tc>
          <w:tcPr>
            <w:tcW w:type="dxa" w:w="3249"/>
            <w:vAlign w:val="center"/>
          </w:tcPr>
          <w:p>
            <w:pPr>
              <w:spacing w:line="276" w:lineRule="auto" w:before="0" w:after="0"/>
            </w:pPr>
            <w:r/>
            <w:r>
              <w:rPr>
                <w:rFonts w:ascii="Figtree" w:hAnsi="Figtree"/>
                <w:b w:val="0"/>
                <w:i w:val="0"/>
                <w:sz w:val="20"/>
              </w:rPr>
              <w:t>Week 3</w:t>
            </w:r>
          </w:p>
        </w:tc>
      </w:tr>
      <w:tr>
        <w:trPr>
          <w:trHeight w:val="425" w:hRule="atLeast"/>
        </w:trPr>
        <w:tc>
          <w:tcPr>
            <w:tcW w:type="dxa" w:w="3249"/>
            <w:vAlign w:val="center"/>
          </w:tcPr>
          <w:p>
            <w:pPr>
              <w:spacing w:line="276" w:lineRule="auto" w:before="0" w:after="0"/>
            </w:pPr>
            <w:r/>
            <w:r>
              <w:rPr>
                <w:rFonts w:ascii="Figtree" w:hAnsi="Figtree"/>
                <w:b w:val="0"/>
                <w:i w:val="0"/>
                <w:sz w:val="20"/>
              </w:rPr>
              <w:t>Mobile money API compatibility check</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3</w:t>
            </w:r>
          </w:p>
        </w:tc>
      </w:tr>
      <w:tr>
        <w:trPr>
          <w:trHeight w:val="425" w:hRule="atLeast"/>
        </w:trPr>
        <w:tc>
          <w:tcPr>
            <w:tcW w:type="dxa" w:w="3249"/>
            <w:vAlign w:val="center"/>
          </w:tcPr>
          <w:p>
            <w:pPr>
              <w:spacing w:line="276" w:lineRule="auto" w:before="0" w:after="0"/>
            </w:pPr>
            <w:r/>
            <w:r>
              <w:rPr>
                <w:rFonts w:ascii="Figtree" w:hAnsi="Figtree"/>
                <w:b w:val="0"/>
                <w:i w:val="0"/>
                <w:sz w:val="20"/>
              </w:rPr>
              <w:t>PAPSS strategy alignment</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Commercial terms</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4-5</w:t>
            </w:r>
          </w:p>
        </w:tc>
      </w:tr>
      <w:tr>
        <w:trPr>
          <w:trHeight w:val="425" w:hRule="atLeast"/>
        </w:trPr>
        <w:tc>
          <w:tcPr>
            <w:tcW w:type="dxa" w:w="3249"/>
            <w:vAlign w:val="center"/>
          </w:tcPr>
          <w:p>
            <w:pPr>
              <w:spacing w:line="276" w:lineRule="auto" w:before="0" w:after="0"/>
            </w:pPr>
            <w:r/>
            <w:r>
              <w:rPr>
                <w:rFonts w:ascii="Figtree" w:hAnsi="Figtree"/>
                <w:b w:val="0"/>
                <w:i w:val="0"/>
                <w:sz w:val="20"/>
              </w:rPr>
              <w:t>Programme kickoff</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Within 1 week of contract</w:t>
            </w:r>
          </w:p>
        </w:tc>
      </w:tr>
    </w:tbl>
    <w:p>
      <w:pPr>
        <w:spacing w:before="0" w:after="0" w:line="120" w:lineRule="exact"/>
      </w:pPr>
    </w:p>
    <w:p>
      <w:r>
        <w:rPr>
          <w:rFonts w:ascii="Figtree" w:hAnsi="Figtree"/>
          <w:b w:val="0"/>
          <w:i w:val="0"/>
          <w:sz w:val="22"/>
        </w:rPr>
        <w:t>SettleMint can accelerate to a 12-week implementation timeline if Chipper Cash prioritizes a phased corridor launch (Nigeria-Ghana first, then additional corridors).</w:t>
      </w:r>
    </w:p>
    <w:p>
      <w:r>
        <w:br w:type="page"/>
      </w:r>
    </w:p>
    <w:p>
      <w:r>
        <w:rPr>
          <w:rFonts w:ascii="Figtree" w:hAnsi="Figtree"/>
          <w:b w:val="0"/>
          <w:i/>
          <w:sz w:val="22"/>
        </w:rPr>
        <w:t>End of Commercial Proposal — Chipper Cash</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