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Commercial Decision Framework</w:t>
          </w:r>
          <w:r>
            <w:tab/>
          </w:r>
          <w:r>
            <w:t xml:space="preserve">5</w:t>
          </w:r>
        </w:p>
        <w:p>
          <w:pPr>
            <w:pStyle w:val="TOC3"/>
            <w:tabs>
              <w:tab w:val="right" w:leader="dot" w:pos="9072"/>
            </w:tabs>
          </w:pPr>
          <w:r>
            <w:t xml:space="preserve">Build vs. Buy Analysis</w:t>
          </w:r>
          <w:r>
            <w:tab/>
          </w:r>
          <w:r>
            <w:t xml:space="preserve">6</w:t>
          </w:r>
        </w:p>
        <w:p>
          <w:pPr>
            <w:pStyle w:val="TOC3"/>
            <w:tabs>
              <w:tab w:val="right" w:leader="dot" w:pos="9072"/>
            </w:tabs>
          </w:pPr>
          <w:r>
            <w:t xml:space="preserve">Why Platform Economics Favour DALP</w:t>
          </w:r>
          <w:r>
            <w:tab/>
          </w:r>
          <w:r>
            <w:t xml:space="preserve">7</w:t>
          </w:r>
        </w:p>
        <w:p>
          <w:pPr>
            <w:pStyle w:val="TOC2"/>
            <w:tabs>
              <w:tab w:val="right" w:leader="dot" w:pos="9072"/>
            </w:tabs>
          </w:pPr>
          <w:r>
            <w:t xml:space="preserve">Licensing Model</w:t>
          </w:r>
          <w:r>
            <w:tab/>
          </w:r>
          <w:r>
            <w:t xml:space="preserve">8</w:t>
          </w:r>
        </w:p>
        <w:p>
          <w:pPr>
            <w:pStyle w:val="TOC3"/>
            <w:tabs>
              <w:tab w:val="right" w:leader="dot" w:pos="9072"/>
            </w:tabs>
          </w:pPr>
          <w:r>
            <w:t xml:space="preserve">License Tiers</w:t>
          </w:r>
          <w:r>
            <w:tab/>
          </w:r>
          <w:r>
            <w:t xml:space="preserve">9</w:t>
          </w:r>
        </w:p>
        <w:p>
          <w:pPr>
            <w:pStyle w:val="TOC3"/>
            <w:tabs>
              <w:tab w:val="right" w:leader="dot" w:pos="9072"/>
            </w:tabs>
          </w:pPr>
          <w:r>
            <w:t xml:space="preserve">Environment Model</w:t>
          </w:r>
          <w:r>
            <w:tab/>
          </w:r>
          <w:r>
            <w:t xml:space="preserve">10</w:t>
          </w:r>
        </w:p>
        <w:p>
          <w:pPr>
            <w:pStyle w:val="TOC2"/>
            <w:tabs>
              <w:tab w:val="right" w:leader="dot" w:pos="9072"/>
            </w:tabs>
          </w:pPr>
          <w:r>
            <w:t xml:space="preserve">Pricing Structure</w:t>
          </w:r>
          <w:r>
            <w:tab/>
          </w:r>
          <w:r>
            <w:t xml:space="preserve">11</w:t>
          </w:r>
        </w:p>
        <w:p>
          <w:pPr>
            <w:pStyle w:val="TOC3"/>
            <w:tabs>
              <w:tab w:val="right" w:leader="dot" w:pos="9072"/>
            </w:tabs>
          </w:pPr>
          <w:r>
            <w:t xml:space="preserve">Platform License Fees</w:t>
          </w:r>
          <w:r>
            <w:tab/>
          </w:r>
          <w:r>
            <w:t xml:space="preserve">12</w:t>
          </w:r>
        </w:p>
        <w:p>
          <w:pPr>
            <w:pStyle w:val="TOC3"/>
            <w:tabs>
              <w:tab w:val="right" w:leader="dot" w:pos="9072"/>
            </w:tabs>
          </w:pPr>
          <w:r>
            <w:t xml:space="preserve">Infrastructure Costs</w:t>
          </w:r>
          <w:r>
            <w:tab/>
          </w:r>
          <w:r>
            <w:t xml:space="preserve">13</w:t>
          </w:r>
        </w:p>
        <w:p>
          <w:pPr>
            <w:pStyle w:val="TOC3"/>
            <w:tabs>
              <w:tab w:val="right" w:leader="dot" w:pos="9072"/>
            </w:tabs>
          </w:pPr>
          <w:r>
            <w:t xml:space="preserve">Custody Provider Costs</w:t>
          </w:r>
          <w:r>
            <w:tab/>
          </w:r>
          <w:r>
            <w:t xml:space="preserve">14</w:t>
          </w:r>
        </w:p>
        <w:p>
          <w:pPr>
            <w:pStyle w:val="TOC2"/>
            <w:tabs>
              <w:tab w:val="right" w:leader="dot" w:pos="9072"/>
            </w:tabs>
          </w:pPr>
          <w:r>
            <w:t xml:space="preserve">Implementation Costs</w:t>
          </w:r>
          <w:r>
            <w:tab/>
          </w:r>
          <w:r>
            <w:t xml:space="preserve">15</w:t>
          </w:r>
        </w:p>
        <w:p>
          <w:pPr>
            <w:pStyle w:val="TOC2"/>
            <w:tabs>
              <w:tab w:val="right" w:leader="dot" w:pos="9072"/>
            </w:tabs>
          </w:pPr>
          <w:r>
            <w:t xml:space="preserve">Support and Maintenance</w:t>
          </w:r>
          <w:r>
            <w:tab/>
          </w:r>
          <w:r>
            <w:t xml:space="preserve">16</w:t>
          </w:r>
        </w:p>
        <w:p>
          <w:pPr>
            <w:pStyle w:val="TOC3"/>
            <w:tabs>
              <w:tab w:val="right" w:leader="dot" w:pos="9072"/>
            </w:tabs>
          </w:pPr>
          <w:r>
            <w:t xml:space="preserve">Enterprise Support Package</w:t>
          </w:r>
          <w:r>
            <w:tab/>
          </w:r>
          <w:r>
            <w:t xml:space="preserve">17</w:t>
          </w:r>
        </w:p>
        <w:p>
          <w:pPr>
            <w:pStyle w:val="TOC3"/>
            <w:tabs>
              <w:tab w:val="right" w:leader="dot" w:pos="9072"/>
            </w:tabs>
          </w:pPr>
          <w:r>
            <w:t xml:space="preserve">Sovereign Support Upgrade</w:t>
          </w:r>
          <w:r>
            <w:tab/>
          </w:r>
          <w:r>
            <w:t xml:space="preserve">18</w:t>
          </w:r>
        </w:p>
        <w:p>
          <w:pPr>
            <w:pStyle w:val="TOC2"/>
            <w:tabs>
              <w:tab w:val="right" w:leader="dot" w:pos="9072"/>
            </w:tabs>
          </w:pPr>
          <w:r>
            <w:t xml:space="preserve">Total Cost of Ownership Analysis</w:t>
          </w:r>
          <w:r>
            <w:tab/>
          </w:r>
          <w:r>
            <w:t xml:space="preserve">19</w:t>
          </w:r>
        </w:p>
        <w:p>
          <w:pPr>
            <w:pStyle w:val="TOC3"/>
            <w:tabs>
              <w:tab w:val="right" w:leader="dot" w:pos="9072"/>
            </w:tabs>
          </w:pPr>
          <w:r>
            <w:t xml:space="preserve">Five-Year TCO Model</w:t>
          </w:r>
          <w:r>
            <w:tab/>
          </w:r>
          <w:r>
            <w:t xml:space="preserve">20</w:t>
          </w:r>
        </w:p>
        <w:p>
          <w:pPr>
            <w:pStyle w:val="TOC3"/>
            <w:tabs>
              <w:tab w:val="right" w:leader="dot" w:pos="9072"/>
            </w:tabs>
          </w:pPr>
          <w:r>
            <w:t xml:space="preserve">Alternative Comparison</w:t>
          </w:r>
          <w:r>
            <w:tab/>
          </w:r>
          <w:r>
            <w:t xml:space="preserve">21</w:t>
          </w:r>
        </w:p>
        <w:p>
          <w:pPr>
            <w:pStyle w:val="TOC2"/>
            <w:tabs>
              <w:tab w:val="right" w:leader="dot" w:pos="9072"/>
            </w:tabs>
          </w:pPr>
          <w:r>
            <w:t xml:space="preserve">ROI Framework</w:t>
          </w:r>
          <w:r>
            <w:tab/>
          </w:r>
          <w:r>
            <w:t xml:space="preserve">22</w:t>
          </w:r>
        </w:p>
        <w:p>
          <w:pPr>
            <w:pStyle w:val="TOC3"/>
            <w:tabs>
              <w:tab w:val="right" w:leader="dot" w:pos="9072"/>
            </w:tabs>
          </w:pPr>
          <w:r>
            <w:t xml:space="preserve">Cost Avoidance</w:t>
          </w:r>
          <w:r>
            <w:tab/>
          </w:r>
          <w:r>
            <w:t xml:space="preserve">23</w:t>
          </w:r>
        </w:p>
        <w:p>
          <w:pPr>
            <w:pStyle w:val="TOC3"/>
            <w:tabs>
              <w:tab w:val="right" w:leader="dot" w:pos="9072"/>
            </w:tabs>
          </w:pPr>
          <w:r>
            <w:t xml:space="preserve">Revenue Enablement</w:t>
          </w:r>
          <w:r>
            <w:tab/>
          </w:r>
          <w:r>
            <w:t xml:space="preserve">24</w:t>
          </w:r>
        </w:p>
        <w:p>
          <w:pPr>
            <w:pStyle w:val="TOC3"/>
            <w:tabs>
              <w:tab w:val="right" w:leader="dot" w:pos="9072"/>
            </w:tabs>
          </w:pPr>
          <w:r>
            <w:t xml:space="preserve">Risk Reduction</w:t>
          </w:r>
          <w:r>
            <w:tab/>
          </w:r>
          <w:r>
            <w:t xml:space="preserve">25</w:t>
          </w:r>
        </w:p>
        <w:p>
          <w:pPr>
            <w:pStyle w:val="TOC2"/>
            <w:tabs>
              <w:tab w:val="right" w:leader="dot" w:pos="9072"/>
            </w:tabs>
          </w:pPr>
          <w:r>
            <w:t xml:space="preserve">Payment Terms and Conditions</w:t>
          </w:r>
          <w:r>
            <w:tab/>
          </w:r>
          <w:r>
            <w:t xml:space="preserve">26</w:t>
          </w:r>
        </w:p>
        <w:p>
          <w:pPr>
            <w:pStyle w:val="TOC3"/>
            <w:tabs>
              <w:tab w:val="right" w:leader="dot" w:pos="9072"/>
            </w:tabs>
          </w:pPr>
          <w:r>
            <w:t xml:space="preserve">Standard Terms</w:t>
          </w:r>
          <w:r>
            <w:tab/>
          </w:r>
          <w:r>
            <w:t xml:space="preserve">27</w:t>
          </w:r>
        </w:p>
        <w:p>
          <w:pPr>
            <w:pStyle w:val="TOC3"/>
            <w:tabs>
              <w:tab w:val="right" w:leader="dot" w:pos="9072"/>
            </w:tabs>
          </w:pPr>
          <w:r>
            <w:t xml:space="preserve">Currency</w:t>
          </w:r>
          <w:r>
            <w:tab/>
          </w:r>
          <w:r>
            <w:t xml:space="preserve">28</w:t>
          </w:r>
        </w:p>
        <w:p>
          <w:pPr>
            <w:pStyle w:val="TOC3"/>
            <w:tabs>
              <w:tab w:val="right" w:leader="dot" w:pos="9072"/>
            </w:tabs>
          </w:pPr>
          <w:r>
            <w:t xml:space="preserve">Taxes</w:t>
          </w:r>
          <w:r>
            <w:tab/>
          </w:r>
          <w:r>
            <w:t xml:space="preserve">29</w:t>
          </w:r>
        </w:p>
        <w:p>
          <w:pPr>
            <w:pStyle w:val="TOC2"/>
            <w:tabs>
              <w:tab w:val="right" w:leader="dot" w:pos="9072"/>
            </w:tabs>
          </w:pPr>
          <w:r>
            <w:t xml:space="preserve">Contract Structure</w:t>
          </w:r>
          <w:r>
            <w:tab/>
          </w:r>
          <w:r>
            <w:t xml:space="preserve">30</w:t>
          </w:r>
        </w:p>
        <w:p>
          <w:pPr>
            <w:pStyle w:val="TOC3"/>
            <w:tabs>
              <w:tab w:val="right" w:leader="dot" w:pos="9072"/>
            </w:tabs>
          </w:pPr>
          <w:r>
            <w:t xml:space="preserve">Key Contract Components</w:t>
          </w:r>
          <w:r>
            <w:tab/>
          </w:r>
          <w:r>
            <w:t xml:space="preserve">31</w:t>
          </w:r>
        </w:p>
        <w:p>
          <w:pPr>
            <w:pStyle w:val="TOC3"/>
            <w:tabs>
              <w:tab w:val="right" w:leader="dot" w:pos="9072"/>
            </w:tabs>
          </w:pPr>
          <w:r>
            <w:t xml:space="preserve">Key Commercial Protections</w:t>
          </w:r>
          <w:r>
            <w:tab/>
          </w:r>
          <w:r>
            <w:t xml:space="preserve">32</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Document Title:</w:t>
      </w:r>
      <w:r>
        <w:rPr>
          <w:rFonts w:ascii="Figtree" w:hAnsi="Figtree"/>
          <w:b w:val="0"/>
          <w:i w:val="0"/>
          <w:sz w:val="22"/>
        </w:rPr>
        <w:t xml:space="preserve"> Commercial Proposal for Digital Asset Exchange and Regulated Post-Trade Controls  </w:t>
      </w:r>
    </w:p>
    <w:p>
      <w:r>
        <w:rPr>
          <w:rFonts w:ascii="Figtree" w:hAnsi="Figtree"/>
          <w:b/>
          <w:i w:val="0"/>
          <w:sz w:val="22"/>
        </w:rPr>
        <w:t>Client:</w:t>
      </w:r>
      <w:r>
        <w:rPr>
          <w:rFonts w:ascii="Figtree" w:hAnsi="Figtree"/>
          <w:b w:val="0"/>
          <w:i w:val="0"/>
          <w:sz w:val="22"/>
        </w:rPr>
        <w:t xml:space="preserve"> Rain (Bahrain)  </w:t>
      </w:r>
    </w:p>
    <w:p>
      <w:r>
        <w:rPr>
          <w:rFonts w:ascii="Figtree" w:hAnsi="Figtree"/>
          <w:b/>
          <w:i w:val="0"/>
          <w:sz w:val="22"/>
        </w:rPr>
        <w:t>Reference:</w:t>
      </w:r>
      <w:r>
        <w:rPr>
          <w:rFonts w:ascii="Figtree" w:hAnsi="Figtree"/>
          <w:b w:val="0"/>
          <w:i w:val="0"/>
          <w:sz w:val="22"/>
        </w:rPr>
        <w:t xml:space="preserve"> RAIN-RFP-DIGITAL-ASSET-EXCHANGE-202603  </w:t>
      </w:r>
    </w:p>
    <w:p>
      <w:r>
        <w:rPr>
          <w:rFonts w:ascii="Figtree" w:hAnsi="Figtree"/>
          <w:b/>
          <w:i w:val="0"/>
          <w:sz w:val="22"/>
        </w:rPr>
        <w:t>Submitted by:</w:t>
      </w:r>
      <w:r>
        <w:rPr>
          <w:rFonts w:ascii="Figtree" w:hAnsi="Figtree"/>
          <w:b w:val="0"/>
          <w:i w:val="0"/>
          <w:sz w:val="22"/>
        </w:rPr>
        <w:t xml:space="preserve"> SettleMint  </w:t>
      </w:r>
    </w:p>
    <w:p>
      <w:r>
        <w:rPr>
          <w:rFonts w:ascii="Figtree" w:hAnsi="Figtree"/>
          <w:b/>
          <w:i w:val="0"/>
          <w:sz w:val="22"/>
        </w:rPr>
        <w:t>Date:</w:t>
      </w:r>
      <w:r>
        <w:rPr>
          <w:rFonts w:ascii="Figtree" w:hAnsi="Figtree"/>
          <w:b w:val="0"/>
          <w:i w:val="0"/>
          <w:sz w:val="22"/>
        </w:rPr>
        <w:t xml:space="preserve"> March 2026  </w:t>
      </w:r>
    </w:p>
    <w:p>
      <w:r>
        <w:rPr>
          <w:rFonts w:ascii="Figtree" w:hAnsi="Figtree"/>
          <w:b/>
          <w:i w:val="0"/>
          <w:sz w:val="22"/>
        </w:rPr>
        <w:t>Version:</w:t>
      </w:r>
      <w:r>
        <w:rPr>
          <w:rFonts w:ascii="Figtree" w:hAnsi="Figtree"/>
          <w:b w:val="0"/>
          <w:i w:val="0"/>
          <w:sz w:val="22"/>
        </w:rPr>
        <w:t xml:space="preserve"> 1.0 (Draft)  </w:t>
      </w:r>
    </w:p>
    <w:p>
      <w:r>
        <w:rPr>
          <w:rFonts w:ascii="Figtree" w:hAnsi="Figtree"/>
          <w:b/>
          <w:i w:val="0"/>
          <w:sz w:val="22"/>
        </w:rPr>
        <w:t>Confidentiality:</w:t>
      </w:r>
      <w:r>
        <w:rPr>
          <w:rFonts w:ascii="Figtree" w:hAnsi="Figtree"/>
          <w:b w:val="0"/>
          <w:i w:val="0"/>
          <w:sz w:val="22"/>
        </w:rPr>
        <w:t xml:space="preserve"> Strictly Confidential</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Commercial Decision Framework</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Pricing Structure</w:t>
      </w:r>
    </w:p>
    <w:p>
      <w:pPr>
        <w:pStyle w:val="ListParagraph"/>
        <w:numPr>
          <w:ilvl w:val="0"/>
          <w:numId w:val="6"/>
        </w:numPr>
      </w:pPr>
      <w:r>
        <w:rPr>
          <w:rFonts w:ascii="Figtree" w:hAnsi="Figtree"/>
          <w:b w:val="0"/>
          <w:i w:val="0"/>
          <w:sz w:val="22"/>
        </w:rPr>
        <w:t>Implementation Costs</w:t>
      </w:r>
    </w:p>
    <w:p>
      <w:pPr>
        <w:pStyle w:val="ListParagraph"/>
        <w:numPr>
          <w:ilvl w:val="0"/>
          <w:numId w:val="6"/>
        </w:numPr>
      </w:pPr>
      <w:r>
        <w:rPr>
          <w:rFonts w:ascii="Figtree" w:hAnsi="Figtree"/>
          <w:b w:val="0"/>
          <w:i w:val="0"/>
          <w:sz w:val="22"/>
        </w:rPr>
        <w:t>Support and Maintenance</w:t>
      </w:r>
    </w:p>
    <w:p>
      <w:pPr>
        <w:pStyle w:val="ListParagraph"/>
        <w:numPr>
          <w:ilvl w:val="0"/>
          <w:numId w:val="6"/>
        </w:numPr>
      </w:pPr>
      <w:r>
        <w:rPr>
          <w:rFonts w:ascii="Figtree" w:hAnsi="Figtree"/>
          <w:b w:val="0"/>
          <w:i w:val="0"/>
          <w:sz w:val="22"/>
        </w:rPr>
        <w:t>Total Cost of Ownership Analysis</w:t>
      </w:r>
    </w:p>
    <w:p>
      <w:pPr>
        <w:pStyle w:val="ListParagraph"/>
        <w:numPr>
          <w:ilvl w:val="0"/>
          <w:numId w:val="6"/>
        </w:numPr>
      </w:pPr>
      <w:r>
        <w:rPr>
          <w:rFonts w:ascii="Figtree" w:hAnsi="Figtree"/>
          <w:b w:val="0"/>
          <w:i w:val="0"/>
          <w:sz w:val="22"/>
        </w:rPr>
        <w:t>ROI Framework</w:t>
      </w:r>
    </w:p>
    <w:p>
      <w:pPr>
        <w:pStyle w:val="ListParagraph"/>
        <w:numPr>
          <w:ilvl w:val="0"/>
          <w:numId w:val="6"/>
        </w:numPr>
      </w:pPr>
      <w:r>
        <w:rPr>
          <w:rFonts w:ascii="Figtree" w:hAnsi="Figtree"/>
          <w:b w:val="0"/>
          <w:i w:val="0"/>
          <w:sz w:val="22"/>
        </w:rPr>
        <w:t>Payment Terms and Conditions</w:t>
      </w:r>
    </w:p>
    <w:p>
      <w:pPr>
        <w:pStyle w:val="ListParagraph"/>
        <w:numPr>
          <w:ilvl w:val="0"/>
          <w:numId w:val="6"/>
        </w:numPr>
      </w:pPr>
      <w:r>
        <w:rPr>
          <w:rFonts w:ascii="Figtree" w:hAnsi="Figtree"/>
          <w:b w:val="0"/>
          <w:i w:val="0"/>
          <w:sz w:val="22"/>
        </w:rPr>
        <w:t>Contract Structure</w:t>
      </w:r>
    </w:p>
    <w:p>
      <w:r>
        <w:br w:type="page"/>
      </w:r>
    </w:p>
    <w:p>
      <w:pPr>
        <w:pStyle w:val="H2"/>
        <w:numPr>
          <w:ilvl w:val="1"/>
          <w:numId w:val="1"/>
        </w:numPr>
      </w:pPr>
      <w:r>
        <w:t>Executive Summary</w:t>
      </w:r>
    </w:p>
    <w:p>
      <w:r>
        <w:rPr>
          <w:rFonts w:ascii="Figtree" w:hAnsi="Figtree"/>
          <w:b w:val="0"/>
          <w:i w:val="0"/>
          <w:sz w:val="22"/>
        </w:rPr>
        <w:t>Rain requires a production-grade platform for digital asset exchange and regulated post-trade controls that can withstand CBB regulatory scrutiny and operational scale. The commercial decision reduces to this: build or buy, and if buy, which platform delivers the best economics across the three to five year horizon that matters for a regulated exchange investment.</w:t>
      </w:r>
    </w:p>
    <w:p>
      <w:r>
        <w:rPr>
          <w:rFonts w:ascii="Figtree" w:hAnsi="Figtree"/>
          <w:b w:val="0"/>
          <w:i w:val="0"/>
          <w:sz w:val="22"/>
        </w:rPr>
        <w:t>Build is the wrong choice for Rain at this stage. The internal engineering cost to replicate DALP's compliance enforcement, DvP settlement engine, custody integration layer, and audit trail infrastructure is substantial, and the regulatory risk of getting any one of those components wrong is existential for Rain's CBB license. The CBB expects production-proven infrastructure, not bespoke engineering still being de-risked through operation.</w:t>
      </w:r>
    </w:p>
    <w:p>
      <w:r>
        <w:rPr>
          <w:rFonts w:ascii="Figtree" w:hAnsi="Figtree"/>
          <w:b w:val="0"/>
          <w:i w:val="0"/>
          <w:sz w:val="22"/>
        </w:rPr>
        <w:t>SettleMint's DALP platform removes that execution risk. The platform is already deployed in regulated exchange environments. The compliance modules are audited and configurable. The integration patterns are documented and tested. Rain's team focuses on the exchange business, not on building and maintaining the infrastructure that the business runs on.</w:t>
      </w:r>
    </w:p>
    <w:p>
      <w:r>
        <w:rPr>
          <w:rFonts w:ascii="Figtree" w:hAnsi="Figtree"/>
          <w:b w:val="0"/>
          <w:i w:val="0"/>
          <w:sz w:val="22"/>
        </w:rPr>
        <w:t xml:space="preserve">The recommended commercial model for Rain is the </w:t>
      </w:r>
      <w:r>
        <w:rPr>
          <w:rFonts w:ascii="Figtree" w:hAnsi="Figtree"/>
          <w:b/>
          <w:i w:val="0"/>
          <w:sz w:val="22"/>
        </w:rPr>
        <w:t>Enterprise License tier</w:t>
      </w:r>
      <w:r>
        <w:rPr>
          <w:rFonts w:ascii="Figtree" w:hAnsi="Figtree"/>
          <w:b w:val="0"/>
          <w:i w:val="0"/>
          <w:sz w:val="22"/>
        </w:rPr>
        <w:t>, covering the production environment for exchange operations and a development environment for testing and staging. Implementation services cover the 24-week deployment programme described in the technical proposal. Enterprise-tier support provides 24/5 coverage with a 2-hour critical response SLA.</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22"/>
        <w:gridCol w:w="574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Annual Cost</w:t>
            </w:r>
          </w:p>
        </w:tc>
      </w:tr>
      <w:tr>
        <w:trPr>
          <w:trHeight w:val="425" w:hRule="atLeast"/>
        </w:trPr>
        <w:tc>
          <w:tcPr>
            <w:tcW w:type="dxa" w:w="4873"/>
            <w:vAlign w:val="center"/>
          </w:tcPr>
          <w:p>
            <w:pPr>
              <w:spacing w:line="276" w:lineRule="auto" w:before="0" w:after="0"/>
            </w:pPr>
            <w:r/>
            <w:r>
              <w:rPr>
                <w:rFonts w:ascii="Figtree" w:hAnsi="Figtree"/>
                <w:b w:val="0"/>
                <w:i w:val="0"/>
                <w:sz w:val="20"/>
              </w:rPr>
              <w:t>Production License</w:t>
            </w:r>
          </w:p>
        </w:tc>
        <w:tc>
          <w:tcPr>
            <w:tcW w:type="dxa" w:w="4873"/>
            <w:vAlign w:val="center"/>
          </w:tcPr>
          <w:p>
            <w:pPr>
              <w:spacing w:line="276" w:lineRule="auto" w:before="0" w:after="0"/>
            </w:pPr>
            <w:r/>
            <w:r>
              <w:rPr>
                <w:rFonts w:ascii="Figtree" w:hAnsi="Figtree"/>
                <w:b w:val="0"/>
                <w:i w:val="0"/>
                <w:sz w:val="20"/>
              </w:rPr>
              <w:t>€300,000/year</w:t>
            </w:r>
          </w:p>
        </w:tc>
      </w:tr>
      <w:tr>
        <w:trPr>
          <w:trHeight w:val="425" w:hRule="atLeast"/>
        </w:trPr>
        <w:tc>
          <w:tcPr>
            <w:tcW w:type="dxa" w:w="4873"/>
            <w:vAlign w:val="center"/>
          </w:tcPr>
          <w:p>
            <w:pPr>
              <w:spacing w:line="276" w:lineRule="auto" w:before="0" w:after="0"/>
            </w:pPr>
            <w:r/>
            <w:r>
              <w:rPr>
                <w:rFonts w:ascii="Figtree" w:hAnsi="Figtree"/>
                <w:b w:val="0"/>
                <w:i w:val="0"/>
                <w:sz w:val="20"/>
              </w:rPr>
              <w:t>Development License</w:t>
            </w:r>
          </w:p>
        </w:tc>
        <w:tc>
          <w:tcPr>
            <w:tcW w:type="dxa" w:w="4873"/>
            <w:vAlign w:val="center"/>
          </w:tcPr>
          <w:p>
            <w:pPr>
              <w:spacing w:line="276" w:lineRule="auto" w:before="0" w:after="0"/>
            </w:pPr>
            <w:r/>
            <w:r>
              <w:rPr>
                <w:rFonts w:ascii="Figtree" w:hAnsi="Figtree"/>
                <w:b w:val="0"/>
                <w:i w:val="0"/>
                <w:sz w:val="20"/>
              </w:rPr>
              <w:t>€120,000/year</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w:t>
            </w:r>
          </w:p>
        </w:tc>
        <w:tc>
          <w:tcPr>
            <w:tcW w:type="dxa" w:w="4873"/>
            <w:vAlign w:val="center"/>
          </w:tcPr>
          <w:p>
            <w:pPr>
              <w:spacing w:line="276" w:lineRule="auto" w:before="0" w:after="0"/>
            </w:pPr>
            <w:r/>
            <w:r>
              <w:rPr>
                <w:rFonts w:ascii="Figtree" w:hAnsi="Figtree"/>
                <w:b w:val="0"/>
                <w:i w:val="0"/>
                <w:sz w:val="20"/>
              </w:rPr>
              <w:t>[CLIENT-SPECIFIC - scoped at contract]</w:t>
            </w:r>
          </w:p>
        </w:tc>
      </w:tr>
      <w:tr>
        <w:trPr>
          <w:trHeight w:val="425" w:hRule="atLeast"/>
        </w:trPr>
        <w:tc>
          <w:tcPr>
            <w:tcW w:type="dxa" w:w="4873"/>
            <w:vAlign w:val="center"/>
          </w:tcPr>
          <w:p>
            <w:pPr>
              <w:spacing w:line="276" w:lineRule="auto" w:before="0" w:after="0"/>
            </w:pPr>
            <w:r/>
            <w:r>
              <w:rPr>
                <w:rFonts w:ascii="Figtree" w:hAnsi="Figtree"/>
                <w:b w:val="0"/>
                <w:i w:val="0"/>
                <w:sz w:val="20"/>
              </w:rPr>
              <w:t>Enterprise Support</w:t>
            </w:r>
          </w:p>
        </w:tc>
        <w:tc>
          <w:tcPr>
            <w:tcW w:type="dxa" w:w="4873"/>
            <w:vAlign w:val="center"/>
          </w:tcPr>
          <w:p>
            <w:pPr>
              <w:spacing w:line="276" w:lineRule="auto" w:before="0" w:after="0"/>
            </w:pPr>
            <w:r/>
            <w:r>
              <w:rPr>
                <w:rFonts w:ascii="Figtree" w:hAnsi="Figtree"/>
                <w:b w:val="0"/>
                <w:i w:val="0"/>
                <w:sz w:val="20"/>
              </w:rPr>
              <w:t>[CLIENT-SPECIFIC - included in license or add-on]</w:t>
            </w:r>
          </w:p>
        </w:tc>
      </w:tr>
      <w:tr>
        <w:trPr>
          <w:trHeight w:val="425" w:hRule="atLeast"/>
        </w:trPr>
        <w:tc>
          <w:tcPr>
            <w:tcW w:type="dxa" w:w="4873"/>
            <w:vAlign w:val="center"/>
          </w:tcPr>
          <w:p>
            <w:pPr>
              <w:spacing w:line="276" w:lineRule="auto" w:before="0" w:after="0"/>
            </w:pPr>
            <w:r/>
            <w:r>
              <w:rPr>
                <w:rFonts w:ascii="Figtree" w:hAnsi="Figtree"/>
                <w:b/>
                <w:i w:val="0"/>
                <w:sz w:val="20"/>
              </w:rPr>
              <w:t>Total Platform License</w:t>
            </w:r>
          </w:p>
        </w:tc>
        <w:tc>
          <w:tcPr>
            <w:tcW w:type="dxa" w:w="4873"/>
            <w:vAlign w:val="center"/>
          </w:tcPr>
          <w:p>
            <w:pPr>
              <w:spacing w:line="276" w:lineRule="auto" w:before="0" w:after="0"/>
            </w:pPr>
            <w:r/>
            <w:r>
              <w:rPr>
                <w:rFonts w:ascii="Figtree" w:hAnsi="Figtree"/>
                <w:b/>
                <w:i w:val="0"/>
                <w:sz w:val="20"/>
              </w:rPr>
              <w:t>€420,000/year</w:t>
            </w:r>
          </w:p>
        </w:tc>
      </w:tr>
    </w:tbl>
    <w:p>
      <w:pPr>
        <w:spacing w:before="0" w:after="0" w:line="120" w:lineRule="exact"/>
      </w:pPr>
    </w:p>
    <w:p>
      <w:r>
        <w:rPr>
          <w:rFonts w:ascii="Figtree" w:hAnsi="Figtree"/>
          <w:b w:val="0"/>
          <w:i w:val="0"/>
          <w:sz w:val="22"/>
        </w:rPr>
        <w:t>All prices exclude applicable taxes and VAT. Payment terms are annual, upfront.</w:t>
      </w:r>
    </w:p>
    <w:p>
      <w:r>
        <w:rPr>
          <w:rFonts w:ascii="Figtree" w:hAnsi="Figtree"/>
          <w:b w:val="0"/>
          <w:i w:val="0"/>
          <w:sz w:val="22"/>
        </w:rPr>
        <w:t>For Rain's five-year horizon, the platform cost represents a fraction of the alternative: internal engineering, multiple point-solution vendors, integration maintenance, and the ongoing regulatory risk of a fragmented control environment.</w:t>
      </w:r>
    </w:p>
    <w:p>
      <w:r>
        <w:br w:type="page"/>
      </w:r>
    </w:p>
    <w:p>
      <w:pPr>
        <w:pStyle w:val="H2"/>
        <w:numPr>
          <w:ilvl w:val="1"/>
          <w:numId w:val="1"/>
        </w:numPr>
      </w:pPr>
      <w:r>
        <w:t>Commercial Decision Framework</w:t>
      </w:r>
    </w:p>
    <w:p>
      <w:pPr>
        <w:pStyle w:val="H3"/>
        <w:numPr>
          <w:ilvl w:val="2"/>
          <w:numId w:val="1"/>
        </w:numPr>
      </w:pPr>
      <w:r>
        <w:t>Build vs. Buy Analysis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68"/>
        <w:gridCol w:w="1814"/>
        <w:gridCol w:w="2903"/>
        <w:gridCol w:w="208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Internal Build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Multi-Vendor Assembly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Single Platform</w:t>
            </w:r>
          </w:p>
        </w:tc>
      </w:tr>
      <w:tr>
        <w:trPr>
          <w:trHeight w:val="425" w:hRule="atLeast"/>
        </w:trPr>
        <w:tc>
          <w:tcPr>
            <w:tcW w:type="dxa" w:w="2436"/>
            <w:vAlign w:val="center"/>
          </w:tcPr>
          <w:p>
            <w:pPr>
              <w:spacing w:line="276" w:lineRule="auto" w:before="0" w:after="0"/>
            </w:pPr>
            <w:r/>
            <w:r>
              <w:rPr>
                <w:rFonts w:ascii="Figtree" w:hAnsi="Figtree"/>
                <w:b w:val="0"/>
                <w:i w:val="0"/>
                <w:sz w:val="20"/>
              </w:rPr>
              <w:t>Time to market</w:t>
            </w:r>
          </w:p>
        </w:tc>
        <w:tc>
          <w:tcPr>
            <w:tcW w:type="dxa" w:w="2436"/>
            <w:vAlign w:val="center"/>
          </w:tcPr>
          <w:p>
            <w:pPr>
              <w:spacing w:line="276" w:lineRule="auto" w:before="0" w:after="0"/>
            </w:pPr>
            <w:r/>
            <w:r>
              <w:rPr>
                <w:rFonts w:ascii="Figtree" w:hAnsi="Figtree"/>
                <w:b w:val="0"/>
                <w:i w:val="0"/>
                <w:sz w:val="20"/>
              </w:rPr>
              <w:t>18-36 months</w:t>
            </w:r>
          </w:p>
        </w:tc>
        <w:tc>
          <w:tcPr>
            <w:tcW w:type="dxa" w:w="2436"/>
            <w:vAlign w:val="center"/>
          </w:tcPr>
          <w:p>
            <w:pPr>
              <w:spacing w:line="276" w:lineRule="auto" w:before="0" w:after="0"/>
            </w:pPr>
            <w:r/>
            <w:r>
              <w:rPr>
                <w:rFonts w:ascii="Figtree" w:hAnsi="Figtree"/>
                <w:b w:val="0"/>
                <w:i w:val="0"/>
                <w:sz w:val="20"/>
              </w:rPr>
              <w:t>12-24 months</w:t>
            </w:r>
          </w:p>
        </w:tc>
        <w:tc>
          <w:tcPr>
            <w:tcW w:type="dxa" w:w="2436"/>
            <w:vAlign w:val="center"/>
          </w:tcPr>
          <w:p>
            <w:pPr>
              <w:spacing w:line="276" w:lineRule="auto" w:before="0" w:after="0"/>
            </w:pPr>
            <w:r/>
            <w:r>
              <w:rPr>
                <w:rFonts w:ascii="Figtree" w:hAnsi="Figtree"/>
                <w:b w:val="0"/>
                <w:i w:val="0"/>
                <w:sz w:val="20"/>
              </w:rPr>
              <w:t>6 months</w:t>
            </w:r>
          </w:p>
        </w:tc>
      </w:tr>
      <w:tr>
        <w:trPr>
          <w:trHeight w:val="425" w:hRule="atLeast"/>
        </w:trPr>
        <w:tc>
          <w:tcPr>
            <w:tcW w:type="dxa" w:w="2436"/>
            <w:vAlign w:val="center"/>
          </w:tcPr>
          <w:p>
            <w:pPr>
              <w:spacing w:line="276" w:lineRule="auto" w:before="0" w:after="0"/>
            </w:pPr>
            <w:r/>
            <w:r>
              <w:rPr>
                <w:rFonts w:ascii="Figtree" w:hAnsi="Figtree"/>
                <w:b w:val="0"/>
                <w:i w:val="0"/>
                <w:sz w:val="20"/>
              </w:rPr>
              <w:t>Compliance risk</w:t>
            </w:r>
          </w:p>
        </w:tc>
        <w:tc>
          <w:tcPr>
            <w:tcW w:type="dxa" w:w="2436"/>
            <w:vAlign w:val="center"/>
          </w:tcPr>
          <w:p>
            <w:pPr>
              <w:spacing w:line="276" w:lineRule="auto" w:before="0" w:after="0"/>
            </w:pPr>
            <w:r/>
            <w:r>
              <w:rPr>
                <w:rFonts w:ascii="Figtree" w:hAnsi="Figtree"/>
                <w:b w:val="0"/>
                <w:i w:val="0"/>
                <w:sz w:val="20"/>
              </w:rPr>
              <w:t>High (unproven)</w:t>
            </w:r>
          </w:p>
        </w:tc>
        <w:tc>
          <w:tcPr>
            <w:tcW w:type="dxa" w:w="2436"/>
            <w:vAlign w:val="center"/>
          </w:tcPr>
          <w:p>
            <w:pPr>
              <w:spacing w:line="276" w:lineRule="auto" w:before="0" w:after="0"/>
            </w:pPr>
            <w:r/>
            <w:r>
              <w:rPr>
                <w:rFonts w:ascii="Figtree" w:hAnsi="Figtree"/>
                <w:b w:val="0"/>
                <w:i w:val="0"/>
                <w:sz w:val="20"/>
              </w:rPr>
              <w:t>High (integration gaps)</w:t>
            </w:r>
          </w:p>
        </w:tc>
        <w:tc>
          <w:tcPr>
            <w:tcW w:type="dxa" w:w="2436"/>
            <w:vAlign w:val="center"/>
          </w:tcPr>
          <w:p>
            <w:pPr>
              <w:spacing w:line="276" w:lineRule="auto" w:before="0" w:after="0"/>
            </w:pPr>
            <w:r/>
            <w:r>
              <w:rPr>
                <w:rFonts w:ascii="Figtree" w:hAnsi="Figtree"/>
                <w:b w:val="0"/>
                <w:i w:val="0"/>
                <w:sz w:val="20"/>
              </w:rPr>
              <w:t>Low (production-proven)</w:t>
            </w:r>
          </w:p>
        </w:tc>
      </w:tr>
      <w:tr>
        <w:trPr>
          <w:trHeight w:val="425" w:hRule="atLeast"/>
        </w:trPr>
        <w:tc>
          <w:tcPr>
            <w:tcW w:type="dxa" w:w="2436"/>
            <w:vAlign w:val="center"/>
          </w:tcPr>
          <w:p>
            <w:pPr>
              <w:spacing w:line="276" w:lineRule="auto" w:before="0" w:after="0"/>
            </w:pPr>
            <w:r/>
            <w:r>
              <w:rPr>
                <w:rFonts w:ascii="Figtree" w:hAnsi="Figtree"/>
                <w:b w:val="0"/>
                <w:i w:val="0"/>
                <w:sz w:val="20"/>
              </w:rPr>
              <w:t>Integration complexity</w:t>
            </w:r>
          </w:p>
        </w:tc>
        <w:tc>
          <w:tcPr>
            <w:tcW w:type="dxa" w:w="2436"/>
            <w:vAlign w:val="center"/>
          </w:tcPr>
          <w:p>
            <w:pPr>
              <w:spacing w:line="276" w:lineRule="auto" w:before="0" w:after="0"/>
            </w:pPr>
            <w:r/>
            <w:r>
              <w:rPr>
                <w:rFonts w:ascii="Figtree" w:hAnsi="Figtree"/>
                <w:b w:val="0"/>
                <w:i w:val="0"/>
                <w:sz w:val="20"/>
              </w:rPr>
              <w:t>Very high</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Low (documented APIs)</w:t>
            </w:r>
          </w:p>
        </w:tc>
      </w:tr>
      <w:tr>
        <w:trPr>
          <w:trHeight w:val="425" w:hRule="atLeast"/>
        </w:trPr>
        <w:tc>
          <w:tcPr>
            <w:tcW w:type="dxa" w:w="2436"/>
            <w:vAlign w:val="center"/>
          </w:tcPr>
          <w:p>
            <w:pPr>
              <w:spacing w:line="276" w:lineRule="auto" w:before="0" w:after="0"/>
            </w:pPr>
            <w:r/>
            <w:r>
              <w:rPr>
                <w:rFonts w:ascii="Figtree" w:hAnsi="Figtree"/>
                <w:b w:val="0"/>
                <w:i w:val="0"/>
                <w:sz w:val="20"/>
              </w:rPr>
              <w:t>Regulatory audit posture</w:t>
            </w:r>
          </w:p>
        </w:tc>
        <w:tc>
          <w:tcPr>
            <w:tcW w:type="dxa" w:w="2436"/>
            <w:vAlign w:val="center"/>
          </w:tcPr>
          <w:p>
            <w:pPr>
              <w:spacing w:line="276" w:lineRule="auto" w:before="0" w:after="0"/>
            </w:pPr>
            <w:r/>
            <w:r>
              <w:rPr>
                <w:rFonts w:ascii="Figtree" w:hAnsi="Figtree"/>
                <w:b w:val="0"/>
                <w:i w:val="0"/>
                <w:sz w:val="20"/>
              </w:rPr>
              <w:t>Unproven</w:t>
            </w:r>
          </w:p>
        </w:tc>
        <w:tc>
          <w:tcPr>
            <w:tcW w:type="dxa" w:w="2436"/>
            <w:vAlign w:val="center"/>
          </w:tcPr>
          <w:p>
            <w:pPr>
              <w:spacing w:line="276" w:lineRule="auto" w:before="0" w:after="0"/>
            </w:pPr>
            <w:r/>
            <w:r>
              <w:rPr>
                <w:rFonts w:ascii="Figtree" w:hAnsi="Figtree"/>
                <w:b w:val="0"/>
                <w:i w:val="0"/>
                <w:sz w:val="20"/>
              </w:rPr>
              <w:t>Fragmented</w:t>
            </w:r>
          </w:p>
        </w:tc>
        <w:tc>
          <w:tcPr>
            <w:tcW w:type="dxa" w:w="2436"/>
            <w:vAlign w:val="center"/>
          </w:tcPr>
          <w:p>
            <w:pPr>
              <w:spacing w:line="276" w:lineRule="auto" w:before="0" w:after="0"/>
            </w:pPr>
            <w:r/>
            <w:r>
              <w:rPr>
                <w:rFonts w:ascii="Figtree" w:hAnsi="Figtree"/>
                <w:b w:val="0"/>
                <w:i w:val="0"/>
                <w:sz w:val="20"/>
              </w:rPr>
              <w:t>Single control plane</w:t>
            </w:r>
          </w:p>
        </w:tc>
      </w:tr>
      <w:tr>
        <w:trPr>
          <w:trHeight w:val="425" w:hRule="atLeast"/>
        </w:trPr>
        <w:tc>
          <w:tcPr>
            <w:tcW w:type="dxa" w:w="2436"/>
            <w:vAlign w:val="center"/>
          </w:tcPr>
          <w:p>
            <w:pPr>
              <w:spacing w:line="276" w:lineRule="auto" w:before="0" w:after="0"/>
            </w:pPr>
            <w:r/>
            <w:r>
              <w:rPr>
                <w:rFonts w:ascii="Figtree" w:hAnsi="Figtree"/>
                <w:b w:val="0"/>
                <w:i w:val="0"/>
                <w:sz w:val="20"/>
              </w:rPr>
              <w:t>Ongoing engineering cost</w:t>
            </w:r>
          </w:p>
        </w:tc>
        <w:tc>
          <w:tcPr>
            <w:tcW w:type="dxa" w:w="2436"/>
            <w:vAlign w:val="center"/>
          </w:tcPr>
          <w:p>
            <w:pPr>
              <w:spacing w:line="276" w:lineRule="auto" w:before="0" w:after="0"/>
            </w:pPr>
            <w:r/>
            <w:r>
              <w:rPr>
                <w:rFonts w:ascii="Figtree" w:hAnsi="Figtree"/>
                <w:b w:val="0"/>
                <w:i w:val="0"/>
                <w:sz w:val="20"/>
              </w:rPr>
              <w:t>High (team required)</w:t>
            </w:r>
          </w:p>
        </w:tc>
        <w:tc>
          <w:tcPr>
            <w:tcW w:type="dxa" w:w="2436"/>
            <w:vAlign w:val="center"/>
          </w:tcPr>
          <w:p>
            <w:pPr>
              <w:spacing w:line="276" w:lineRule="auto" w:before="0" w:after="0"/>
            </w:pPr>
            <w:r/>
            <w:r>
              <w:rPr>
                <w:rFonts w:ascii="Figtree" w:hAnsi="Figtree"/>
                <w:b w:val="0"/>
                <w:i w:val="0"/>
                <w:sz w:val="20"/>
              </w:rPr>
              <w:t>Medium (integration maintenance)</w:t>
            </w:r>
          </w:p>
        </w:tc>
        <w:tc>
          <w:tcPr>
            <w:tcW w:type="dxa" w:w="2436"/>
            <w:vAlign w:val="center"/>
          </w:tcPr>
          <w:p>
            <w:pPr>
              <w:spacing w:line="276" w:lineRule="auto" w:before="0" w:after="0"/>
            </w:pPr>
            <w:r/>
            <w:r>
              <w:rPr>
                <w:rFonts w:ascii="Figtree" w:hAnsi="Figtree"/>
                <w:b w:val="0"/>
                <w:i w:val="0"/>
                <w:sz w:val="20"/>
              </w:rPr>
              <w:t>Low (platform managed)</w:t>
            </w:r>
          </w:p>
        </w:tc>
      </w:tr>
      <w:tr>
        <w:trPr>
          <w:trHeight w:val="425" w:hRule="atLeast"/>
        </w:trPr>
        <w:tc>
          <w:tcPr>
            <w:tcW w:type="dxa" w:w="2436"/>
            <w:vAlign w:val="center"/>
          </w:tcPr>
          <w:p>
            <w:pPr>
              <w:spacing w:line="276" w:lineRule="auto" w:before="0" w:after="0"/>
            </w:pPr>
            <w:r/>
            <w:r>
              <w:rPr>
                <w:rFonts w:ascii="Figtree" w:hAnsi="Figtree"/>
                <w:b w:val="0"/>
                <w:i w:val="0"/>
                <w:sz w:val="20"/>
              </w:rPr>
              <w:t>CBB examination readiness</w:t>
            </w:r>
          </w:p>
        </w:tc>
        <w:tc>
          <w:tcPr>
            <w:tcW w:type="dxa" w:w="2436"/>
            <w:vAlign w:val="center"/>
          </w:tcPr>
          <w:p>
            <w:pPr>
              <w:spacing w:line="276" w:lineRule="auto" w:before="0" w:after="0"/>
            </w:pPr>
            <w:r/>
            <w:r>
              <w:rPr>
                <w:rFonts w:ascii="Figtree" w:hAnsi="Figtree"/>
                <w:b w:val="0"/>
                <w:i w:val="0"/>
                <w:sz w:val="20"/>
              </w:rPr>
              <w:t>Unknown</w:t>
            </w:r>
          </w:p>
        </w:tc>
        <w:tc>
          <w:tcPr>
            <w:tcW w:type="dxa" w:w="2436"/>
            <w:vAlign w:val="center"/>
          </w:tcPr>
          <w:p>
            <w:pPr>
              <w:spacing w:line="276" w:lineRule="auto" w:before="0" w:after="0"/>
            </w:pPr>
            <w:r/>
            <w:r>
              <w:rPr>
                <w:rFonts w:ascii="Figtree" w:hAnsi="Figtree"/>
                <w:b w:val="0"/>
                <w:i w:val="0"/>
                <w:sz w:val="20"/>
              </w:rPr>
              <w:t>Partial</w:t>
            </w:r>
          </w:p>
        </w:tc>
        <w:tc>
          <w:tcPr>
            <w:tcW w:type="dxa" w:w="2436"/>
            <w:vAlign w:val="center"/>
          </w:tcPr>
          <w:p>
            <w:pPr>
              <w:spacing w:line="276" w:lineRule="auto" w:before="0" w:after="0"/>
            </w:pPr>
            <w:r/>
            <w:r>
              <w:rPr>
                <w:rFonts w:ascii="Figtree" w:hAnsi="Figtree"/>
                <w:b w:val="0"/>
                <w:i w:val="0"/>
                <w:sz w:val="20"/>
              </w:rPr>
              <w:t>Full audit trail</w:t>
            </w:r>
          </w:p>
        </w:tc>
      </w:tr>
      <w:tr>
        <w:trPr>
          <w:trHeight w:val="425" w:hRule="atLeast"/>
        </w:trPr>
        <w:tc>
          <w:tcPr>
            <w:tcW w:type="dxa" w:w="2436"/>
            <w:vAlign w:val="center"/>
          </w:tcPr>
          <w:p>
            <w:pPr>
              <w:spacing w:line="276" w:lineRule="auto" w:before="0" w:after="0"/>
            </w:pPr>
            <w:r/>
            <w:r>
              <w:rPr>
                <w:rFonts w:ascii="Figtree" w:hAnsi="Figtree"/>
                <w:b w:val="0"/>
                <w:i w:val="0"/>
                <w:sz w:val="20"/>
              </w:rPr>
              <w:t>5-year TCO</w:t>
            </w:r>
          </w:p>
        </w:tc>
        <w:tc>
          <w:tcPr>
            <w:tcW w:type="dxa" w:w="2436"/>
            <w:vAlign w:val="center"/>
          </w:tcPr>
          <w:p>
            <w:pPr>
              <w:spacing w:line="276" w:lineRule="auto" w:before="0" w:after="0"/>
            </w:pPr>
            <w:r/>
            <w:r>
              <w:rPr>
                <w:rFonts w:ascii="Figtree" w:hAnsi="Figtree"/>
                <w:b w:val="0"/>
                <w:i w:val="0"/>
                <w:sz w:val="20"/>
              </w:rPr>
              <w:t>€3.5M+</w:t>
            </w:r>
          </w:p>
        </w:tc>
        <w:tc>
          <w:tcPr>
            <w:tcW w:type="dxa" w:w="2436"/>
            <w:vAlign w:val="center"/>
          </w:tcPr>
          <w:p>
            <w:pPr>
              <w:spacing w:line="276" w:lineRule="auto" w:before="0" w:after="0"/>
            </w:pPr>
            <w:r/>
            <w:r>
              <w:rPr>
                <w:rFonts w:ascii="Figtree" w:hAnsi="Figtree"/>
                <w:b w:val="0"/>
                <w:i w:val="0"/>
                <w:sz w:val="20"/>
              </w:rPr>
              <w:t>€2.5M+</w:t>
            </w:r>
          </w:p>
        </w:tc>
        <w:tc>
          <w:tcPr>
            <w:tcW w:type="dxa" w:w="2436"/>
            <w:vAlign w:val="center"/>
          </w:tcPr>
          <w:p>
            <w:pPr>
              <w:spacing w:line="276" w:lineRule="auto" w:before="0" w:after="0"/>
            </w:pPr>
            <w:r/>
            <w:r>
              <w:rPr>
                <w:rFonts w:ascii="Figtree" w:hAnsi="Figtree"/>
                <w:b w:val="0"/>
                <w:i w:val="0"/>
                <w:sz w:val="20"/>
              </w:rPr>
              <w:t>€2.1M (license + impl)</w:t>
            </w:r>
          </w:p>
        </w:tc>
      </w:tr>
    </w:tbl>
    <w:p>
      <w:pPr>
        <w:spacing w:before="0" w:after="0" w:line="120" w:lineRule="exact"/>
      </w:pPr>
    </w:p>
    <w:p>
      <w:r>
        <w:rPr>
          <w:rFonts w:ascii="Figtree" w:hAnsi="Figtree"/>
          <w:b w:val="0"/>
          <w:i/>
          <w:sz w:val="22"/>
        </w:rPr>
        <w:t>TCO estimates are directional. Detailed build cost modelling is available on request.</w:t>
      </w:r>
    </w:p>
    <w:p>
      <w:pPr>
        <w:pStyle w:val="H3"/>
        <w:numPr>
          <w:ilvl w:val="2"/>
          <w:numId w:val="1"/>
        </w:numPr>
      </w:pPr>
      <w:r>
        <w:t>Why Platform Economics Favour DALP</w:t>
      </w:r>
    </w:p>
    <w:p>
      <w:r>
        <w:rPr>
          <w:rFonts w:ascii="Figtree" w:hAnsi="Figtree"/>
          <w:b w:val="0"/>
          <w:i w:val="0"/>
          <w:sz w:val="22"/>
        </w:rPr>
        <w:t>Rain's regulatory license creates an unusual cost dynamic: non-compliance is not just operationally expensive, it is potentially license-threatening. The cost comparison therefore cannot be purely about engineering labor; it must factor in regulatory risk, implementation speed, and the CBB's expectations for platform maturity.</w:t>
      </w:r>
    </w:p>
    <w:p>
      <w:r>
        <w:rPr>
          <w:rFonts w:ascii="Figtree" w:hAnsi="Figtree"/>
          <w:b w:val="0"/>
          <w:i w:val="0"/>
          <w:sz w:val="22"/>
        </w:rPr>
        <w:t>DALP addresses all three. The platform's compliance modules are pre-audited and in production. The deployment timeline is predictable because SettleMint has executed the same implementation pattern in multiple regulated jurisdictions. And the CBB's examination team will find a single, documented control environment rather than a patchwork of integrated tools each requiring separate explanation.</w:t>
      </w:r>
    </w:p>
    <w:p>
      <w:r>
        <w:br w:type="page"/>
      </w:r>
    </w:p>
    <w:p>
      <w:pPr>
        <w:pStyle w:val="H2"/>
        <w:numPr>
          <w:ilvl w:val="1"/>
          <w:numId w:val="1"/>
        </w:numPr>
      </w:pPr>
      <w:r>
        <w:t>Licensing Model</w:t>
      </w:r>
    </w:p>
    <w:p>
      <w:pPr>
        <w:pStyle w:val="H3"/>
        <w:numPr>
          <w:ilvl w:val="2"/>
          <w:numId w:val="1"/>
        </w:numPr>
      </w:pPr>
      <w:r>
        <w:t>License Tiers</w:t>
      </w:r>
    </w:p>
    <w:p>
      <w:r>
        <w:rPr>
          <w:rFonts w:ascii="Figtree" w:hAnsi="Figtree"/>
          <w:b w:val="0"/>
          <w:i w:val="0"/>
          <w:sz w:val="22"/>
        </w:rPr>
        <w:t>DALP licensing is structured to match the operational model of the deploying institution. For Rain, the relevant tiers are:</w:t>
      </w:r>
    </w:p>
    <w:p>
      <w:r>
        <w:rPr>
          <w:rFonts w:ascii="Figtree" w:hAnsi="Figtree"/>
          <w:b/>
          <w:i w:val="0"/>
          <w:sz w:val="22"/>
        </w:rPr>
        <w:t>Foundation Tier:</w:t>
      </w:r>
      <w:r>
        <w:rPr>
          <w:rFonts w:ascii="Figtree" w:hAnsi="Figtree"/>
          <w:b w:val="0"/>
          <w:i w:val="0"/>
          <w:sz w:val="22"/>
        </w:rPr>
        <w:t xml:space="preserve"> Single production environment, standard support, limited implementation scope. Appropriate for institutions starting with a single asset class or limited user volume. Not recommended for Rain given the exchange scope and CBB requirements.</w:t>
      </w:r>
    </w:p>
    <w:p>
      <w:r>
        <w:rPr>
          <w:rFonts w:ascii="Figtree" w:hAnsi="Figtree"/>
          <w:b/>
          <w:i w:val="0"/>
          <w:sz w:val="22"/>
        </w:rPr>
        <w:t>Enterprise Tier:</w:t>
      </w:r>
      <w:r>
        <w:rPr>
          <w:rFonts w:ascii="Figtree" w:hAnsi="Figtree"/>
          <w:b w:val="0"/>
          <w:i w:val="0"/>
          <w:sz w:val="22"/>
        </w:rPr>
        <w:t xml:space="preserve"> Production and development environments, 24/5 support, dedicated technical account manager, standard implementation programme. Recommended for Rain's initial deployment phase.</w:t>
      </w:r>
    </w:p>
    <w:p>
      <w:r>
        <w:rPr>
          <w:rFonts w:ascii="Figtree" w:hAnsi="Figtree"/>
          <w:b/>
          <w:i w:val="0"/>
          <w:sz w:val="22"/>
        </w:rPr>
        <w:t>Sovereign Tier:</w:t>
      </w:r>
      <w:r>
        <w:rPr>
          <w:rFonts w:ascii="Figtree" w:hAnsi="Figtree"/>
          <w:b w:val="0"/>
          <w:i w:val="0"/>
          <w:sz w:val="22"/>
        </w:rPr>
        <w:t xml:space="preserve"> Multiple environments, 24/7 support, custom SLA terms, dedicated implementation team, priority product roadmap access. Appropriate if Rain's exchange volume or regulatory obligations escalate significantly.</w:t>
      </w:r>
    </w:p>
    <w:p>
      <w:pPr>
        <w:pStyle w:val="H3"/>
        <w:numPr>
          <w:ilvl w:val="2"/>
          <w:numId w:val="1"/>
        </w:numPr>
      </w:pPr>
      <w:r>
        <w:t>Environment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85"/>
        <w:gridCol w:w="4927"/>
        <w:gridCol w:w="265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License Type</w:t>
            </w:r>
          </w:p>
        </w:tc>
      </w:tr>
      <w:tr>
        <w:trPr>
          <w:trHeight w:val="425" w:hRule="atLeast"/>
        </w:trPr>
        <w:tc>
          <w:tcPr>
            <w:tcW w:type="dxa" w:w="3249"/>
            <w:vAlign w:val="center"/>
          </w:tcPr>
          <w:p>
            <w:pPr>
              <w:spacing w:line="276" w:lineRule="auto" w:before="0" w:after="0"/>
            </w:pPr>
            <w:r/>
            <w:r>
              <w:rPr>
                <w:rFonts w:ascii="Figtree" w:hAnsi="Figtree"/>
                <w:b w:val="0"/>
                <w:i w:val="0"/>
                <w:sz w:val="20"/>
              </w:rPr>
              <w:t>Production</w:t>
            </w:r>
          </w:p>
        </w:tc>
        <w:tc>
          <w:tcPr>
            <w:tcW w:type="dxa" w:w="3249"/>
            <w:vAlign w:val="center"/>
          </w:tcPr>
          <w:p>
            <w:pPr>
              <w:spacing w:line="276" w:lineRule="auto" w:before="0" w:after="0"/>
            </w:pPr>
            <w:r/>
            <w:r>
              <w:rPr>
                <w:rFonts w:ascii="Figtree" w:hAnsi="Figtree"/>
                <w:b w:val="0"/>
                <w:i w:val="0"/>
                <w:sz w:val="20"/>
              </w:rPr>
              <w:t>Live exchange operations</w:t>
            </w:r>
          </w:p>
        </w:tc>
        <w:tc>
          <w:tcPr>
            <w:tcW w:type="dxa" w:w="3249"/>
            <w:vAlign w:val="center"/>
          </w:tcPr>
          <w:p>
            <w:pPr>
              <w:spacing w:line="276" w:lineRule="auto" w:before="0" w:after="0"/>
            </w:pPr>
            <w:r/>
            <w:r>
              <w:rPr>
                <w:rFonts w:ascii="Figtree" w:hAnsi="Figtree"/>
                <w:b w:val="0"/>
                <w:i w:val="0"/>
                <w:sz w:val="20"/>
              </w:rPr>
              <w:t>Production License: €300,000/year</w:t>
            </w:r>
          </w:p>
        </w:tc>
      </w:tr>
      <w:tr>
        <w:trPr>
          <w:trHeight w:val="425" w:hRule="atLeast"/>
        </w:trPr>
        <w:tc>
          <w:tcPr>
            <w:tcW w:type="dxa" w:w="3249"/>
            <w:vAlign w:val="center"/>
          </w:tcPr>
          <w:p>
            <w:pPr>
              <w:spacing w:line="276" w:lineRule="auto" w:before="0" w:after="0"/>
            </w:pPr>
            <w:r/>
            <w:r>
              <w:rPr>
                <w:rFonts w:ascii="Figtree" w:hAnsi="Figtree"/>
                <w:b w:val="0"/>
                <w:i w:val="0"/>
                <w:sz w:val="20"/>
              </w:rPr>
              <w:t>Development/Staging</w:t>
            </w:r>
          </w:p>
        </w:tc>
        <w:tc>
          <w:tcPr>
            <w:tcW w:type="dxa" w:w="3249"/>
            <w:vAlign w:val="center"/>
          </w:tcPr>
          <w:p>
            <w:pPr>
              <w:spacing w:line="276" w:lineRule="auto" w:before="0" w:after="0"/>
            </w:pPr>
            <w:r/>
            <w:r>
              <w:rPr>
                <w:rFonts w:ascii="Figtree" w:hAnsi="Figtree"/>
                <w:b w:val="0"/>
                <w:i w:val="0"/>
                <w:sz w:val="20"/>
              </w:rPr>
              <w:t>Integration testing, compliance validation, new feature testing</w:t>
            </w:r>
          </w:p>
        </w:tc>
        <w:tc>
          <w:tcPr>
            <w:tcW w:type="dxa" w:w="3249"/>
            <w:vAlign w:val="center"/>
          </w:tcPr>
          <w:p>
            <w:pPr>
              <w:spacing w:line="276" w:lineRule="auto" w:before="0" w:after="0"/>
            </w:pPr>
            <w:r/>
            <w:r>
              <w:rPr>
                <w:rFonts w:ascii="Figtree" w:hAnsi="Figtree"/>
                <w:b w:val="0"/>
                <w:i w:val="0"/>
                <w:sz w:val="20"/>
              </w:rPr>
              <w:t>Development License: €120,000/year</w:t>
            </w:r>
          </w:p>
        </w:tc>
      </w:tr>
    </w:tbl>
    <w:p>
      <w:pPr>
        <w:spacing w:before="0" w:after="0" w:line="120" w:lineRule="exact"/>
      </w:pPr>
    </w:p>
    <w:p>
      <w:r>
        <w:rPr>
          <w:rFonts w:ascii="Figtree" w:hAnsi="Figtree"/>
          <w:b w:val="0"/>
          <w:i w:val="0"/>
          <w:sz w:val="22"/>
        </w:rPr>
        <w:t>A dedicated staging environment that mirrors production configuration is essential for Rain's operational model. CBB compliance updates, compliance module changes, and integration patches must be tested in a controlled environment before production deployment. The development license covers this requirement.</w:t>
      </w:r>
    </w:p>
    <w:p>
      <w:r>
        <w:br w:type="page"/>
      </w:r>
    </w:p>
    <w:p>
      <w:pPr>
        <w:pStyle w:val="H2"/>
        <w:numPr>
          <w:ilvl w:val="1"/>
          <w:numId w:val="1"/>
        </w:numPr>
      </w:pPr>
      <w:r>
        <w:t>Pricing Structure</w:t>
      </w:r>
    </w:p>
    <w:p>
      <w:pPr>
        <w:pStyle w:val="H3"/>
        <w:numPr>
          <w:ilvl w:val="2"/>
          <w:numId w:val="1"/>
        </w:numPr>
      </w:pPr>
      <w:r>
        <w:t>Platform License Fees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685"/>
        <w:gridCol w:w="2551"/>
        <w:gridCol w:w="283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License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 Equivalent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Fee (upfront)</w:t>
            </w:r>
          </w:p>
        </w:tc>
      </w:tr>
      <w:tr>
        <w:trPr>
          <w:trHeight w:val="425" w:hRule="atLeast"/>
        </w:trPr>
        <w:tc>
          <w:tcPr>
            <w:tcW w:type="dxa" w:w="3249"/>
            <w:vAlign w:val="center"/>
          </w:tcPr>
          <w:p>
            <w:pPr>
              <w:spacing w:line="276" w:lineRule="auto" w:before="0" w:after="0"/>
            </w:pPr>
            <w:r/>
            <w:r>
              <w:rPr>
                <w:rFonts w:ascii="Figtree" w:hAnsi="Figtree"/>
                <w:b w:val="0"/>
                <w:i w:val="0"/>
                <w:sz w:val="20"/>
              </w:rPr>
              <w:t>Production License</w:t>
            </w:r>
          </w:p>
        </w:tc>
        <w:tc>
          <w:tcPr>
            <w:tcW w:type="dxa" w:w="3249"/>
            <w:vAlign w:val="center"/>
          </w:tcPr>
          <w:p>
            <w:pPr>
              <w:spacing w:line="276" w:lineRule="auto" w:before="0" w:after="0"/>
            </w:pPr>
            <w:r/>
            <w:r>
              <w:rPr>
                <w:rFonts w:ascii="Figtree" w:hAnsi="Figtree"/>
                <w:b w:val="0"/>
                <w:i w:val="0"/>
                <w:sz w:val="20"/>
              </w:rPr>
              <w:t>€25,000/month</w:t>
            </w:r>
          </w:p>
        </w:tc>
        <w:tc>
          <w:tcPr>
            <w:tcW w:type="dxa" w:w="3249"/>
            <w:vAlign w:val="center"/>
          </w:tcPr>
          <w:p>
            <w:pPr>
              <w:spacing w:line="276" w:lineRule="auto" w:before="0" w:after="0"/>
            </w:pPr>
            <w:r/>
            <w:r>
              <w:rPr>
                <w:rFonts w:ascii="Figtree" w:hAnsi="Figtree"/>
                <w:b w:val="0"/>
                <w:i w:val="0"/>
                <w:sz w:val="20"/>
              </w:rPr>
              <w:t>€300,000/year</w:t>
            </w:r>
          </w:p>
        </w:tc>
      </w:tr>
      <w:tr>
        <w:trPr>
          <w:trHeight w:val="425" w:hRule="atLeast"/>
        </w:trPr>
        <w:tc>
          <w:tcPr>
            <w:tcW w:type="dxa" w:w="3249"/>
            <w:vAlign w:val="center"/>
          </w:tcPr>
          <w:p>
            <w:pPr>
              <w:spacing w:line="276" w:lineRule="auto" w:before="0" w:after="0"/>
            </w:pPr>
            <w:r/>
            <w:r>
              <w:rPr>
                <w:rFonts w:ascii="Figtree" w:hAnsi="Figtree"/>
                <w:b w:val="0"/>
                <w:i w:val="0"/>
                <w:sz w:val="20"/>
              </w:rPr>
              <w:t>Development License</w:t>
            </w:r>
          </w:p>
        </w:tc>
        <w:tc>
          <w:tcPr>
            <w:tcW w:type="dxa" w:w="3249"/>
            <w:vAlign w:val="center"/>
          </w:tcPr>
          <w:p>
            <w:pPr>
              <w:spacing w:line="276" w:lineRule="auto" w:before="0" w:after="0"/>
            </w:pPr>
            <w:r/>
            <w:r>
              <w:rPr>
                <w:rFonts w:ascii="Figtree" w:hAnsi="Figtree"/>
                <w:b w:val="0"/>
                <w:i w:val="0"/>
                <w:sz w:val="20"/>
              </w:rPr>
              <w:t>€10,000/month</w:t>
            </w:r>
          </w:p>
        </w:tc>
        <w:tc>
          <w:tcPr>
            <w:tcW w:type="dxa" w:w="3249"/>
            <w:vAlign w:val="center"/>
          </w:tcPr>
          <w:p>
            <w:pPr>
              <w:spacing w:line="276" w:lineRule="auto" w:before="0" w:after="0"/>
            </w:pPr>
            <w:r/>
            <w:r>
              <w:rPr>
                <w:rFonts w:ascii="Figtree" w:hAnsi="Figtree"/>
                <w:b w:val="0"/>
                <w:i w:val="0"/>
                <w:sz w:val="20"/>
              </w:rPr>
              <w:t>€120,000/year</w:t>
            </w:r>
          </w:p>
        </w:tc>
      </w:tr>
      <w:tr>
        <w:trPr>
          <w:trHeight w:val="425" w:hRule="atLeast"/>
        </w:trPr>
        <w:tc>
          <w:tcPr>
            <w:tcW w:type="dxa" w:w="3249"/>
            <w:vAlign w:val="center"/>
          </w:tcPr>
          <w:p>
            <w:pPr>
              <w:spacing w:line="276" w:lineRule="auto" w:before="0" w:after="0"/>
            </w:pPr>
            <w:r/>
            <w:r>
              <w:rPr>
                <w:rFonts w:ascii="Figtree" w:hAnsi="Figtree"/>
                <w:b/>
                <w:i w:val="0"/>
                <w:sz w:val="20"/>
              </w:rPr>
              <w:t>Combined (Recommended)</w:t>
            </w:r>
          </w:p>
        </w:tc>
        <w:tc>
          <w:tcPr>
            <w:tcW w:type="dxa" w:w="3249"/>
            <w:vAlign w:val="center"/>
          </w:tcPr>
          <w:p>
            <w:pPr>
              <w:spacing w:line="276" w:lineRule="auto" w:before="0" w:after="0"/>
            </w:pPr>
            <w:r/>
            <w:r>
              <w:rPr>
                <w:rFonts w:ascii="Figtree" w:hAnsi="Figtree"/>
                <w:b/>
                <w:i w:val="0"/>
                <w:sz w:val="20"/>
              </w:rPr>
              <w:t>€35,000/month</w:t>
            </w:r>
          </w:p>
        </w:tc>
        <w:tc>
          <w:tcPr>
            <w:tcW w:type="dxa" w:w="3249"/>
            <w:vAlign w:val="center"/>
          </w:tcPr>
          <w:p>
            <w:pPr>
              <w:spacing w:line="276" w:lineRule="auto" w:before="0" w:after="0"/>
            </w:pPr>
            <w:r/>
            <w:r>
              <w:rPr>
                <w:rFonts w:ascii="Figtree" w:hAnsi="Figtree"/>
                <w:b/>
                <w:i w:val="0"/>
                <w:sz w:val="20"/>
              </w:rPr>
              <w:t>€420,000/year</w:t>
            </w:r>
          </w:p>
        </w:tc>
      </w:tr>
    </w:tbl>
    <w:p>
      <w:pPr>
        <w:spacing w:before="0" w:after="0" w:line="120" w:lineRule="exact"/>
      </w:pPr>
    </w:p>
    <w:p>
      <w:r>
        <w:rPr>
          <w:rFonts w:ascii="Figtree" w:hAnsi="Figtree"/>
          <w:b/>
          <w:i w:val="0"/>
          <w:sz w:val="22"/>
        </w:rPr>
        <w:t>All prices exclude applicable taxes and VAT.</w:t>
      </w:r>
      <w:r>
        <w:rPr>
          <w:rFonts w:ascii="Figtree" w:hAnsi="Figtree"/>
          <w:b w:val="0"/>
          <w:i w:val="0"/>
          <w:sz w:val="22"/>
        </w:rPr>
        <w:t xml:space="preserve"> Taxes are applied separately based on Rain's jurisdiction and applicable tax treaties between Bahrain and Belgium.</w:t>
      </w:r>
    </w:p>
    <w:p>
      <w:r>
        <w:rPr>
          <w:rFonts w:ascii="Figtree" w:hAnsi="Figtree"/>
          <w:b/>
          <w:i w:val="0"/>
          <w:sz w:val="22"/>
        </w:rPr>
        <w:t>Payment terms:</w:t>
      </w:r>
      <w:r>
        <w:rPr>
          <w:rFonts w:ascii="Figtree" w:hAnsi="Figtree"/>
          <w:b w:val="0"/>
          <w:i w:val="0"/>
          <w:sz w:val="22"/>
        </w:rPr>
        <w:t xml:space="preserve"> Annual, upfront. No monthly payment option is available.</w:t>
      </w:r>
    </w:p>
    <w:p>
      <w:pPr>
        <w:pStyle w:val="H3"/>
        <w:numPr>
          <w:ilvl w:val="2"/>
          <w:numId w:val="1"/>
        </w:numPr>
      </w:pPr>
      <w:r>
        <w:t>Infrastructure Costs</w:t>
      </w:r>
    </w:p>
    <w:p>
      <w:r>
        <w:rPr>
          <w:rFonts w:ascii="Figtree" w:hAnsi="Figtree"/>
          <w:b w:val="0"/>
          <w:i w:val="0"/>
          <w:sz w:val="22"/>
        </w:rPr>
        <w:t>DALP platform licensing covers the application layer. Infrastructure costs depend on Rain's deployment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79"/>
        <w:gridCol w:w="2579"/>
        <w:gridCol w:w="311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Deployment Model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Infrastructure Responsibility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Cost Treatment</w:t>
            </w:r>
          </w:p>
        </w:tc>
      </w:tr>
      <w:tr>
        <w:trPr>
          <w:trHeight w:val="425" w:hRule="atLeast"/>
        </w:trPr>
        <w:tc>
          <w:tcPr>
            <w:tcW w:type="dxa" w:w="3249"/>
            <w:vAlign w:val="center"/>
          </w:tcPr>
          <w:p>
            <w:pPr>
              <w:spacing w:line="276" w:lineRule="auto" w:before="0" w:after="0"/>
            </w:pPr>
            <w:r/>
            <w:r>
              <w:rPr>
                <w:rFonts w:ascii="Figtree" w:hAnsi="Figtree"/>
                <w:b w:val="0"/>
                <w:i w:val="0"/>
                <w:sz w:val="20"/>
              </w:rPr>
              <w:t>Cloud-managed (SettleMint-hosted)</w:t>
            </w:r>
          </w:p>
        </w:tc>
        <w:tc>
          <w:tcPr>
            <w:tcW w:type="dxa" w:w="3249"/>
            <w:vAlign w:val="center"/>
          </w:tcPr>
          <w:p>
            <w:pPr>
              <w:spacing w:line="276" w:lineRule="auto" w:before="0" w:after="0"/>
            </w:pPr>
            <w:r/>
            <w:r>
              <w:rPr>
                <w:rFonts w:ascii="Figtree" w:hAnsi="Figtree"/>
                <w:b w:val="0"/>
                <w:i w:val="0"/>
                <w:sz w:val="20"/>
              </w:rPr>
              <w:t>SettleMint</w:t>
            </w:r>
          </w:p>
        </w:tc>
        <w:tc>
          <w:tcPr>
            <w:tcW w:type="dxa" w:w="3249"/>
            <w:vAlign w:val="center"/>
          </w:tcPr>
          <w:p>
            <w:pPr>
              <w:spacing w:line="276" w:lineRule="auto" w:before="0" w:after="0"/>
            </w:pPr>
            <w:r/>
            <w:r>
              <w:rPr>
                <w:rFonts w:ascii="Figtree" w:hAnsi="Figtree"/>
                <w:b w:val="0"/>
                <w:i w:val="0"/>
                <w:sz w:val="20"/>
              </w:rPr>
              <w:t>Pass-through at cost, not marked up</w:t>
            </w:r>
          </w:p>
        </w:tc>
      </w:tr>
      <w:tr>
        <w:trPr>
          <w:trHeight w:val="425" w:hRule="atLeast"/>
        </w:trPr>
        <w:tc>
          <w:tcPr>
            <w:tcW w:type="dxa" w:w="3249"/>
            <w:vAlign w:val="center"/>
          </w:tcPr>
          <w:p>
            <w:pPr>
              <w:spacing w:line="276" w:lineRule="auto" w:before="0" w:after="0"/>
            </w:pPr>
            <w:r/>
            <w:r>
              <w:rPr>
                <w:rFonts w:ascii="Figtree" w:hAnsi="Figtree"/>
                <w:b w:val="0"/>
                <w:i w:val="0"/>
                <w:sz w:val="20"/>
              </w:rPr>
              <w:t>Cloud self-hosted (Rain-managed cloud)</w:t>
            </w:r>
          </w:p>
        </w:tc>
        <w:tc>
          <w:tcPr>
            <w:tcW w:type="dxa" w:w="3249"/>
            <w:vAlign w:val="center"/>
          </w:tcPr>
          <w:p>
            <w:pPr>
              <w:spacing w:line="276" w:lineRule="auto" w:before="0" w:after="0"/>
            </w:pPr>
            <w:r/>
            <w:r>
              <w:rPr>
                <w:rFonts w:ascii="Figtree" w:hAnsi="Figtree"/>
                <w:b w:val="0"/>
                <w:i w:val="0"/>
                <w:sz w:val="20"/>
              </w:rPr>
              <w:t>Rain</w:t>
            </w:r>
          </w:p>
        </w:tc>
        <w:tc>
          <w:tcPr>
            <w:tcW w:type="dxa" w:w="3249"/>
            <w:vAlign w:val="center"/>
          </w:tcPr>
          <w:p>
            <w:pPr>
              <w:spacing w:line="276" w:lineRule="auto" w:before="0" w:after="0"/>
            </w:pPr>
            <w:r/>
            <w:r>
              <w:rPr>
                <w:rFonts w:ascii="Figtree" w:hAnsi="Figtree"/>
                <w:b w:val="0"/>
                <w:i w:val="0"/>
                <w:sz w:val="20"/>
              </w:rPr>
              <w:t>Rain bears cost directly</w:t>
            </w:r>
          </w:p>
        </w:tc>
      </w:tr>
      <w:tr>
        <w:trPr>
          <w:trHeight w:val="425" w:hRule="atLeast"/>
        </w:trPr>
        <w:tc>
          <w:tcPr>
            <w:tcW w:type="dxa" w:w="3249"/>
            <w:vAlign w:val="center"/>
          </w:tcPr>
          <w:p>
            <w:pPr>
              <w:spacing w:line="276" w:lineRule="auto" w:before="0" w:after="0"/>
            </w:pPr>
            <w:r/>
            <w:r>
              <w:rPr>
                <w:rFonts w:ascii="Figtree" w:hAnsi="Figtree"/>
                <w:b w:val="0"/>
                <w:i w:val="0"/>
                <w:sz w:val="20"/>
              </w:rPr>
              <w:t>On-premises</w:t>
            </w:r>
          </w:p>
        </w:tc>
        <w:tc>
          <w:tcPr>
            <w:tcW w:type="dxa" w:w="3249"/>
            <w:vAlign w:val="center"/>
          </w:tcPr>
          <w:p>
            <w:pPr>
              <w:spacing w:line="276" w:lineRule="auto" w:before="0" w:after="0"/>
            </w:pPr>
            <w:r/>
            <w:r>
              <w:rPr>
                <w:rFonts w:ascii="Figtree" w:hAnsi="Figtree"/>
                <w:b w:val="0"/>
                <w:i w:val="0"/>
                <w:sz w:val="20"/>
              </w:rPr>
              <w:t>Rain</w:t>
            </w:r>
          </w:p>
        </w:tc>
        <w:tc>
          <w:tcPr>
            <w:tcW w:type="dxa" w:w="3249"/>
            <w:vAlign w:val="center"/>
          </w:tcPr>
          <w:p>
            <w:pPr>
              <w:spacing w:line="276" w:lineRule="auto" w:before="0" w:after="0"/>
            </w:pPr>
            <w:r/>
            <w:r>
              <w:rPr>
                <w:rFonts w:ascii="Figtree" w:hAnsi="Figtree"/>
                <w:b w:val="0"/>
                <w:i w:val="0"/>
                <w:sz w:val="20"/>
              </w:rPr>
              <w:t>Rain bears cost entirely</w:t>
            </w:r>
          </w:p>
        </w:tc>
      </w:tr>
    </w:tbl>
    <w:p>
      <w:pPr>
        <w:spacing w:before="0" w:after="0" w:line="120" w:lineRule="exact"/>
      </w:pPr>
    </w:p>
    <w:p>
      <w:r>
        <w:rPr>
          <w:rFonts w:ascii="Figtree" w:hAnsi="Figtree"/>
          <w:b w:val="0"/>
          <w:i w:val="0"/>
          <w:sz w:val="22"/>
        </w:rPr>
        <w:t>For Rain's exchange operations, cloud-managed deployment is recommended for Phase 1 to minimize operational overhead during the critical launch period. Rain can migrate to self-hosted cloud or on-premises as the operational team matures.</w:t>
      </w:r>
    </w:p>
    <w:p>
      <w:pPr>
        <w:pStyle w:val="H3"/>
        <w:numPr>
          <w:ilvl w:val="2"/>
          <w:numId w:val="1"/>
        </w:numPr>
      </w:pPr>
      <w:r>
        <w:t>Custody Provider Costs</w:t>
      </w:r>
    </w:p>
    <w:p>
      <w:r>
        <w:rPr>
          <w:rFonts w:ascii="Figtree" w:hAnsi="Figtree"/>
          <w:b w:val="0"/>
          <w:i w:val="0"/>
          <w:sz w:val="22"/>
        </w:rPr>
        <w:t>Fireblocks or DFNS integration costs are not included in the DALP license fee. These are direct commercial relationships between Rain and the custody provider. SettleMint facilitates the integration but does not intermediate the commercial relationship.</w:t>
      </w:r>
    </w:p>
    <w:p>
      <w:r>
        <w:br w:type="page"/>
      </w:r>
    </w:p>
    <w:p>
      <w:pPr>
        <w:pStyle w:val="H2"/>
        <w:numPr>
          <w:ilvl w:val="1"/>
          <w:numId w:val="1"/>
        </w:numPr>
      </w:pPr>
      <w:r>
        <w:t>Implementation Costs</w:t>
      </w:r>
    </w:p>
    <w:p>
      <w:r>
        <w:rPr>
          <w:rFonts w:ascii="Figtree" w:hAnsi="Figtree"/>
          <w:b w:val="0"/>
          <w:i w:val="0"/>
          <w:sz w:val="22"/>
        </w:rPr>
        <w:t>Implementation services cover the 24-week programme described in the technical proposal. The programme includes:</w:t>
      </w:r>
    </w:p>
    <w:p>
      <w:pPr>
        <w:pStyle w:val="ListParagraph"/>
        <w:numPr>
          <w:ilvl w:val="0"/>
          <w:numId w:val="4"/>
        </w:numPr>
      </w:pPr>
      <w:r>
        <w:rPr>
          <w:rFonts w:ascii="Figtree" w:hAnsi="Figtree"/>
          <w:b w:val="0"/>
          <w:i w:val="0"/>
          <w:sz w:val="22"/>
        </w:rPr>
        <w:t>Platform deployment and configuration (Phases 1-2)</w:t>
      </w:r>
    </w:p>
    <w:p>
      <w:pPr>
        <w:pStyle w:val="ListParagraph"/>
        <w:numPr>
          <w:ilvl w:val="0"/>
          <w:numId w:val="4"/>
        </w:numPr>
      </w:pPr>
      <w:r>
        <w:rPr>
          <w:rFonts w:ascii="Figtree" w:hAnsi="Figtree"/>
          <w:b w:val="0"/>
          <w:i w:val="0"/>
          <w:sz w:val="22"/>
        </w:rPr>
        <w:t>KYC/AML and payment integration (Phase 2)</w:t>
      </w:r>
    </w:p>
    <w:p>
      <w:pPr>
        <w:pStyle w:val="ListParagraph"/>
        <w:numPr>
          <w:ilvl w:val="0"/>
          <w:numId w:val="4"/>
        </w:numPr>
      </w:pPr>
      <w:r>
        <w:rPr>
          <w:rFonts w:ascii="Figtree" w:hAnsi="Figtree"/>
          <w:b w:val="0"/>
          <w:i w:val="0"/>
          <w:sz w:val="22"/>
        </w:rPr>
        <w:t>Settlement validation and reconciliation testing (Phase 3)</w:t>
      </w:r>
    </w:p>
    <w:p>
      <w:pPr>
        <w:pStyle w:val="ListParagraph"/>
        <w:numPr>
          <w:ilvl w:val="0"/>
          <w:numId w:val="4"/>
        </w:numPr>
      </w:pPr>
      <w:r>
        <w:rPr>
          <w:rFonts w:ascii="Figtree" w:hAnsi="Figtree"/>
          <w:b w:val="0"/>
          <w:i w:val="0"/>
          <w:sz w:val="22"/>
        </w:rPr>
        <w:t>Security review, go-live preparation, and hypercare (Phase 4)</w:t>
      </w:r>
    </w:p>
    <w:p>
      <w:r>
        <w:rPr>
          <w:rFonts w:ascii="Figtree" w:hAnsi="Figtree"/>
          <w:b/>
          <w:i w:val="0"/>
          <w:sz w:val="22"/>
        </w:rPr>
        <w:t>Implementation cost:</w:t>
      </w:r>
      <w:r>
        <w:rPr>
          <w:rFonts w:ascii="Figtree" w:hAnsi="Figtree"/>
          <w:b w:val="0"/>
          <w:i w:val="0"/>
          <w:sz w:val="22"/>
        </w:rPr>
        <w:t xml:space="preserve"> [CLIENT-SPECIFIC - scoped and fixed at contract signature based on confirmed integration scope, Rain's internal team involvement, and deployment model selection]</w:t>
      </w:r>
    </w:p>
    <w:p>
      <w:r>
        <w:rPr>
          <w:rFonts w:ascii="Figtree" w:hAnsi="Figtree"/>
          <w:b w:val="0"/>
          <w:i w:val="0"/>
          <w:sz w:val="22"/>
        </w:rPr>
        <w:t>Implementation cost components include: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11"/>
        <w:gridCol w:w="606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Service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Platform architecture and setup</w:t>
            </w:r>
          </w:p>
        </w:tc>
        <w:tc>
          <w:tcPr>
            <w:tcW w:type="dxa" w:w="4873"/>
            <w:vAlign w:val="center"/>
          </w:tcPr>
          <w:p>
            <w:pPr>
              <w:spacing w:line="276" w:lineRule="auto" w:before="0" w:after="0"/>
            </w:pPr>
            <w:r/>
            <w:r>
              <w:rPr>
                <w:rFonts w:ascii="Figtree" w:hAnsi="Figtree"/>
                <w:b w:val="0"/>
                <w:i w:val="0"/>
                <w:sz w:val="20"/>
              </w:rPr>
              <w:t>Environment configuration, network setup, smart contract deployment</w:t>
            </w:r>
          </w:p>
        </w:tc>
      </w:tr>
      <w:tr>
        <w:trPr>
          <w:trHeight w:val="425" w:hRule="atLeast"/>
        </w:trPr>
        <w:tc>
          <w:tcPr>
            <w:tcW w:type="dxa" w:w="4873"/>
            <w:vAlign w:val="center"/>
          </w:tcPr>
          <w:p>
            <w:pPr>
              <w:spacing w:line="276" w:lineRule="auto" w:before="0" w:after="0"/>
            </w:pPr>
            <w:r/>
            <w:r>
              <w:rPr>
                <w:rFonts w:ascii="Figtree" w:hAnsi="Figtree"/>
                <w:b w:val="0"/>
                <w:i w:val="0"/>
                <w:sz w:val="20"/>
              </w:rPr>
              <w:t>Integration engineering</w:t>
            </w:r>
          </w:p>
        </w:tc>
        <w:tc>
          <w:tcPr>
            <w:tcW w:type="dxa" w:w="4873"/>
            <w:vAlign w:val="center"/>
          </w:tcPr>
          <w:p>
            <w:pPr>
              <w:spacing w:line="276" w:lineRule="auto" w:before="0" w:after="0"/>
            </w:pPr>
            <w:r/>
            <w:r>
              <w:rPr>
                <w:rFonts w:ascii="Figtree" w:hAnsi="Figtree"/>
                <w:b w:val="0"/>
                <w:i w:val="0"/>
                <w:sz w:val="20"/>
              </w:rPr>
              <w:t>API integration to Rain's KYC, AML, payment, and reporting systems</w:t>
            </w:r>
          </w:p>
        </w:tc>
      </w:tr>
      <w:tr>
        <w:trPr>
          <w:trHeight w:val="425" w:hRule="atLeast"/>
        </w:trPr>
        <w:tc>
          <w:tcPr>
            <w:tcW w:type="dxa" w:w="4873"/>
            <w:vAlign w:val="center"/>
          </w:tcPr>
          <w:p>
            <w:pPr>
              <w:spacing w:line="276" w:lineRule="auto" w:before="0" w:after="0"/>
            </w:pPr>
            <w:r/>
            <w:r>
              <w:rPr>
                <w:rFonts w:ascii="Figtree" w:hAnsi="Figtree"/>
                <w:b w:val="0"/>
                <w:i w:val="0"/>
                <w:sz w:val="20"/>
              </w:rPr>
              <w:t>Compliance module configuration</w:t>
            </w:r>
          </w:p>
        </w:tc>
        <w:tc>
          <w:tcPr>
            <w:tcW w:type="dxa" w:w="4873"/>
            <w:vAlign w:val="center"/>
          </w:tcPr>
          <w:p>
            <w:pPr>
              <w:spacing w:line="276" w:lineRule="auto" w:before="0" w:after="0"/>
            </w:pPr>
            <w:r/>
            <w:r>
              <w:rPr>
                <w:rFonts w:ascii="Figtree" w:hAnsi="Figtree"/>
                <w:b w:val="0"/>
                <w:i w:val="0"/>
                <w:sz w:val="20"/>
              </w:rPr>
              <w:t>Module selection, parameter configuration, test case development</w:t>
            </w:r>
          </w:p>
        </w:tc>
      </w:tr>
      <w:tr>
        <w:trPr>
          <w:trHeight w:val="425" w:hRule="atLeast"/>
        </w:trPr>
        <w:tc>
          <w:tcPr>
            <w:tcW w:type="dxa" w:w="4873"/>
            <w:vAlign w:val="center"/>
          </w:tcPr>
          <w:p>
            <w:pPr>
              <w:spacing w:line="276" w:lineRule="auto" w:before="0" w:after="0"/>
            </w:pPr>
            <w:r/>
            <w:r>
              <w:rPr>
                <w:rFonts w:ascii="Figtree" w:hAnsi="Figtree"/>
                <w:b w:val="0"/>
                <w:i w:val="0"/>
                <w:sz w:val="20"/>
              </w:rPr>
              <w:t>Settlement validation</w:t>
            </w:r>
          </w:p>
        </w:tc>
        <w:tc>
          <w:tcPr>
            <w:tcW w:type="dxa" w:w="4873"/>
            <w:vAlign w:val="center"/>
          </w:tcPr>
          <w:p>
            <w:pPr>
              <w:spacing w:line="276" w:lineRule="auto" w:before="0" w:after="0"/>
            </w:pPr>
            <w:r/>
            <w:r>
              <w:rPr>
                <w:rFonts w:ascii="Figtree" w:hAnsi="Figtree"/>
                <w:b w:val="0"/>
                <w:i w:val="0"/>
                <w:sz w:val="20"/>
              </w:rPr>
              <w:t>DvP test suite execution, reconciliation procedure validation</w:t>
            </w:r>
          </w:p>
        </w:tc>
      </w:tr>
      <w:tr>
        <w:trPr>
          <w:trHeight w:val="425" w:hRule="atLeast"/>
        </w:trPr>
        <w:tc>
          <w:tcPr>
            <w:tcW w:type="dxa" w:w="4873"/>
            <w:vAlign w:val="center"/>
          </w:tcPr>
          <w:p>
            <w:pPr>
              <w:spacing w:line="276" w:lineRule="auto" w:before="0" w:after="0"/>
            </w:pPr>
            <w:r/>
            <w:r>
              <w:rPr>
                <w:rFonts w:ascii="Figtree" w:hAnsi="Figtree"/>
                <w:b w:val="0"/>
                <w:i w:val="0"/>
                <w:sz w:val="20"/>
              </w:rPr>
              <w:t>Security review support</w:t>
            </w:r>
          </w:p>
        </w:tc>
        <w:tc>
          <w:tcPr>
            <w:tcW w:type="dxa" w:w="4873"/>
            <w:vAlign w:val="center"/>
          </w:tcPr>
          <w:p>
            <w:pPr>
              <w:spacing w:line="276" w:lineRule="auto" w:before="0" w:after="0"/>
            </w:pPr>
            <w:r/>
            <w:r>
              <w:rPr>
                <w:rFonts w:ascii="Figtree" w:hAnsi="Figtree"/>
                <w:b w:val="0"/>
                <w:i w:val="0"/>
                <w:sz w:val="20"/>
              </w:rPr>
              <w:t>Penetration test preparation, security questionnaire completion</w:t>
            </w:r>
          </w:p>
        </w:tc>
      </w:tr>
      <w:tr>
        <w:trPr>
          <w:trHeight w:val="425" w:hRule="atLeast"/>
        </w:trPr>
        <w:tc>
          <w:tcPr>
            <w:tcW w:type="dxa" w:w="4873"/>
            <w:vAlign w:val="center"/>
          </w:tcPr>
          <w:p>
            <w:pPr>
              <w:spacing w:line="276" w:lineRule="auto" w:before="0" w:after="0"/>
            </w:pPr>
            <w:r/>
            <w:r>
              <w:rPr>
                <w:rFonts w:ascii="Figtree" w:hAnsi="Figtree"/>
                <w:b w:val="0"/>
                <w:i w:val="0"/>
                <w:sz w:val="20"/>
              </w:rPr>
              <w:t>Go-live and hypercare</w:t>
            </w:r>
          </w:p>
        </w:tc>
        <w:tc>
          <w:tcPr>
            <w:tcW w:type="dxa" w:w="4873"/>
            <w:vAlign w:val="center"/>
          </w:tcPr>
          <w:p>
            <w:pPr>
              <w:spacing w:line="276" w:lineRule="auto" w:before="0" w:after="0"/>
            </w:pPr>
            <w:r/>
            <w:r>
              <w:rPr>
                <w:rFonts w:ascii="Figtree" w:hAnsi="Figtree"/>
                <w:b w:val="0"/>
                <w:i w:val="0"/>
                <w:sz w:val="20"/>
              </w:rPr>
              <w:t>Production deployment, first-month monitoring, issue resolution</w:t>
            </w:r>
          </w:p>
        </w:tc>
      </w:tr>
      <w:tr>
        <w:trPr>
          <w:trHeight w:val="425" w:hRule="atLeast"/>
        </w:trPr>
        <w:tc>
          <w:tcPr>
            <w:tcW w:type="dxa" w:w="4873"/>
            <w:vAlign w:val="center"/>
          </w:tcPr>
          <w:p>
            <w:pPr>
              <w:spacing w:line="276" w:lineRule="auto" w:before="0" w:after="0"/>
            </w:pPr>
            <w:r/>
            <w:r>
              <w:rPr>
                <w:rFonts w:ascii="Figtree" w:hAnsi="Figtree"/>
                <w:b w:val="0"/>
                <w:i w:val="0"/>
                <w:sz w:val="20"/>
              </w:rPr>
              <w:t>Documentation</w:t>
            </w:r>
          </w:p>
        </w:tc>
        <w:tc>
          <w:tcPr>
            <w:tcW w:type="dxa" w:w="4873"/>
            <w:vAlign w:val="center"/>
          </w:tcPr>
          <w:p>
            <w:pPr>
              <w:spacing w:line="276" w:lineRule="auto" w:before="0" w:after="0"/>
            </w:pPr>
            <w:r/>
            <w:r>
              <w:rPr>
                <w:rFonts w:ascii="Figtree" w:hAnsi="Figtree"/>
                <w:b w:val="0"/>
                <w:i w:val="0"/>
                <w:sz w:val="20"/>
              </w:rPr>
              <w:t>Technical runbooks, operational procedures, regulatory evidence templates</w:t>
            </w:r>
          </w:p>
        </w:tc>
      </w:tr>
    </w:tbl>
    <w:p>
      <w:pPr>
        <w:spacing w:before="0" w:after="0" w:line="120" w:lineRule="exact"/>
      </w:pPr>
    </w:p>
    <w:p>
      <w:r>
        <w:rPr>
          <w:rFonts w:ascii="Figtree" w:hAnsi="Figtree"/>
          <w:b w:val="0"/>
          <w:i w:val="0"/>
          <w:sz w:val="22"/>
        </w:rPr>
        <w:t>Implementation is time-and-materials within a fixed budget envelope established at contract signature. Scope changes outside the agreed programme are separately priced.</w:t>
      </w:r>
    </w:p>
    <w:p>
      <w:r>
        <w:br w:type="page"/>
      </w:r>
    </w:p>
    <w:p>
      <w:pPr>
        <w:pStyle w:val="H2"/>
        <w:numPr>
          <w:ilvl w:val="1"/>
          <w:numId w:val="1"/>
        </w:numPr>
      </w:pPr>
      <w:r>
        <w:t>Support and Maintenance</w:t>
      </w:r>
    </w:p>
    <w:p>
      <w:pPr>
        <w:pStyle w:val="H3"/>
        <w:numPr>
          <w:ilvl w:val="2"/>
          <w:numId w:val="1"/>
        </w:numPr>
      </w:pPr>
      <w:r>
        <w:t>Enterprise Support Package</w:t>
      </w:r>
    </w:p>
    <w:p>
      <w:r>
        <w:rPr>
          <w:rFonts w:ascii="Figtree" w:hAnsi="Figtree"/>
          <w:b w:val="0"/>
          <w:i w:val="0"/>
          <w:sz w:val="22"/>
        </w:rPr>
        <w:t>Rain's CBB license requires operational resilience that standard business-hours support cannot meet. Enterprise support provides: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628"/>
        <w:gridCol w:w="544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Tier</w:t>
            </w:r>
          </w:p>
        </w:tc>
      </w:tr>
      <w:tr>
        <w:trPr>
          <w:trHeight w:val="425" w:hRule="atLeast"/>
        </w:trPr>
        <w:tc>
          <w:tcPr>
            <w:tcW w:type="dxa" w:w="4873"/>
            <w:vAlign w:val="center"/>
          </w:tcPr>
          <w:p>
            <w:pPr>
              <w:spacing w:line="276" w:lineRule="auto" w:before="0" w:after="0"/>
            </w:pPr>
            <w:r/>
            <w:r>
              <w:rPr>
                <w:rFonts w:ascii="Figtree" w:hAnsi="Figtree"/>
                <w:b w:val="0"/>
                <w:i w:val="0"/>
                <w:sz w:val="20"/>
              </w:rPr>
              <w:t>Availability</w:t>
            </w:r>
          </w:p>
        </w:tc>
        <w:tc>
          <w:tcPr>
            <w:tcW w:type="dxa" w:w="4873"/>
            <w:vAlign w:val="center"/>
          </w:tcPr>
          <w:p>
            <w:pPr>
              <w:spacing w:line="276" w:lineRule="auto" w:before="0" w:after="0"/>
            </w:pPr>
            <w:r/>
            <w:r>
              <w:rPr>
                <w:rFonts w:ascii="Figtree" w:hAnsi="Figtree"/>
                <w:b w:val="0"/>
                <w:i w:val="0"/>
                <w:sz w:val="20"/>
              </w:rPr>
              <w:t>24/5 (weekdays)</w:t>
            </w:r>
          </w:p>
        </w:tc>
      </w:tr>
      <w:tr>
        <w:trPr>
          <w:trHeight w:val="425" w:hRule="atLeast"/>
        </w:trPr>
        <w:tc>
          <w:tcPr>
            <w:tcW w:type="dxa" w:w="4873"/>
            <w:vAlign w:val="center"/>
          </w:tcPr>
          <w:p>
            <w:pPr>
              <w:spacing w:line="276" w:lineRule="auto" w:before="0" w:after="0"/>
            </w:pPr>
            <w:r/>
            <w:r>
              <w:rPr>
                <w:rFonts w:ascii="Figtree" w:hAnsi="Figtree"/>
                <w:b w:val="0"/>
                <w:i w:val="0"/>
                <w:sz w:val="20"/>
              </w:rPr>
              <w:t>Critical incident response</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Standard issue response</w:t>
            </w:r>
          </w:p>
        </w:tc>
        <w:tc>
          <w:tcPr>
            <w:tcW w:type="dxa" w:w="4873"/>
            <w:vAlign w:val="center"/>
          </w:tcPr>
          <w:p>
            <w:pPr>
              <w:spacing w:line="276" w:lineRule="auto" w:before="0" w:after="0"/>
            </w:pPr>
            <w:r/>
            <w:r>
              <w:rPr>
                <w:rFonts w:ascii="Figtree" w:hAnsi="Figtree"/>
                <w:b w:val="0"/>
                <w:i w:val="0"/>
                <w:sz w:val="20"/>
              </w:rPr>
              <w:t>8 hours</w:t>
            </w:r>
          </w:p>
        </w:tc>
      </w:tr>
      <w:tr>
        <w:trPr>
          <w:trHeight w:val="425" w:hRule="atLeast"/>
        </w:trPr>
        <w:tc>
          <w:tcPr>
            <w:tcW w:type="dxa" w:w="4873"/>
            <w:vAlign w:val="center"/>
          </w:tcPr>
          <w:p>
            <w:pPr>
              <w:spacing w:line="276" w:lineRule="auto" w:before="0" w:after="0"/>
            </w:pPr>
            <w:r/>
            <w:r>
              <w:rPr>
                <w:rFonts w:ascii="Figtree" w:hAnsi="Figtree"/>
                <w:b w:val="0"/>
                <w:i w:val="0"/>
                <w:sz w:val="20"/>
              </w:rPr>
              <w:t>Technical account manager</w:t>
            </w:r>
          </w:p>
        </w:tc>
        <w:tc>
          <w:tcPr>
            <w:tcW w:type="dxa" w:w="4873"/>
            <w:vAlign w:val="center"/>
          </w:tcPr>
          <w:p>
            <w:pPr>
              <w:spacing w:line="276" w:lineRule="auto" w:before="0" w:after="0"/>
            </w:pPr>
            <w:r/>
            <w:r>
              <w:rPr>
                <w:rFonts w:ascii="Figtree" w:hAnsi="Figtree"/>
                <w:b w:val="0"/>
                <w:i w:val="0"/>
                <w:sz w:val="20"/>
              </w:rPr>
              <w:t>Dedicated</w:t>
            </w:r>
          </w:p>
        </w:tc>
      </w:tr>
      <w:tr>
        <w:trPr>
          <w:trHeight w:val="425" w:hRule="atLeast"/>
        </w:trPr>
        <w:tc>
          <w:tcPr>
            <w:tcW w:type="dxa" w:w="4873"/>
            <w:vAlign w:val="center"/>
          </w:tcPr>
          <w:p>
            <w:pPr>
              <w:spacing w:line="276" w:lineRule="auto" w:before="0" w:after="0"/>
            </w:pPr>
            <w:r/>
            <w:r>
              <w:rPr>
                <w:rFonts w:ascii="Figtree" w:hAnsi="Figtree"/>
                <w:b w:val="0"/>
                <w:i w:val="0"/>
                <w:sz w:val="20"/>
              </w:rPr>
              <w:t>Platform updates</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Compliance module updates</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Security patches</w:t>
            </w:r>
          </w:p>
        </w:tc>
        <w:tc>
          <w:tcPr>
            <w:tcW w:type="dxa" w:w="4873"/>
            <w:vAlign w:val="center"/>
          </w:tcPr>
          <w:p>
            <w:pPr>
              <w:spacing w:line="276" w:lineRule="auto" w:before="0" w:after="0"/>
            </w:pPr>
            <w:r/>
            <w:r>
              <w:rPr>
                <w:rFonts w:ascii="Figtree" w:hAnsi="Figtree"/>
                <w:b w:val="0"/>
                <w:i w:val="0"/>
                <w:sz w:val="20"/>
              </w:rPr>
              <w:t>Included (emergency: same business day)</w:t>
            </w:r>
          </w:p>
        </w:tc>
      </w:tr>
    </w:tbl>
    <w:p>
      <w:pPr>
        <w:spacing w:before="0" w:after="0" w:line="120" w:lineRule="exact"/>
      </w:pPr>
    </w:p>
    <w:p>
      <w:r>
        <w:rPr>
          <w:rFonts w:ascii="Figtree" w:hAnsi="Figtree"/>
          <w:b/>
          <w:i w:val="0"/>
          <w:sz w:val="22"/>
        </w:rPr>
        <w:t>Support cost:</w:t>
      </w:r>
      <w:r>
        <w:rPr>
          <w:rFonts w:ascii="Figtree" w:hAnsi="Figtree"/>
          <w:b w:val="0"/>
          <w:i w:val="0"/>
          <w:sz w:val="22"/>
        </w:rPr>
        <w:t xml:space="preserve"> [CLIENT-SPECIFIC - included in Enterprise license or separately priced as an add-on depending on contract structure. Confirm at commercial validation stage.]</w:t>
      </w:r>
    </w:p>
    <w:p>
      <w:pPr>
        <w:pStyle w:val="H3"/>
        <w:numPr>
          <w:ilvl w:val="2"/>
          <w:numId w:val="1"/>
        </w:numPr>
      </w:pPr>
      <w:r>
        <w:t>Sovereign Support Upgrade</w:t>
      </w:r>
    </w:p>
    <w:p>
      <w:r>
        <w:rPr>
          <w:rFonts w:ascii="Figtree" w:hAnsi="Figtree"/>
          <w:b w:val="0"/>
          <w:i w:val="0"/>
          <w:sz w:val="22"/>
        </w:rPr>
        <w:t>If Rain's operational requirements or CBB obligations require 24/7 support coverage with a 1-hour critical response SLA, the Sovereign support tier is available as an upgrade. This tier is appropriate if Rain's exchange operates during Asian market hours or runs weekend liquidity operations.</w:t>
      </w:r>
    </w:p>
    <w:p>
      <w:r>
        <w:br w:type="page"/>
      </w:r>
    </w:p>
    <w:p>
      <w:pPr>
        <w:pStyle w:val="H2"/>
        <w:numPr>
          <w:ilvl w:val="1"/>
          <w:numId w:val="1"/>
        </w:numPr>
      </w:pPr>
      <w:r>
        <w:t>Total Cost of Ownership Analysis</w:t>
      </w:r>
    </w:p>
    <w:p>
      <w:pPr>
        <w:pStyle w:val="H3"/>
        <w:numPr>
          <w:ilvl w:val="2"/>
          <w:numId w:val="1"/>
        </w:numPr>
      </w:pPr>
      <w:r>
        <w:t>Five-Year TCO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22"/>
        <w:gridCol w:w="1258"/>
        <w:gridCol w:w="2401"/>
        <w:gridCol w:w="1944"/>
        <w:gridCol w:w="2744"/>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License Fee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Infrastructure (est.)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Support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Total Annual</w:t>
            </w:r>
          </w:p>
        </w:tc>
      </w:tr>
      <w:tr>
        <w:trPr>
          <w:trHeight w:val="425" w:hRule="atLeast"/>
        </w:trPr>
        <w:tc>
          <w:tcPr>
            <w:tcW w:type="dxa" w:w="1949"/>
            <w:vAlign w:val="center"/>
          </w:tcPr>
          <w:p>
            <w:pPr>
              <w:spacing w:line="276" w:lineRule="auto" w:before="0" w:after="0"/>
            </w:pPr>
            <w:r/>
            <w:r>
              <w:rPr>
                <w:rFonts w:ascii="Figtree" w:hAnsi="Figtree"/>
                <w:b w:val="0"/>
                <w:i w:val="0"/>
                <w:sz w:val="20"/>
              </w:rPr>
              <w:t>Year 1</w:t>
            </w:r>
          </w:p>
        </w:tc>
        <w:tc>
          <w:tcPr>
            <w:tcW w:type="dxa" w:w="1949"/>
            <w:vAlign w:val="center"/>
          </w:tcPr>
          <w:p>
            <w:pPr>
              <w:spacing w:line="276" w:lineRule="auto" w:before="0" w:after="0"/>
            </w:pPr>
            <w:r/>
            <w:r>
              <w:rPr>
                <w:rFonts w:ascii="Figtree" w:hAnsi="Figtree"/>
                <w:b w:val="0"/>
                <w:i w:val="0"/>
                <w:sz w:val="20"/>
              </w:rPr>
              <w:t>€420,000</w:t>
            </w:r>
          </w:p>
        </w:tc>
        <w:tc>
          <w:tcPr>
            <w:tcW w:type="dxa" w:w="1949"/>
            <w:vAlign w:val="center"/>
          </w:tcPr>
          <w:p>
            <w:pPr>
              <w:spacing w:line="276" w:lineRule="auto" w:before="0" w:after="0"/>
            </w:pPr>
            <w:r/>
            <w:r>
              <w:rPr>
                <w:rFonts w:ascii="Figtree" w:hAnsi="Figtree"/>
                <w:b w:val="0"/>
                <w:i w:val="0"/>
                <w:sz w:val="20"/>
              </w:rPr>
              <w:t>€60,000-€120,000</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€480,000-€540,000 + impl</w:t>
            </w:r>
          </w:p>
        </w:tc>
      </w:tr>
      <w:tr>
        <w:trPr>
          <w:trHeight w:val="425" w:hRule="atLeast"/>
        </w:trPr>
        <w:tc>
          <w:tcPr>
            <w:tcW w:type="dxa" w:w="1949"/>
            <w:vAlign w:val="center"/>
          </w:tcPr>
          <w:p>
            <w:pPr>
              <w:spacing w:line="276" w:lineRule="auto" w:before="0" w:after="0"/>
            </w:pPr>
            <w:r/>
            <w:r>
              <w:rPr>
                <w:rFonts w:ascii="Figtree" w:hAnsi="Figtree"/>
                <w:b w:val="0"/>
                <w:i w:val="0"/>
                <w:sz w:val="20"/>
              </w:rPr>
              <w:t>Year 2</w:t>
            </w:r>
          </w:p>
        </w:tc>
        <w:tc>
          <w:tcPr>
            <w:tcW w:type="dxa" w:w="1949"/>
            <w:vAlign w:val="center"/>
          </w:tcPr>
          <w:p>
            <w:pPr>
              <w:spacing w:line="276" w:lineRule="auto" w:before="0" w:after="0"/>
            </w:pPr>
            <w:r/>
            <w:r>
              <w:rPr>
                <w:rFonts w:ascii="Figtree" w:hAnsi="Figtree"/>
                <w:b w:val="0"/>
                <w:i w:val="0"/>
                <w:sz w:val="20"/>
              </w:rPr>
              <w:t>€420,000</w:t>
            </w:r>
          </w:p>
        </w:tc>
        <w:tc>
          <w:tcPr>
            <w:tcW w:type="dxa" w:w="1949"/>
            <w:vAlign w:val="center"/>
          </w:tcPr>
          <w:p>
            <w:pPr>
              <w:spacing w:line="276" w:lineRule="auto" w:before="0" w:after="0"/>
            </w:pPr>
            <w:r/>
            <w:r>
              <w:rPr>
                <w:rFonts w:ascii="Figtree" w:hAnsi="Figtree"/>
                <w:b w:val="0"/>
                <w:i w:val="0"/>
                <w:sz w:val="20"/>
              </w:rPr>
              <w:t>€60,000-€120,000</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€480,000-€540,000</w:t>
            </w:r>
          </w:p>
        </w:tc>
      </w:tr>
      <w:tr>
        <w:trPr>
          <w:trHeight w:val="425" w:hRule="atLeast"/>
        </w:trPr>
        <w:tc>
          <w:tcPr>
            <w:tcW w:type="dxa" w:w="1949"/>
            <w:vAlign w:val="center"/>
          </w:tcPr>
          <w:p>
            <w:pPr>
              <w:spacing w:line="276" w:lineRule="auto" w:before="0" w:after="0"/>
            </w:pPr>
            <w:r/>
            <w:r>
              <w:rPr>
                <w:rFonts w:ascii="Figtree" w:hAnsi="Figtree"/>
                <w:b w:val="0"/>
                <w:i w:val="0"/>
                <w:sz w:val="20"/>
              </w:rPr>
              <w:t>Year 3</w:t>
            </w:r>
          </w:p>
        </w:tc>
        <w:tc>
          <w:tcPr>
            <w:tcW w:type="dxa" w:w="1949"/>
            <w:vAlign w:val="center"/>
          </w:tcPr>
          <w:p>
            <w:pPr>
              <w:spacing w:line="276" w:lineRule="auto" w:before="0" w:after="0"/>
            </w:pPr>
            <w:r/>
            <w:r>
              <w:rPr>
                <w:rFonts w:ascii="Figtree" w:hAnsi="Figtree"/>
                <w:b w:val="0"/>
                <w:i w:val="0"/>
                <w:sz w:val="20"/>
              </w:rPr>
              <w:t>€420,000</w:t>
            </w:r>
          </w:p>
        </w:tc>
        <w:tc>
          <w:tcPr>
            <w:tcW w:type="dxa" w:w="1949"/>
            <w:vAlign w:val="center"/>
          </w:tcPr>
          <w:p>
            <w:pPr>
              <w:spacing w:line="276" w:lineRule="auto" w:before="0" w:after="0"/>
            </w:pPr>
            <w:r/>
            <w:r>
              <w:rPr>
                <w:rFonts w:ascii="Figtree" w:hAnsi="Figtree"/>
                <w:b w:val="0"/>
                <w:i w:val="0"/>
                <w:sz w:val="20"/>
              </w:rPr>
              <w:t>€70,000-€130,000</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€490,000-€550,000</w:t>
            </w:r>
          </w:p>
        </w:tc>
      </w:tr>
      <w:tr>
        <w:trPr>
          <w:trHeight w:val="425" w:hRule="atLeast"/>
        </w:trPr>
        <w:tc>
          <w:tcPr>
            <w:tcW w:type="dxa" w:w="1949"/>
            <w:vAlign w:val="center"/>
          </w:tcPr>
          <w:p>
            <w:pPr>
              <w:spacing w:line="276" w:lineRule="auto" w:before="0" w:after="0"/>
            </w:pPr>
            <w:r/>
            <w:r>
              <w:rPr>
                <w:rFonts w:ascii="Figtree" w:hAnsi="Figtree"/>
                <w:b w:val="0"/>
                <w:i w:val="0"/>
                <w:sz w:val="20"/>
              </w:rPr>
              <w:t>Year 4</w:t>
            </w:r>
          </w:p>
        </w:tc>
        <w:tc>
          <w:tcPr>
            <w:tcW w:type="dxa" w:w="1949"/>
            <w:vAlign w:val="center"/>
          </w:tcPr>
          <w:p>
            <w:pPr>
              <w:spacing w:line="276" w:lineRule="auto" w:before="0" w:after="0"/>
            </w:pPr>
            <w:r/>
            <w:r>
              <w:rPr>
                <w:rFonts w:ascii="Figtree" w:hAnsi="Figtree"/>
                <w:b w:val="0"/>
                <w:i w:val="0"/>
                <w:sz w:val="20"/>
              </w:rPr>
              <w:t>€420,000</w:t>
            </w:r>
          </w:p>
        </w:tc>
        <w:tc>
          <w:tcPr>
            <w:tcW w:type="dxa" w:w="1949"/>
            <w:vAlign w:val="center"/>
          </w:tcPr>
          <w:p>
            <w:pPr>
              <w:spacing w:line="276" w:lineRule="auto" w:before="0" w:after="0"/>
            </w:pPr>
            <w:r/>
            <w:r>
              <w:rPr>
                <w:rFonts w:ascii="Figtree" w:hAnsi="Figtree"/>
                <w:b w:val="0"/>
                <w:i w:val="0"/>
                <w:sz w:val="20"/>
              </w:rPr>
              <w:t>€70,000-€130,000</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€490,000-€550,000</w:t>
            </w:r>
          </w:p>
        </w:tc>
      </w:tr>
      <w:tr>
        <w:trPr>
          <w:trHeight w:val="425" w:hRule="atLeast"/>
        </w:trPr>
        <w:tc>
          <w:tcPr>
            <w:tcW w:type="dxa" w:w="1949"/>
            <w:vAlign w:val="center"/>
          </w:tcPr>
          <w:p>
            <w:pPr>
              <w:spacing w:line="276" w:lineRule="auto" w:before="0" w:after="0"/>
            </w:pPr>
            <w:r/>
            <w:r>
              <w:rPr>
                <w:rFonts w:ascii="Figtree" w:hAnsi="Figtree"/>
                <w:b w:val="0"/>
                <w:i w:val="0"/>
                <w:sz w:val="20"/>
              </w:rPr>
              <w:t>Year 5</w:t>
            </w:r>
          </w:p>
        </w:tc>
        <w:tc>
          <w:tcPr>
            <w:tcW w:type="dxa" w:w="1949"/>
            <w:vAlign w:val="center"/>
          </w:tcPr>
          <w:p>
            <w:pPr>
              <w:spacing w:line="276" w:lineRule="auto" w:before="0" w:after="0"/>
            </w:pPr>
            <w:r/>
            <w:r>
              <w:rPr>
                <w:rFonts w:ascii="Figtree" w:hAnsi="Figtree"/>
                <w:b w:val="0"/>
                <w:i w:val="0"/>
                <w:sz w:val="20"/>
              </w:rPr>
              <w:t>€420,000</w:t>
            </w:r>
          </w:p>
        </w:tc>
        <w:tc>
          <w:tcPr>
            <w:tcW w:type="dxa" w:w="1949"/>
            <w:vAlign w:val="center"/>
          </w:tcPr>
          <w:p>
            <w:pPr>
              <w:spacing w:line="276" w:lineRule="auto" w:before="0" w:after="0"/>
            </w:pPr>
            <w:r/>
            <w:r>
              <w:rPr>
                <w:rFonts w:ascii="Figtree" w:hAnsi="Figtree"/>
                <w:b w:val="0"/>
                <w:i w:val="0"/>
                <w:sz w:val="20"/>
              </w:rPr>
              <w:t>€80,000-€140,000</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€500,000-€560,000</w:t>
            </w:r>
          </w:p>
        </w:tc>
      </w:tr>
    </w:tbl>
    <w:p>
      <w:pPr>
        <w:spacing w:before="0" w:after="0" w:line="120" w:lineRule="exact"/>
      </w:pPr>
    </w:p>
    <w:p>
      <w:r>
        <w:rPr>
          <w:rFonts w:ascii="Figtree" w:hAnsi="Figtree"/>
          <w:b w:val="0"/>
          <w:i/>
          <w:sz w:val="22"/>
        </w:rPr>
        <w:t>Infrastructure costs are directional estimates based on comparable deployments. Actual costs depend on deployment model and transaction volumes.</w:t>
      </w:r>
    </w:p>
    <w:p>
      <w:pPr>
        <w:pStyle w:val="H3"/>
        <w:numPr>
          <w:ilvl w:val="2"/>
          <w:numId w:val="1"/>
        </w:numPr>
      </w:pPr>
      <w:r>
        <w:t>Alternative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06"/>
        <w:gridCol w:w="4536"/>
        <w:gridCol w:w="202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Approach</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Year 1 Cost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Year 5 Cumulative</w:t>
            </w:r>
          </w:p>
        </w:tc>
      </w:tr>
      <w:tr>
        <w:trPr>
          <w:trHeight w:val="425" w:hRule="atLeast"/>
        </w:trPr>
        <w:tc>
          <w:tcPr>
            <w:tcW w:type="dxa" w:w="3249"/>
            <w:vAlign w:val="center"/>
          </w:tcPr>
          <w:p>
            <w:pPr>
              <w:spacing w:line="276" w:lineRule="auto" w:before="0" w:after="0"/>
            </w:pPr>
            <w:r/>
            <w:r>
              <w:rPr>
                <w:rFonts w:ascii="Figtree" w:hAnsi="Figtree"/>
                <w:b w:val="0"/>
                <w:i w:val="0"/>
                <w:sz w:val="20"/>
              </w:rPr>
              <w:t>DALP Platform</w:t>
            </w:r>
          </w:p>
        </w:tc>
        <w:tc>
          <w:tcPr>
            <w:tcW w:type="dxa" w:w="3249"/>
            <w:vAlign w:val="center"/>
          </w:tcPr>
          <w:p>
            <w:pPr>
              <w:spacing w:line="276" w:lineRule="auto" w:before="0" w:after="0"/>
            </w:pPr>
            <w:r/>
            <w:r>
              <w:rPr>
                <w:rFonts w:ascii="Figtree" w:hAnsi="Figtree"/>
                <w:b w:val="0"/>
                <w:i w:val="0"/>
                <w:sz w:val="20"/>
              </w:rPr>
              <w:t>€420,000 license + impl + infra</w:t>
            </w:r>
          </w:p>
        </w:tc>
        <w:tc>
          <w:tcPr>
            <w:tcW w:type="dxa" w:w="3249"/>
            <w:vAlign w:val="center"/>
          </w:tcPr>
          <w:p>
            <w:pPr>
              <w:spacing w:line="276" w:lineRule="auto" w:before="0" w:after="0"/>
            </w:pPr>
            <w:r/>
            <w:r>
              <w:rPr>
                <w:rFonts w:ascii="Figtree" w:hAnsi="Figtree"/>
                <w:b w:val="0"/>
                <w:i w:val="0"/>
                <w:sz w:val="20"/>
              </w:rPr>
              <w:t>~€2.1M-€2.5M</w:t>
            </w:r>
          </w:p>
        </w:tc>
      </w:tr>
      <w:tr>
        <w:trPr>
          <w:trHeight w:val="425" w:hRule="atLeast"/>
        </w:trPr>
        <w:tc>
          <w:tcPr>
            <w:tcW w:type="dxa" w:w="3249"/>
            <w:vAlign w:val="center"/>
          </w:tcPr>
          <w:p>
            <w:pPr>
              <w:spacing w:line="276" w:lineRule="auto" w:before="0" w:after="0"/>
            </w:pPr>
            <w:r/>
            <w:r>
              <w:rPr>
                <w:rFonts w:ascii="Figtree" w:hAnsi="Figtree"/>
                <w:b w:val="0"/>
                <w:i w:val="0"/>
                <w:sz w:val="20"/>
              </w:rPr>
              <w:t>Multi-vendor assembly</w:t>
            </w:r>
          </w:p>
        </w:tc>
        <w:tc>
          <w:tcPr>
            <w:tcW w:type="dxa" w:w="3249"/>
            <w:vAlign w:val="center"/>
          </w:tcPr>
          <w:p>
            <w:pPr>
              <w:spacing w:line="276" w:lineRule="auto" w:before="0" w:after="0"/>
            </w:pPr>
            <w:r/>
            <w:r>
              <w:rPr>
                <w:rFonts w:ascii="Figtree" w:hAnsi="Figtree"/>
                <w:b w:val="0"/>
                <w:i w:val="0"/>
                <w:sz w:val="20"/>
              </w:rPr>
              <w:t>€800,000-€1.2M integration + licensing</w:t>
            </w:r>
          </w:p>
        </w:tc>
        <w:tc>
          <w:tcPr>
            <w:tcW w:type="dxa" w:w="3249"/>
            <w:vAlign w:val="center"/>
          </w:tcPr>
          <w:p>
            <w:pPr>
              <w:spacing w:line="276" w:lineRule="auto" w:before="0" w:after="0"/>
            </w:pPr>
            <w:r/>
            <w:r>
              <w:rPr>
                <w:rFonts w:ascii="Figtree" w:hAnsi="Figtree"/>
                <w:b w:val="0"/>
                <w:i w:val="0"/>
                <w:sz w:val="20"/>
              </w:rPr>
              <w:t>~€3.5M-€4.5M</w:t>
            </w:r>
          </w:p>
        </w:tc>
      </w:tr>
      <w:tr>
        <w:trPr>
          <w:trHeight w:val="425" w:hRule="atLeast"/>
        </w:trPr>
        <w:tc>
          <w:tcPr>
            <w:tcW w:type="dxa" w:w="3249"/>
            <w:vAlign w:val="center"/>
          </w:tcPr>
          <w:p>
            <w:pPr>
              <w:spacing w:line="276" w:lineRule="auto" w:before="0" w:after="0"/>
            </w:pPr>
            <w:r/>
            <w:r>
              <w:rPr>
                <w:rFonts w:ascii="Figtree" w:hAnsi="Figtree"/>
                <w:b w:val="0"/>
                <w:i w:val="0"/>
                <w:sz w:val="20"/>
              </w:rPr>
              <w:t>Internal build</w:t>
            </w:r>
          </w:p>
        </w:tc>
        <w:tc>
          <w:tcPr>
            <w:tcW w:type="dxa" w:w="3249"/>
            <w:vAlign w:val="center"/>
          </w:tcPr>
          <w:p>
            <w:pPr>
              <w:spacing w:line="276" w:lineRule="auto" w:before="0" w:after="0"/>
            </w:pPr>
            <w:r/>
            <w:r>
              <w:rPr>
                <w:rFonts w:ascii="Figtree" w:hAnsi="Figtree"/>
                <w:b w:val="0"/>
                <w:i w:val="0"/>
                <w:sz w:val="20"/>
              </w:rPr>
              <w:t>€1.5M-€2.5M engineering + infra</w:t>
            </w:r>
          </w:p>
        </w:tc>
        <w:tc>
          <w:tcPr>
            <w:tcW w:type="dxa" w:w="3249"/>
            <w:vAlign w:val="center"/>
          </w:tcPr>
          <w:p>
            <w:pPr>
              <w:spacing w:line="276" w:lineRule="auto" w:before="0" w:after="0"/>
            </w:pPr>
            <w:r/>
            <w:r>
              <w:rPr>
                <w:rFonts w:ascii="Figtree" w:hAnsi="Figtree"/>
                <w:b w:val="0"/>
                <w:i w:val="0"/>
                <w:sz w:val="20"/>
              </w:rPr>
              <w:t>~€5M-€8M</w:t>
            </w:r>
          </w:p>
        </w:tc>
      </w:tr>
    </w:tbl>
    <w:p>
      <w:pPr>
        <w:spacing w:before="0" w:after="0" w:line="120" w:lineRule="exact"/>
      </w:pPr>
    </w:p>
    <w:p>
      <w:r>
        <w:rPr>
          <w:rFonts w:ascii="Figtree" w:hAnsi="Figtree"/>
          <w:b w:val="0"/>
          <w:i w:val="0"/>
          <w:sz w:val="22"/>
        </w:rPr>
        <w:t>The multi-vendor scenario consistently underperforms on regulatory audit readiness (no single control plane) and escalates in Year 2+ as integration maintenance costs accumulate. The internal build scenario carries the highest execution risk and is unlikely to meet Rain's CBB license obligations within an acceptable timeline.</w:t>
      </w:r>
    </w:p>
    <w:p>
      <w:r>
        <w:br w:type="page"/>
      </w:r>
    </w:p>
    <w:p>
      <w:pPr>
        <w:pStyle w:val="H2"/>
        <w:numPr>
          <w:ilvl w:val="1"/>
          <w:numId w:val="1"/>
        </w:numPr>
      </w:pPr>
      <w:r>
        <w:t>ROI Framework</w:t>
      </w:r>
    </w:p>
    <w:p>
      <w:r>
        <w:rPr>
          <w:rFonts w:ascii="Figtree" w:hAnsi="Figtree"/>
          <w:b w:val="0"/>
          <w:i w:val="0"/>
          <w:sz w:val="22"/>
        </w:rPr>
        <w:t>Rain's ROI from DALP derives from three sources: cost avoidance, revenue enablement, and risk reduction.</w:t>
      </w:r>
    </w:p>
    <w:p>
      <w:pPr>
        <w:pStyle w:val="H3"/>
        <w:numPr>
          <w:ilvl w:val="2"/>
          <w:numId w:val="1"/>
        </w:numPr>
      </w:pPr>
      <w:r>
        <w:t>Cost Avoidance</w:t>
      </w:r>
    </w:p>
    <w:p>
      <w:pPr>
        <w:pStyle w:val="ListParagraph"/>
        <w:numPr>
          <w:ilvl w:val="0"/>
          <w:numId w:val="4"/>
        </w:numPr>
      </w:pPr>
      <w:r>
        <w:rPr>
          <w:rFonts w:ascii="Figtree" w:hAnsi="Figtree"/>
          <w:b/>
          <w:i w:val="0"/>
          <w:sz w:val="22"/>
        </w:rPr>
        <w:t>Engineering avoidance:</w:t>
      </w:r>
      <w:r>
        <w:rPr>
          <w:rFonts w:ascii="Figtree" w:hAnsi="Figtree"/>
          <w:b w:val="0"/>
          <w:i w:val="0"/>
          <w:sz w:val="22"/>
        </w:rPr>
        <w:t xml:space="preserve"> Rain avoids 18-36 months of internal platform engineering. At market rates for senior blockchain engineers in the region, this represents €1.5M-€3M avoided.</w:t>
      </w:r>
    </w:p>
    <w:p>
      <w:pPr>
        <w:pStyle w:val="ListParagraph"/>
        <w:numPr>
          <w:ilvl w:val="0"/>
          <w:numId w:val="4"/>
        </w:numPr>
      </w:pPr>
      <w:r>
        <w:rPr>
          <w:rFonts w:ascii="Figtree" w:hAnsi="Figtree"/>
          <w:b/>
          <w:i w:val="0"/>
          <w:sz w:val="22"/>
        </w:rPr>
        <w:t>Integration maintenance avoidance:</w:t>
      </w:r>
      <w:r>
        <w:rPr>
          <w:rFonts w:ascii="Figtree" w:hAnsi="Figtree"/>
          <w:b w:val="0"/>
          <w:i w:val="0"/>
          <w:sz w:val="22"/>
        </w:rPr>
        <w:t xml:space="preserve"> Multi-vendor integration requires ongoing maintenance. DALP's single-platform model eliminates this overhead.</w:t>
      </w:r>
    </w:p>
    <w:p>
      <w:pPr>
        <w:pStyle w:val="ListParagraph"/>
        <w:numPr>
          <w:ilvl w:val="0"/>
          <w:numId w:val="4"/>
        </w:numPr>
      </w:pPr>
      <w:r>
        <w:rPr>
          <w:rFonts w:ascii="Figtree" w:hAnsi="Figtree"/>
          <w:b/>
          <w:i w:val="0"/>
          <w:sz w:val="22"/>
        </w:rPr>
        <w:t>Regulatory remediation avoidance:</w:t>
      </w:r>
      <w:r>
        <w:rPr>
          <w:rFonts w:ascii="Figtree" w:hAnsi="Figtree"/>
          <w:b w:val="0"/>
          <w:i w:val="0"/>
          <w:sz w:val="22"/>
        </w:rPr>
        <w:t xml:space="preserve"> A compliance failure on a self-built platform carries remediation costs and potential license suspension risk that dwarf the platform licensing cost.</w:t>
      </w:r>
    </w:p>
    <w:p>
      <w:pPr>
        <w:pStyle w:val="H3"/>
        <w:numPr>
          <w:ilvl w:val="2"/>
          <w:numId w:val="1"/>
        </w:numPr>
      </w:pPr>
      <w:r>
        <w:t>Revenue Enablement</w:t>
      </w:r>
    </w:p>
    <w:p>
      <w:pPr>
        <w:pStyle w:val="ListParagraph"/>
        <w:numPr>
          <w:ilvl w:val="0"/>
          <w:numId w:val="4"/>
        </w:numPr>
      </w:pPr>
      <w:r>
        <w:rPr>
          <w:rFonts w:ascii="Figtree" w:hAnsi="Figtree"/>
          <w:b/>
          <w:i w:val="0"/>
          <w:sz w:val="22"/>
        </w:rPr>
        <w:t>Faster time to market:</w:t>
      </w:r>
      <w:r>
        <w:rPr>
          <w:rFonts w:ascii="Figtree" w:hAnsi="Figtree"/>
          <w:b w:val="0"/>
          <w:i w:val="0"/>
          <w:sz w:val="22"/>
        </w:rPr>
        <w:t xml:space="preserve"> DALP's 24-week implementation timeline versus 18+ months for internal build means Rain captures 12+ months of additional exchange revenue.</w:t>
      </w:r>
    </w:p>
    <w:p>
      <w:pPr>
        <w:pStyle w:val="ListParagraph"/>
        <w:numPr>
          <w:ilvl w:val="0"/>
          <w:numId w:val="4"/>
        </w:numPr>
      </w:pPr>
      <w:r>
        <w:rPr>
          <w:rFonts w:ascii="Figtree" w:hAnsi="Figtree"/>
          <w:b/>
          <w:i w:val="0"/>
          <w:sz w:val="22"/>
        </w:rPr>
        <w:t>Expanded asset class coverage:</w:t>
      </w:r>
      <w:r>
        <w:rPr>
          <w:rFonts w:ascii="Figtree" w:hAnsi="Figtree"/>
          <w:b w:val="0"/>
          <w:i w:val="0"/>
          <w:sz w:val="22"/>
        </w:rPr>
        <w:t xml:space="preserve"> DALP's configurable token architecture means Rain can add new asset classes (tokenized securities, funds, structured products) through configuration, not development cycles. Each new asset class is an incremental revenue stream.</w:t>
      </w:r>
    </w:p>
    <w:p>
      <w:pPr>
        <w:pStyle w:val="ListParagraph"/>
        <w:numPr>
          <w:ilvl w:val="0"/>
          <w:numId w:val="4"/>
        </w:numPr>
      </w:pPr>
      <w:r>
        <w:rPr>
          <w:rFonts w:ascii="Figtree" w:hAnsi="Figtree"/>
          <w:b/>
          <w:i w:val="0"/>
          <w:sz w:val="22"/>
        </w:rPr>
        <w:t>Institutional client acquisition:</w:t>
      </w:r>
      <w:r>
        <w:rPr>
          <w:rFonts w:ascii="Figtree" w:hAnsi="Figtree"/>
          <w:b w:val="0"/>
          <w:i w:val="0"/>
          <w:sz w:val="22"/>
        </w:rPr>
        <w:t xml:space="preserve"> DALP's audit trail, compliance documentation, and CBB alignment supports Rain's business development with institutional clients who require documented control frameworks before placing assets.</w:t>
      </w:r>
    </w:p>
    <w:p>
      <w:pPr>
        <w:pStyle w:val="H3"/>
        <w:numPr>
          <w:ilvl w:val="2"/>
          <w:numId w:val="1"/>
        </w:numPr>
      </w:pPr>
      <w:r>
        <w:t>Risk Reduction</w:t>
      </w:r>
    </w:p>
    <w:p>
      <w:pPr>
        <w:pStyle w:val="ListParagraph"/>
        <w:numPr>
          <w:ilvl w:val="0"/>
          <w:numId w:val="4"/>
        </w:numPr>
      </w:pPr>
      <w:r>
        <w:rPr>
          <w:rFonts w:ascii="Figtree" w:hAnsi="Figtree"/>
          <w:b/>
          <w:i w:val="0"/>
          <w:sz w:val="22"/>
        </w:rPr>
        <w:t>CBB examination readiness:</w:t>
      </w:r>
      <w:r>
        <w:rPr>
          <w:rFonts w:ascii="Figtree" w:hAnsi="Figtree"/>
          <w:b w:val="0"/>
          <w:i w:val="0"/>
          <w:sz w:val="22"/>
        </w:rPr>
        <w:t xml:space="preserve"> DALP's single audit trail reduces the time and cost of CBB examination preparation from weeks of manual data assembly to automated evidence production.</w:t>
      </w:r>
    </w:p>
    <w:p>
      <w:pPr>
        <w:pStyle w:val="ListParagraph"/>
        <w:numPr>
          <w:ilvl w:val="0"/>
          <w:numId w:val="4"/>
        </w:numPr>
      </w:pPr>
      <w:r>
        <w:rPr>
          <w:rFonts w:ascii="Figtree" w:hAnsi="Figtree"/>
          <w:b/>
          <w:i w:val="0"/>
          <w:sz w:val="22"/>
        </w:rPr>
        <w:t>Incident recovery:</w:t>
      </w:r>
      <w:r>
        <w:rPr>
          <w:rFonts w:ascii="Figtree" w:hAnsi="Figtree"/>
          <w:b w:val="0"/>
          <w:i w:val="0"/>
          <w:sz w:val="22"/>
        </w:rPr>
        <w:t xml:space="preserve"> DALP's defined incident response model and 24/7 support option reduces downtime duration and associated revenue loss.</w:t>
      </w:r>
    </w:p>
    <w:p>
      <w:pPr>
        <w:pStyle w:val="ListParagraph"/>
        <w:numPr>
          <w:ilvl w:val="0"/>
          <w:numId w:val="4"/>
        </w:numPr>
      </w:pPr>
      <w:r>
        <w:rPr>
          <w:rFonts w:ascii="Figtree" w:hAnsi="Figtree"/>
          <w:b/>
          <w:i w:val="0"/>
          <w:sz w:val="22"/>
        </w:rPr>
        <w:t>Control continuity:</w:t>
      </w:r>
      <w:r>
        <w:rPr>
          <w:rFonts w:ascii="Figtree" w:hAnsi="Figtree"/>
          <w:b w:val="0"/>
          <w:i w:val="0"/>
          <w:sz w:val="22"/>
        </w:rPr>
        <w:t xml:space="preserve"> DALP's compliance module architecture allows Rain to adapt to regulatory changes (new CBB guidance, GCC harmonization requirements) through configuration rather than code changes.</w:t>
      </w:r>
    </w:p>
    <w:p>
      <w:r>
        <w:br w:type="page"/>
      </w:r>
    </w:p>
    <w:p>
      <w:pPr>
        <w:pStyle w:val="H2"/>
        <w:numPr>
          <w:ilvl w:val="1"/>
          <w:numId w:val="1"/>
        </w:numPr>
      </w:pPr>
      <w:r>
        <w:t>Payment Terms and Conditions</w:t>
      </w:r>
    </w:p>
    <w:p>
      <w:pPr>
        <w:pStyle w:val="H3"/>
        <w:numPr>
          <w:ilvl w:val="2"/>
          <w:numId w:val="1"/>
        </w:numPr>
      </w:pPr>
      <w:r>
        <w:t>Standard Terms</w:t>
      </w:r>
    </w:p>
    <w:p>
      <w:pPr>
        <w:pStyle w:val="ListParagraph"/>
        <w:numPr>
          <w:ilvl w:val="0"/>
          <w:numId w:val="4"/>
        </w:numPr>
      </w:pPr>
      <w:r>
        <w:rPr>
          <w:rFonts w:ascii="Figtree" w:hAnsi="Figtree"/>
          <w:b/>
          <w:i w:val="0"/>
          <w:sz w:val="22"/>
        </w:rPr>
        <w:t>License fee:</w:t>
      </w:r>
      <w:r>
        <w:rPr>
          <w:rFonts w:ascii="Figtree" w:hAnsi="Figtree"/>
          <w:b w:val="0"/>
          <w:i w:val="0"/>
          <w:sz w:val="22"/>
        </w:rPr>
        <w:t xml:space="preserve"> Annual, upfront, invoiced 30 days before renewal</w:t>
      </w:r>
    </w:p>
    <w:p>
      <w:pPr>
        <w:pStyle w:val="ListParagraph"/>
        <w:numPr>
          <w:ilvl w:val="0"/>
          <w:numId w:val="4"/>
        </w:numPr>
      </w:pPr>
      <w:r>
        <w:rPr>
          <w:rFonts w:ascii="Figtree" w:hAnsi="Figtree"/>
          <w:b/>
          <w:i w:val="0"/>
          <w:sz w:val="22"/>
        </w:rPr>
        <w:t>Implementation fee:</w:t>
      </w:r>
      <w:r>
        <w:rPr>
          <w:rFonts w:ascii="Figtree" w:hAnsi="Figtree"/>
          <w:b w:val="0"/>
          <w:i w:val="0"/>
          <w:sz w:val="22"/>
        </w:rPr>
        <w:t xml:space="preserve"> Milestone-based; 30% on contract signature, 40% on Phase 2 completion, 30% on production go-live</w:t>
      </w:r>
    </w:p>
    <w:p>
      <w:pPr>
        <w:pStyle w:val="ListParagraph"/>
        <w:numPr>
          <w:ilvl w:val="0"/>
          <w:numId w:val="4"/>
        </w:numPr>
      </w:pPr>
      <w:r>
        <w:rPr>
          <w:rFonts w:ascii="Figtree" w:hAnsi="Figtree"/>
          <w:b/>
          <w:i w:val="0"/>
          <w:sz w:val="22"/>
        </w:rPr>
        <w:t>Support:</w:t>
      </w:r>
      <w:r>
        <w:rPr>
          <w:rFonts w:ascii="Figtree" w:hAnsi="Figtree"/>
          <w:b w:val="0"/>
          <w:i w:val="0"/>
          <w:sz w:val="22"/>
        </w:rPr>
        <w:t xml:space="preserve"> Included in license or invoiced annually with license renewal</w:t>
      </w:r>
    </w:p>
    <w:p>
      <w:pPr>
        <w:pStyle w:val="ListParagraph"/>
        <w:numPr>
          <w:ilvl w:val="0"/>
          <w:numId w:val="4"/>
        </w:numPr>
      </w:pPr>
      <w:r>
        <w:rPr>
          <w:rFonts w:ascii="Figtree" w:hAnsi="Figtree"/>
          <w:b/>
          <w:i w:val="0"/>
          <w:sz w:val="22"/>
        </w:rPr>
        <w:t>Infrastructure (pass-through):</w:t>
      </w:r>
      <w:r>
        <w:rPr>
          <w:rFonts w:ascii="Figtree" w:hAnsi="Figtree"/>
          <w:b w:val="0"/>
          <w:i w:val="0"/>
          <w:sz w:val="22"/>
        </w:rPr>
        <w:t xml:space="preserve"> Invoiced monthly at cost</w:t>
      </w:r>
    </w:p>
    <w:p>
      <w:pPr>
        <w:pStyle w:val="H3"/>
        <w:numPr>
          <w:ilvl w:val="2"/>
          <w:numId w:val="1"/>
        </w:numPr>
      </w:pPr>
      <w:r>
        <w:t>Currency</w:t>
      </w:r>
    </w:p>
    <w:p>
      <w:r>
        <w:rPr>
          <w:rFonts w:ascii="Figtree" w:hAnsi="Figtree"/>
          <w:b w:val="0"/>
          <w:i w:val="0"/>
          <w:sz w:val="22"/>
        </w:rPr>
        <w:t>DALP pricing is denominated in EUR. Bahrain operates with USD-pegged currency (BHD). Invoicing in USD is available at the EUR/USD exchange rate on the invoice date. Currency risk management is Rain's responsibility.</w:t>
      </w:r>
    </w:p>
    <w:p>
      <w:pPr>
        <w:pStyle w:val="H3"/>
        <w:numPr>
          <w:ilvl w:val="2"/>
          <w:numId w:val="1"/>
        </w:numPr>
      </w:pPr>
      <w:r>
        <w:t>Taxes</w:t>
      </w:r>
    </w:p>
    <w:p>
      <w:r>
        <w:rPr>
          <w:rFonts w:ascii="Figtree" w:hAnsi="Figtree"/>
          <w:b w:val="0"/>
          <w:i w:val="0"/>
          <w:sz w:val="22"/>
        </w:rPr>
        <w:t>All prices exclude applicable taxes and VAT. SettleMint operates from Belgium and applies Belgian VAT regulations. For non-EU buyers like Rain (Bahrain entity), Belgian VAT typically does not apply, but local taxes in Bahrain's jurisdiction apply per Bahrain tax law. Rain's tax advisor should confirm the applicable tax treatment before contract signature.</w:t>
      </w:r>
    </w:p>
    <w:p>
      <w:r>
        <w:br w:type="page"/>
      </w:r>
    </w:p>
    <w:p>
      <w:pPr>
        <w:pStyle w:val="H2"/>
        <w:numPr>
          <w:ilvl w:val="1"/>
          <w:numId w:val="1"/>
        </w:numPr>
      </w:pPr>
      <w:r>
        <w:t>Contract Structure</w:t>
      </w:r>
    </w:p>
    <w:p>
      <w:pPr>
        <w:pStyle w:val="H3"/>
        <w:numPr>
          <w:ilvl w:val="2"/>
          <w:numId w:val="1"/>
        </w:numPr>
      </w:pPr>
      <w:r>
        <w:t>Key Contract Components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47"/>
        <w:gridCol w:w="562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Document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r>
      <w:tr>
        <w:trPr>
          <w:trHeight w:val="425" w:hRule="atLeast"/>
        </w:trPr>
        <w:tc>
          <w:tcPr>
            <w:tcW w:type="dxa" w:w="4873"/>
            <w:vAlign w:val="center"/>
          </w:tcPr>
          <w:p>
            <w:pPr>
              <w:spacing w:line="276" w:lineRule="auto" w:before="0" w:after="0"/>
            </w:pPr>
            <w:r/>
            <w:r>
              <w:rPr>
                <w:rFonts w:ascii="Figtree" w:hAnsi="Figtree"/>
                <w:b w:val="0"/>
                <w:i w:val="0"/>
                <w:sz w:val="20"/>
              </w:rPr>
              <w:t>Master Services Agreement</w:t>
            </w:r>
          </w:p>
        </w:tc>
        <w:tc>
          <w:tcPr>
            <w:tcW w:type="dxa" w:w="4873"/>
            <w:vAlign w:val="center"/>
          </w:tcPr>
          <w:p>
            <w:pPr>
              <w:spacing w:line="276" w:lineRule="auto" w:before="0" w:after="0"/>
            </w:pPr>
            <w:r/>
            <w:r>
              <w:rPr>
                <w:rFonts w:ascii="Figtree" w:hAnsi="Figtree"/>
                <w:b w:val="0"/>
                <w:i w:val="0"/>
                <w:sz w:val="20"/>
              </w:rPr>
              <w:t>Governing terms, liability, IP ownership, data handling</w:t>
            </w:r>
          </w:p>
        </w:tc>
      </w:tr>
      <w:tr>
        <w:trPr>
          <w:trHeight w:val="425" w:hRule="atLeast"/>
        </w:trPr>
        <w:tc>
          <w:tcPr>
            <w:tcW w:type="dxa" w:w="4873"/>
            <w:vAlign w:val="center"/>
          </w:tcPr>
          <w:p>
            <w:pPr>
              <w:spacing w:line="276" w:lineRule="auto" w:before="0" w:after="0"/>
            </w:pPr>
            <w:r/>
            <w:r>
              <w:rPr>
                <w:rFonts w:ascii="Figtree" w:hAnsi="Figtree"/>
                <w:b w:val="0"/>
                <w:i w:val="0"/>
                <w:sz w:val="20"/>
              </w:rPr>
              <w:t>License Order Form</w:t>
            </w:r>
          </w:p>
        </w:tc>
        <w:tc>
          <w:tcPr>
            <w:tcW w:type="dxa" w:w="4873"/>
            <w:vAlign w:val="center"/>
          </w:tcPr>
          <w:p>
            <w:pPr>
              <w:spacing w:line="276" w:lineRule="auto" w:before="0" w:after="0"/>
            </w:pPr>
            <w:r/>
            <w:r>
              <w:rPr>
                <w:rFonts w:ascii="Figtree" w:hAnsi="Figtree"/>
                <w:b w:val="0"/>
                <w:i w:val="0"/>
                <w:sz w:val="20"/>
              </w:rPr>
              <w:t>Specific license quantities, environments, and fees</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Statement of Work</w:t>
            </w:r>
          </w:p>
        </w:tc>
        <w:tc>
          <w:tcPr>
            <w:tcW w:type="dxa" w:w="4873"/>
            <w:vAlign w:val="center"/>
          </w:tcPr>
          <w:p>
            <w:pPr>
              <w:spacing w:line="276" w:lineRule="auto" w:before="0" w:after="0"/>
            </w:pPr>
            <w:r/>
            <w:r>
              <w:rPr>
                <w:rFonts w:ascii="Figtree" w:hAnsi="Figtree"/>
                <w:b w:val="0"/>
                <w:i w:val="0"/>
                <w:sz w:val="20"/>
              </w:rPr>
              <w:t>Scoped programme, deliverables, milestones, and pricing</w:t>
            </w:r>
          </w:p>
        </w:tc>
      </w:tr>
      <w:tr>
        <w:trPr>
          <w:trHeight w:val="425" w:hRule="atLeast"/>
        </w:trPr>
        <w:tc>
          <w:tcPr>
            <w:tcW w:type="dxa" w:w="4873"/>
            <w:vAlign w:val="center"/>
          </w:tcPr>
          <w:p>
            <w:pPr>
              <w:spacing w:line="276" w:lineRule="auto" w:before="0" w:after="0"/>
            </w:pPr>
            <w:r/>
            <w:r>
              <w:rPr>
                <w:rFonts w:ascii="Figtree" w:hAnsi="Figtree"/>
                <w:b w:val="0"/>
                <w:i w:val="0"/>
                <w:sz w:val="20"/>
              </w:rPr>
              <w:t>Support Schedule</w:t>
            </w:r>
          </w:p>
        </w:tc>
        <w:tc>
          <w:tcPr>
            <w:tcW w:type="dxa" w:w="4873"/>
            <w:vAlign w:val="center"/>
          </w:tcPr>
          <w:p>
            <w:pPr>
              <w:spacing w:line="276" w:lineRule="auto" w:before="0" w:after="0"/>
            </w:pPr>
            <w:r/>
            <w:r>
              <w:rPr>
                <w:rFonts w:ascii="Figtree" w:hAnsi="Figtree"/>
                <w:b w:val="0"/>
                <w:i w:val="0"/>
                <w:sz w:val="20"/>
              </w:rPr>
              <w:t>Support tier, SLA terms, and escalation procedures</w:t>
            </w:r>
          </w:p>
        </w:tc>
      </w:tr>
      <w:tr>
        <w:trPr>
          <w:trHeight w:val="425" w:hRule="atLeast"/>
        </w:trPr>
        <w:tc>
          <w:tcPr>
            <w:tcW w:type="dxa" w:w="4873"/>
            <w:vAlign w:val="center"/>
          </w:tcPr>
          <w:p>
            <w:pPr>
              <w:spacing w:line="276" w:lineRule="auto" w:before="0" w:after="0"/>
            </w:pPr>
            <w:r/>
            <w:r>
              <w:rPr>
                <w:rFonts w:ascii="Figtree" w:hAnsi="Figtree"/>
                <w:b w:val="0"/>
                <w:i w:val="0"/>
                <w:sz w:val="20"/>
              </w:rPr>
              <w:t>Data Processing Agreement</w:t>
            </w:r>
          </w:p>
        </w:tc>
        <w:tc>
          <w:tcPr>
            <w:tcW w:type="dxa" w:w="4873"/>
            <w:vAlign w:val="center"/>
          </w:tcPr>
          <w:p>
            <w:pPr>
              <w:spacing w:line="276" w:lineRule="auto" w:before="0" w:after="0"/>
            </w:pPr>
            <w:r/>
            <w:r>
              <w:rPr>
                <w:rFonts w:ascii="Figtree" w:hAnsi="Figtree"/>
                <w:b w:val="0"/>
                <w:i w:val="0"/>
                <w:sz w:val="20"/>
              </w:rPr>
              <w:t>GDPR and data handling obligations</w:t>
            </w:r>
          </w:p>
        </w:tc>
      </w:tr>
    </w:tbl>
    <w:p>
      <w:pPr>
        <w:spacing w:before="0" w:after="0" w:line="120" w:lineRule="exact"/>
      </w:pPr>
    </w:p>
    <w:p>
      <w:pPr>
        <w:pStyle w:val="H3"/>
        <w:numPr>
          <w:ilvl w:val="2"/>
          <w:numId w:val="1"/>
        </w:numPr>
      </w:pPr>
      <w:r>
        <w:t>Key Commercial Protections</w:t>
      </w:r>
    </w:p>
    <w:p>
      <w:r>
        <w:rPr>
          <w:rFonts w:ascii="Figtree" w:hAnsi="Figtree"/>
          <w:b/>
          <w:i w:val="0"/>
          <w:sz w:val="22"/>
        </w:rPr>
        <w:t>Intellectual property:</w:t>
      </w:r>
      <w:r>
        <w:rPr>
          <w:rFonts w:ascii="Figtree" w:hAnsi="Figtree"/>
          <w:b w:val="0"/>
          <w:i w:val="0"/>
          <w:sz w:val="22"/>
        </w:rPr>
        <w:t xml:space="preserve"> Rain retains ownership of all Rain-specific configurations, compliance templates, and operational data. SettleMint retains ownership of the DALP platform code, smart contracts, and underlying infrastructure.</w:t>
      </w:r>
    </w:p>
    <w:p>
      <w:r>
        <w:rPr>
          <w:rFonts w:ascii="Figtree" w:hAnsi="Figtree"/>
          <w:b/>
          <w:i w:val="0"/>
          <w:sz w:val="22"/>
        </w:rPr>
        <w:t>Data handling:</w:t>
      </w:r>
      <w:r>
        <w:rPr>
          <w:rFonts w:ascii="Figtree" w:hAnsi="Figtree"/>
          <w:b w:val="0"/>
          <w:i w:val="0"/>
          <w:sz w:val="22"/>
        </w:rPr>
        <w:t xml:space="preserve"> All Rain operational data remains under Rain's control. SettleMint processes data only to the extent necessary to deliver the contracted services. Full GDPR-equivalent data protection provisions apply regardless of Bahrain's specific data protection law status.</w:t>
      </w:r>
    </w:p>
    <w:p>
      <w:r>
        <w:rPr>
          <w:rFonts w:ascii="Figtree" w:hAnsi="Figtree"/>
          <w:b/>
          <w:i w:val="0"/>
          <w:sz w:val="22"/>
        </w:rPr>
        <w:t>Liability:</w:t>
      </w:r>
      <w:r>
        <w:rPr>
          <w:rFonts w:ascii="Figtree" w:hAnsi="Figtree"/>
          <w:b w:val="0"/>
          <w:i w:val="0"/>
          <w:sz w:val="22"/>
        </w:rPr>
        <w:t xml:space="preserve"> Standard enterprise software liability caps apply. SettleMint's liability is limited to the fees paid in the relevant contract year for platform failures. Rain's liability for misuse or misconfiguration of the platform is Rain's responsibility.</w:t>
      </w:r>
    </w:p>
    <w:p>
      <w:r>
        <w:rPr>
          <w:rFonts w:ascii="Figtree" w:hAnsi="Figtree"/>
          <w:b/>
          <w:i w:val="0"/>
          <w:sz w:val="22"/>
        </w:rPr>
        <w:t>Exit provisions:</w:t>
      </w:r>
      <w:r>
        <w:rPr>
          <w:rFonts w:ascii="Figtree" w:hAnsi="Figtree"/>
          <w:b w:val="0"/>
          <w:i w:val="0"/>
          <w:sz w:val="22"/>
        </w:rPr>
        <w:t xml:space="preserve"> Rain retains full access to its operational data and configuration exports at any time. A structured off-boarding period of 90 days is provided at contract termination, during which SettleMint continues to operate the platform at maintenance-only support levels.</w:t>
      </w:r>
    </w:p>
    <w:p>
      <w:r>
        <w:br w:type="page"/>
      </w:r>
    </w:p>
    <w:p>
      <w:r>
        <w:rPr>
          <w:rFonts w:ascii="Figtree" w:hAnsi="Figtree"/>
          <w:b w:val="0"/>
          <w:i/>
          <w:sz w:val="22"/>
        </w:rPr>
        <w:t>This commercial proposal is submitted in strict confidence by SettleMint in response to RFP reference RAIN-RFP-DIGITAL-ASSET-EXCHANGE-202603. All figures marked [CLIENT-SPECIFIC] require scope validation before finalisation. All prices exclude applicable taxes and VAT. Payment terms are annual, upfront.</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