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Commercial Decision Framework</w:t>
          </w:r>
          <w:r>
            <w:tab/>
          </w:r>
          <w:r>
            <w:t xml:space="preserve">5</w:t>
          </w:r>
        </w:p>
        <w:p>
          <w:pPr>
            <w:pStyle w:val="TOC3"/>
            <w:tabs>
              <w:tab w:val="right" w:leader="dot" w:pos="9072"/>
            </w:tabs>
          </w:pPr>
          <w:r>
            <w:t xml:space="preserve">Build vs. Buy</w:t>
          </w:r>
          <w:r>
            <w:tab/>
          </w:r>
          <w:r>
            <w:t xml:space="preserve">6</w:t>
          </w:r>
        </w:p>
        <w:p>
          <w:pPr>
            <w:pStyle w:val="TOC3"/>
            <w:tabs>
              <w:tab w:val="right" w:leader="dot" w:pos="9072"/>
            </w:tabs>
          </w:pPr>
          <w:r>
            <w:t xml:space="preserve">Funding Advantage</w:t>
          </w:r>
          <w:r>
            <w:tab/>
          </w:r>
          <w:r>
            <w:t xml:space="preserve">7</w:t>
          </w:r>
        </w:p>
        <w:p>
          <w:pPr>
            <w:pStyle w:val="TOC2"/>
            <w:tabs>
              <w:tab w:val="right" w:leader="dot" w:pos="9072"/>
            </w:tabs>
          </w:pPr>
          <w:r>
            <w:t xml:space="preserve">Pricing Structure</w:t>
          </w:r>
          <w:r>
            <w:tab/>
          </w:r>
          <w:r>
            <w:t xml:space="preserve">8</w:t>
          </w:r>
        </w:p>
        <w:p>
          <w:pPr>
            <w:pStyle w:val="TOC3"/>
            <w:tabs>
              <w:tab w:val="right" w:leader="dot" w:pos="9072"/>
            </w:tabs>
          </w:pPr>
          <w:r>
            <w:t xml:space="preserve">Infrastructure Costs</w:t>
          </w:r>
          <w:r>
            <w:tab/>
          </w:r>
          <w:r>
            <w:t xml:space="preserve">9</w:t>
          </w:r>
        </w:p>
        <w:p>
          <w:pPr>
            <w:pStyle w:val="TOC2"/>
            <w:tabs>
              <w:tab w:val="right" w:leader="dot" w:pos="9072"/>
            </w:tabs>
          </w:pPr>
          <w:r>
            <w:t xml:space="preserve">Implementation Costs</w:t>
          </w:r>
          <w:r>
            <w:tab/>
          </w:r>
          <w:r>
            <w:t xml:space="preserve">10</w:t>
          </w:r>
        </w:p>
        <w:p>
          <w:pPr>
            <w:pStyle w:val="TOC2"/>
            <w:tabs>
              <w:tab w:val="right" w:leader="dot" w:pos="9072"/>
            </w:tabs>
          </w:pPr>
          <w:r>
            <w:t xml:space="preserve">Support and Maintenance</w:t>
          </w:r>
          <w:r>
            <w:tab/>
          </w:r>
          <w:r>
            <w:t xml:space="preserve">11</w:t>
          </w:r>
        </w:p>
        <w:p>
          <w:pPr>
            <w:pStyle w:val="TOC2"/>
            <w:tabs>
              <w:tab w:val="right" w:leader="dot" w:pos="9072"/>
            </w:tabs>
          </w:pPr>
          <w:r>
            <w:t xml:space="preserve">Total Cost of Ownership</w:t>
          </w:r>
          <w:r>
            <w:tab/>
          </w:r>
          <w:r>
            <w:t xml:space="preserve">12</w:t>
          </w:r>
        </w:p>
        <w:p>
          <w:pPr>
            <w:pStyle w:val="TOC3"/>
            <w:tabs>
              <w:tab w:val="right" w:leader="dot" w:pos="9072"/>
            </w:tabs>
          </w:pPr>
          <w:r>
            <w:t xml:space="preserve">Five-Year TCO</w:t>
          </w:r>
          <w:r>
            <w:tab/>
          </w:r>
          <w:r>
            <w:t xml:space="preserve">13</w:t>
          </w:r>
        </w:p>
        <w:p>
          <w:pPr>
            <w:pStyle w:val="TOC2"/>
            <w:tabs>
              <w:tab w:val="right" w:leader="dot" w:pos="9072"/>
            </w:tabs>
          </w:pPr>
          <w:r>
            <w:t xml:space="preserve">ROI Framework</w:t>
          </w:r>
          <w:r>
            <w:tab/>
          </w:r>
          <w:r>
            <w:t xml:space="preserve">14</w:t>
          </w:r>
        </w:p>
        <w:p>
          <w:pPr>
            <w:pStyle w:val="TOC3"/>
            <w:tabs>
              <w:tab w:val="right" w:leader="dot" w:pos="9072"/>
            </w:tabs>
          </w:pPr>
          <w:r>
            <w:t xml:space="preserve">Cost Avoidance</w:t>
          </w:r>
          <w:r>
            <w:tab/>
          </w:r>
          <w:r>
            <w:t xml:space="preserve">15</w:t>
          </w:r>
        </w:p>
        <w:p>
          <w:pPr>
            <w:pStyle w:val="TOC3"/>
            <w:tabs>
              <w:tab w:val="right" w:leader="dot" w:pos="9072"/>
            </w:tabs>
          </w:pPr>
          <w:r>
            <w:t xml:space="preserve">Revenue and Funding Impact</w:t>
          </w:r>
          <w:r>
            <w:tab/>
          </w:r>
          <w:r>
            <w:t xml:space="preserve">16</w:t>
          </w:r>
        </w:p>
        <w:p>
          <w:pPr>
            <w:pStyle w:val="TOC3"/>
            <w:tabs>
              <w:tab w:val="right" w:leader="dot" w:pos="9072"/>
            </w:tabs>
          </w:pPr>
          <w:r>
            <w:t xml:space="preserve">Risk Reduction</w:t>
          </w:r>
          <w:r>
            <w:tab/>
          </w:r>
          <w:r>
            <w:t xml:space="preserve">17</w:t>
          </w:r>
        </w:p>
        <w:p>
          <w:pPr>
            <w:pStyle w:val="TOC2"/>
            <w:tabs>
              <w:tab w:val="right" w:leader="dot" w:pos="9072"/>
            </w:tabs>
          </w:pPr>
          <w:r>
            <w:t xml:space="preserve">Payment Terms</w:t>
          </w:r>
          <w:r>
            <w:tab/>
          </w:r>
          <w:r>
            <w:t xml:space="preserve">18</w:t>
          </w:r>
        </w:p>
        <w:p>
          <w:pPr>
            <w:pStyle w:val="TOC2"/>
            <w:tabs>
              <w:tab w:val="right" w:leader="dot" w:pos="9072"/>
            </w:tabs>
          </w:pPr>
          <w:r>
            <w:t xml:space="preserve">Contract Structure</w:t>
          </w:r>
          <w:r>
            <w:tab/>
          </w:r>
          <w:r>
            <w:t xml:space="preserve">19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for Tokenized BNPL Funding and Receivables Infrastructure  </w:t>
      </w:r>
    </w:p>
    <w:p>
      <w:r>
        <w:rPr>
          <w:rFonts w:ascii="Figtree" w:hAnsi="Figtree"/>
          <w:b/>
          <w:i w:val="0"/>
          <w:sz w:val="22"/>
        </w:rPr>
        <w:t>Client:</w:t>
      </w:r>
      <w:r>
        <w:rPr>
          <w:rFonts w:ascii="Figtree" w:hAnsi="Figtree"/>
          <w:b w:val="0"/>
          <w:i w:val="0"/>
          <w:sz w:val="22"/>
        </w:rPr>
        <w:t xml:space="preserve"> Tabby (UAE/KSA)  </w:t>
      </w:r>
    </w:p>
    <w:p>
      <w:r>
        <w:rPr>
          <w:rFonts w:ascii="Figtree" w:hAnsi="Figtree"/>
          <w:b/>
          <w:i w:val="0"/>
          <w:sz w:val="22"/>
        </w:rPr>
        <w:t>Reference:</w:t>
      </w:r>
      <w:r>
        <w:rPr>
          <w:rFonts w:ascii="Figtree" w:hAnsi="Figtree"/>
          <w:b w:val="0"/>
          <w:i w:val="0"/>
          <w:sz w:val="22"/>
        </w:rPr>
        <w:t xml:space="preserve"> TABBY-RFP-TOKENIZED-BNPL-INFRASTRUCTURE-202603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Decision Framework</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ROI Framework</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Contract Structure</w:t>
      </w:r>
    </w:p>
    <w:p>
      <w:r>
        <w:br w:type="page"/>
      </w:r>
    </w:p>
    <w:p>
      <w:pPr>
        <w:pStyle w:val="H2"/>
        <w:numPr>
          <w:ilvl w:val="1"/>
          <w:numId w:val="1"/>
        </w:numPr>
      </w:pPr>
      <w:r>
        <w:t>Executive Summary</w:t>
      </w:r>
    </w:p>
    <w:p>
      <w:r>
        <w:rPr>
          <w:rFonts w:ascii="Figtree" w:hAnsi="Figtree"/>
          <w:b w:val="0"/>
          <w:i w:val="0"/>
          <w:sz w:val="22"/>
        </w:rPr>
        <w:t>Tabby's BNPL portfolio growth demands a funding infrastructure that scales faster than traditional warehouse facilities allow. Tokenized receivables provide the answer: broader investor access, faster capital deployment, and transparent pool performance that institutional funders require.</w:t>
      </w:r>
    </w:p>
    <w:p>
      <w:r>
        <w:rPr>
          <w:rFonts w:ascii="Figtree" w:hAnsi="Figtree"/>
          <w:b w:val="0"/>
          <w:i w:val="0"/>
          <w:sz w:val="22"/>
        </w:rPr>
        <w:t>The commercial question is whether Tabby should build this infrastructure internally, assemble multiple vendors, or deploy a single platform. DALP provides the single-platform path: receivable pool structuring, tranche tokenization, investor compliance, waterfall distribution, and audit trail in one integrated system.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8"/>
        <w:gridCol w:w="36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i w:val="0"/>
                <w:sz w:val="20"/>
              </w:rPr>
              <w:t>Total Platform License</w:t>
            </w:r>
          </w:p>
        </w:tc>
        <w:tc>
          <w:tcPr>
            <w:tcW w:type="dxa" w:w="4873"/>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r>
        <w:rPr>
          <w:rFonts w:ascii="Figtree" w:hAnsi="Figtree"/>
          <w:b w:val="0"/>
          <w:i w:val="0"/>
          <w:sz w:val="22"/>
        </w:rPr>
        <w:t>At Tabby's receivable volumes, the platform cost is a fraction of the funding advantage that tokenized receivables create. A 50 basis point improvement in weighted funding cost across a $500M portfolio yields $2.5M annually, more than covering the entire DALP platform cost.</w:t>
      </w:r>
    </w:p>
    <w:p>
      <w:r>
        <w:br w:type="page"/>
      </w:r>
    </w:p>
    <w:p>
      <w:pPr>
        <w:pStyle w:val="H2"/>
        <w:numPr>
          <w:ilvl w:val="1"/>
          <w:numId w:val="1"/>
        </w:numPr>
      </w:pPr>
      <w:r>
        <w:t>Commercial Decision Framework</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2774"/>
        <w:gridCol w:w="33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3249"/>
            <w:vAlign w:val="center"/>
          </w:tcPr>
          <w:p>
            <w:pPr>
              <w:spacing w:line="276" w:lineRule="auto" w:before="0" w:after="0"/>
            </w:pPr>
            <w:r/>
            <w:r>
              <w:rPr>
                <w:rFonts w:ascii="Figtree" w:hAnsi="Figtree"/>
                <w:b w:val="0"/>
                <w:i w:val="0"/>
                <w:sz w:val="20"/>
              </w:rPr>
              <w:t>Time to first pool</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6 months</w:t>
            </w:r>
          </w:p>
        </w:tc>
      </w:tr>
      <w:tr>
        <w:trPr>
          <w:trHeight w:val="425" w:hRule="atLeast"/>
        </w:trPr>
        <w:tc>
          <w:tcPr>
            <w:tcW w:type="dxa" w:w="3249"/>
            <w:vAlign w:val="center"/>
          </w:tcPr>
          <w:p>
            <w:pPr>
              <w:spacing w:line="276" w:lineRule="auto" w:before="0" w:after="0"/>
            </w:pPr>
            <w:r/>
            <w:r>
              <w:rPr>
                <w:rFonts w:ascii="Figtree" w:hAnsi="Figtree"/>
                <w:b w:val="0"/>
                <w:i w:val="0"/>
                <w:sz w:val="20"/>
              </w:rPr>
              <w:t>Specialized team required</w:t>
            </w:r>
          </w:p>
        </w:tc>
        <w:tc>
          <w:tcPr>
            <w:tcW w:type="dxa" w:w="3249"/>
            <w:vAlign w:val="center"/>
          </w:tcPr>
          <w:p>
            <w:pPr>
              <w:spacing w:line="276" w:lineRule="auto" w:before="0" w:after="0"/>
            </w:pPr>
            <w:r/>
            <w:r>
              <w:rPr>
                <w:rFonts w:ascii="Figtree" w:hAnsi="Figtree"/>
                <w:b w:val="0"/>
                <w:i w:val="0"/>
                <w:sz w:val="20"/>
              </w:rPr>
              <w:t>10+ engineers + compliance</w:t>
            </w:r>
          </w:p>
        </w:tc>
        <w:tc>
          <w:tcPr>
            <w:tcW w:type="dxa" w:w="3249"/>
            <w:vAlign w:val="center"/>
          </w:tcPr>
          <w:p>
            <w:pPr>
              <w:spacing w:line="276" w:lineRule="auto" w:before="0" w:after="0"/>
            </w:pPr>
            <w:r/>
            <w:r>
              <w:rPr>
                <w:rFonts w:ascii="Figtree" w:hAnsi="Figtree"/>
                <w:b w:val="0"/>
                <w:i w:val="0"/>
                <w:sz w:val="20"/>
              </w:rPr>
              <w:t>Existing team + SettleMint</w:t>
            </w:r>
          </w:p>
        </w:tc>
      </w:tr>
      <w:tr>
        <w:trPr>
          <w:trHeight w:val="425" w:hRule="atLeast"/>
        </w:trPr>
        <w:tc>
          <w:tcPr>
            <w:tcW w:type="dxa" w:w="3249"/>
            <w:vAlign w:val="center"/>
          </w:tcPr>
          <w:p>
            <w:pPr>
              <w:spacing w:line="276" w:lineRule="auto" w:before="0" w:after="0"/>
            </w:pPr>
            <w:r/>
            <w:r>
              <w:rPr>
                <w:rFonts w:ascii="Figtree" w:hAnsi="Figtree"/>
                <w:b w:val="0"/>
                <w:i w:val="0"/>
                <w:sz w:val="20"/>
              </w:rPr>
              <w:t>Dual-jurisdiction compliance</w:t>
            </w:r>
          </w:p>
        </w:tc>
        <w:tc>
          <w:tcPr>
            <w:tcW w:type="dxa" w:w="3249"/>
            <w:vAlign w:val="center"/>
          </w:tcPr>
          <w:p>
            <w:pPr>
              <w:spacing w:line="276" w:lineRule="auto" w:before="0" w:after="0"/>
            </w:pPr>
            <w:r/>
            <w:r>
              <w:rPr>
                <w:rFonts w:ascii="Figtree" w:hAnsi="Figtree"/>
                <w:b w:val="0"/>
                <w:i w:val="0"/>
                <w:sz w:val="20"/>
              </w:rPr>
              <w:t>Manual, unproven</w:t>
            </w:r>
          </w:p>
        </w:tc>
        <w:tc>
          <w:tcPr>
            <w:tcW w:type="dxa" w:w="3249"/>
            <w:vAlign w:val="center"/>
          </w:tcPr>
          <w:p>
            <w:pPr>
              <w:spacing w:line="276" w:lineRule="auto" w:before="0" w:after="0"/>
            </w:pPr>
            <w:r/>
            <w:r>
              <w:rPr>
                <w:rFonts w:ascii="Figtree" w:hAnsi="Figtree"/>
                <w:b w:val="0"/>
                <w:i w:val="0"/>
                <w:sz w:val="20"/>
              </w:rPr>
              <w:t>Configurable, production-tested</w:t>
            </w:r>
          </w:p>
        </w:tc>
      </w:tr>
      <w:tr>
        <w:trPr>
          <w:trHeight w:val="425" w:hRule="atLeast"/>
        </w:trPr>
        <w:tc>
          <w:tcPr>
            <w:tcW w:type="dxa" w:w="3249"/>
            <w:vAlign w:val="center"/>
          </w:tcPr>
          <w:p>
            <w:pPr>
              <w:spacing w:line="276" w:lineRule="auto" w:before="0" w:after="0"/>
            </w:pPr>
            <w:r/>
            <w:r>
              <w:rPr>
                <w:rFonts w:ascii="Figtree" w:hAnsi="Figtree"/>
                <w:b w:val="0"/>
                <w:i w:val="0"/>
                <w:sz w:val="20"/>
              </w:rPr>
              <w:t>Investor onboarding speed</w:t>
            </w:r>
          </w:p>
        </w:tc>
        <w:tc>
          <w:tcPr>
            <w:tcW w:type="dxa" w:w="3249"/>
            <w:vAlign w:val="center"/>
          </w:tcPr>
          <w:p>
            <w:pPr>
              <w:spacing w:line="276" w:lineRule="auto" w:before="0" w:after="0"/>
            </w:pPr>
            <w:r/>
            <w:r>
              <w:rPr>
                <w:rFonts w:ascii="Figtree" w:hAnsi="Figtree"/>
                <w:b w:val="0"/>
                <w:i w:val="0"/>
                <w:sz w:val="20"/>
              </w:rPr>
              <w:t>Weeks</w:t>
            </w:r>
          </w:p>
        </w:tc>
        <w:tc>
          <w:tcPr>
            <w:tcW w:type="dxa" w:w="3249"/>
            <w:vAlign w:val="center"/>
          </w:tcPr>
          <w:p>
            <w:pPr>
              <w:spacing w:line="276" w:lineRule="auto" w:before="0" w:after="0"/>
            </w:pPr>
            <w:r/>
            <w:r>
              <w:rPr>
                <w:rFonts w:ascii="Figtree" w:hAnsi="Figtree"/>
                <w:b w:val="0"/>
                <w:i w:val="0"/>
                <w:sz w:val="20"/>
              </w:rPr>
              <w:t>Days</w:t>
            </w:r>
          </w:p>
        </w:tc>
      </w:tr>
      <w:tr>
        <w:trPr>
          <w:trHeight w:val="425" w:hRule="atLeast"/>
        </w:trPr>
        <w:tc>
          <w:tcPr>
            <w:tcW w:type="dxa" w:w="3249"/>
            <w:vAlign w:val="center"/>
          </w:tcPr>
          <w:p>
            <w:pPr>
              <w:spacing w:line="276" w:lineRule="auto" w:before="0" w:after="0"/>
            </w:pPr>
            <w:r/>
            <w:r>
              <w:rPr>
                <w:rFonts w:ascii="Figtree" w:hAnsi="Figtree"/>
                <w:b w:val="0"/>
                <w:i w:val="0"/>
                <w:sz w:val="20"/>
              </w:rPr>
              <w:t>5-year TCO</w:t>
            </w:r>
          </w:p>
        </w:tc>
        <w:tc>
          <w:tcPr>
            <w:tcW w:type="dxa" w:w="3249"/>
            <w:vAlign w:val="center"/>
          </w:tcPr>
          <w:p>
            <w:pPr>
              <w:spacing w:line="276" w:lineRule="auto" w:before="0" w:after="0"/>
            </w:pPr>
            <w:r/>
            <w:r>
              <w:rPr>
                <w:rFonts w:ascii="Figtree" w:hAnsi="Figtree"/>
                <w:b w:val="0"/>
                <w:i w:val="0"/>
                <w:sz w:val="20"/>
              </w:rPr>
              <w:t>€5M-€8M</w:t>
            </w:r>
          </w:p>
        </w:tc>
        <w:tc>
          <w:tcPr>
            <w:tcW w:type="dxa" w:w="3249"/>
            <w:vAlign w:val="center"/>
          </w:tcPr>
          <w:p>
            <w:pPr>
              <w:spacing w:line="276" w:lineRule="auto" w:before="0" w:after="0"/>
            </w:pPr>
            <w:r/>
            <w:r>
              <w:rPr>
                <w:rFonts w:ascii="Figtree" w:hAnsi="Figtree"/>
                <w:b w:val="0"/>
                <w:i w:val="0"/>
                <w:sz w:val="20"/>
              </w:rPr>
              <w:t>€2.1M-€2.8M</w:t>
            </w:r>
          </w:p>
        </w:tc>
      </w:tr>
    </w:tbl>
    <w:p>
      <w:pPr>
        <w:spacing w:before="0" w:after="0" w:line="120" w:lineRule="exact"/>
      </w:pPr>
    </w:p>
    <w:p>
      <w:pPr>
        <w:pStyle w:val="H3"/>
        <w:numPr>
          <w:ilvl w:val="2"/>
          <w:numId w:val="1"/>
        </w:numPr>
      </w:pPr>
      <w:r>
        <w:t>Funding Advantage</w:t>
      </w:r>
    </w:p>
    <w:p>
      <w:r>
        <w:rPr>
          <w:rFonts w:ascii="Figtree" w:hAnsi="Figtree"/>
          <w:b w:val="0"/>
          <w:i w:val="0"/>
          <w:sz w:val="22"/>
        </w:rPr>
        <w:t>Tokenized receivables unlock a broader investor base than bilateral warehouse facilities:</w:t>
      </w:r>
    </w:p>
    <w:p>
      <w:pPr>
        <w:pStyle w:val="ListParagraph"/>
        <w:numPr>
          <w:ilvl w:val="0"/>
          <w:numId w:val="4"/>
        </w:numPr>
      </w:pPr>
      <w:r>
        <w:rPr>
          <w:rFonts w:ascii="Figtree" w:hAnsi="Figtree"/>
          <w:b w:val="0"/>
          <w:i w:val="0"/>
          <w:sz w:val="22"/>
        </w:rPr>
        <w:t>Warehouse facilities: 2-4 bank counterparties, 6-12 month approval cycles</w:t>
      </w:r>
    </w:p>
    <w:p>
      <w:pPr>
        <w:pStyle w:val="ListParagraph"/>
        <w:numPr>
          <w:ilvl w:val="0"/>
          <w:numId w:val="4"/>
        </w:numPr>
      </w:pPr>
      <w:r>
        <w:rPr>
          <w:rFonts w:ascii="Figtree" w:hAnsi="Figtree"/>
          <w:b w:val="0"/>
          <w:i w:val="0"/>
          <w:sz w:val="22"/>
        </w:rPr>
        <w:t>Tokenized receivables: 20+ institutional investors, configurable per pool, subscription in days</w:t>
      </w:r>
    </w:p>
    <w:p>
      <w:r>
        <w:rPr>
          <w:rFonts w:ascii="Figtree" w:hAnsi="Figtree"/>
          <w:b w:val="0"/>
          <w:i w:val="0"/>
          <w:sz w:val="22"/>
        </w:rPr>
        <w:t>The diversification benefit alone reduces Tabby's counterparty concentration risk and provides pricing competition among funders.</w:t>
      </w:r>
    </w:p>
    <w:p>
      <w:r>
        <w:br w:type="page"/>
      </w:r>
    </w:p>
    <w:p>
      <w:pPr>
        <w:pStyle w:val="H2"/>
        <w:numPr>
          <w:ilvl w:val="1"/>
          <w:numId w:val="1"/>
        </w:numPr>
      </w:pPr>
      <w:r>
        <w:t>Pricing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€35,000/month</w:t>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w:t>
      </w:r>
    </w:p>
    <w:p>
      <w:pPr>
        <w:pStyle w:val="H3"/>
        <w:numPr>
          <w:ilvl w:val="2"/>
          <w:numId w:val="1"/>
        </w:numPr>
      </w:pPr>
      <w:r>
        <w:t>Infrastructure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3"/>
        <w:gridCol w:w="2540"/>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Cloud-managed</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Self-hosted</w:t>
            </w:r>
          </w:p>
        </w:tc>
        <w:tc>
          <w:tcPr>
            <w:tcW w:type="dxa" w:w="3249"/>
            <w:vAlign w:val="center"/>
          </w:tcPr>
          <w:p>
            <w:pPr>
              <w:spacing w:line="276" w:lineRule="auto" w:before="0" w:after="0"/>
            </w:pPr>
            <w:r/>
            <w:r>
              <w:rPr>
                <w:rFonts w:ascii="Figtree" w:hAnsi="Figtree"/>
                <w:b w:val="0"/>
                <w:i w:val="0"/>
                <w:sz w:val="20"/>
              </w:rPr>
              <w:t>Tabby</w:t>
            </w:r>
          </w:p>
        </w:tc>
        <w:tc>
          <w:tcPr>
            <w:tcW w:type="dxa" w:w="3249"/>
            <w:vAlign w:val="center"/>
          </w:tcPr>
          <w:p>
            <w:pPr>
              <w:spacing w:line="276" w:lineRule="auto" w:before="0" w:after="0"/>
            </w:pPr>
            <w:r/>
            <w:r>
              <w:rPr>
                <w:rFonts w:ascii="Figtree" w:hAnsi="Figtree"/>
                <w:b w:val="0"/>
                <w:i w:val="0"/>
                <w:sz w:val="20"/>
              </w:rPr>
              <w:t>Tabby bears cost</w:t>
            </w:r>
          </w:p>
        </w:tc>
      </w:tr>
    </w:tbl>
    <w:p>
      <w:pPr>
        <w:spacing w:before="0" w:after="0" w:line="120" w:lineRule="exact"/>
      </w:pPr>
    </w:p>
    <w:p>
      <w:r>
        <w:br w:type="page"/>
      </w:r>
    </w:p>
    <w:p>
      <w:pPr>
        <w:pStyle w:val="H2"/>
        <w:numPr>
          <w:ilvl w:val="1"/>
          <w:numId w:val="1"/>
        </w:numPr>
      </w:pPr>
      <w:r>
        <w:t>Implementation Costs</w:t>
      </w:r>
    </w:p>
    <w:p>
      <w:r>
        <w:rPr>
          <w:rFonts w:ascii="Figtree" w:hAnsi="Figtree"/>
          <w:b w:val="0"/>
          <w:i w:val="0"/>
          <w:sz w:val="22"/>
        </w:rPr>
        <w:t>26-week programme covering platform setup, API integration, pool structuring configuration, compliance module setup, waterfall distribution testing, and go-live.</w:t>
      </w:r>
    </w:p>
    <w:p>
      <w:r>
        <w:rPr>
          <w:rFonts w:ascii="Figtree" w:hAnsi="Figtree"/>
          <w:b/>
          <w:i w:val="0"/>
          <w:sz w:val="22"/>
        </w:rPr>
        <w:t>Implementation cost:</w:t>
      </w:r>
      <w:r>
        <w:rPr>
          <w:rFonts w:ascii="Figtree" w:hAnsi="Figtree"/>
          <w:b w:val="0"/>
          <w:i w:val="0"/>
          <w:sz w:val="22"/>
        </w:rPr>
        <w:t xml:space="preserve"> [CLIENT-SPECIFIC - scoped at contract based on integration complexity and dual-jurisdiction requirements]</w:t>
      </w:r>
    </w:p>
    <w:p>
      <w:r>
        <w:br w:type="page"/>
      </w:r>
    </w:p>
    <w:p>
      <w:pPr>
        <w:pStyle w:val="H2"/>
        <w:numPr>
          <w:ilvl w:val="1"/>
          <w:numId w:val="1"/>
        </w:numPr>
      </w:pPr>
      <w:r>
        <w:t>Support and Maintenance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68"/>
        <w:gridCol w:w="4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Availability</w:t>
            </w:r>
          </w:p>
        </w:tc>
        <w:tc>
          <w:tcPr>
            <w:tcW w:type="dxa" w:w="4873"/>
            <w:vAlign w:val="center"/>
          </w:tcPr>
          <w:p>
            <w:pPr>
              <w:spacing w:line="276" w:lineRule="auto" w:before="0" w:after="0"/>
            </w:pPr>
            <w:r/>
            <w:r>
              <w:rPr>
                <w:rFonts w:ascii="Figtree" w:hAnsi="Figtree"/>
                <w:b w:val="0"/>
                <w:i w:val="0"/>
                <w:sz w:val="20"/>
              </w:rPr>
              <w:t>24/5</w:t>
            </w:r>
          </w:p>
        </w:tc>
      </w:tr>
      <w:tr>
        <w:trPr>
          <w:trHeight w:val="425" w:hRule="atLeast"/>
        </w:trPr>
        <w:tc>
          <w:tcPr>
            <w:tcW w:type="dxa" w:w="4873"/>
            <w:vAlign w:val="center"/>
          </w:tcPr>
          <w:p>
            <w:pPr>
              <w:spacing w:line="276" w:lineRule="auto" w:before="0" w:after="0"/>
            </w:pPr>
            <w:r/>
            <w:r>
              <w:rPr>
                <w:rFonts w:ascii="Figtree" w:hAnsi="Figtree"/>
                <w:b w:val="0"/>
                <w:i w:val="0"/>
                <w:sz w:val="20"/>
              </w:rPr>
              <w:t>Critical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TAM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Security patches</w:t>
            </w:r>
          </w:p>
        </w:tc>
        <w:tc>
          <w:tcPr>
            <w:tcW w:type="dxa" w:w="4873"/>
            <w:vAlign w:val="center"/>
          </w:tcPr>
          <w:p>
            <w:pPr>
              <w:spacing w:line="276" w:lineRule="auto" w:before="0" w:after="0"/>
            </w:pPr>
            <w:r/>
            <w:r>
              <w:rPr>
                <w:rFonts w:ascii="Figtree" w:hAnsi="Figtree"/>
                <w:b w:val="0"/>
                <w:i w:val="0"/>
                <w:sz w:val="20"/>
              </w:rPr>
              <w:t>Same day (emergency)</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2"/>
        <w:gridCol w:w="1230"/>
        <w:gridCol w:w="3229"/>
        <w:gridCol w:w="36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Infrastructure (est.)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Annual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€60,000-€120,000</w:t>
            </w:r>
          </w:p>
        </w:tc>
        <w:tc>
          <w:tcPr>
            <w:tcW w:type="dxa" w:w="2436"/>
            <w:vAlign w:val="center"/>
          </w:tcPr>
          <w:p>
            <w:pPr>
              <w:spacing w:line="276" w:lineRule="auto" w:before="0" w:after="0"/>
            </w:pPr>
            <w:r/>
            <w:r>
              <w:rPr>
                <w:rFonts w:ascii="Figtree" w:hAnsi="Figtree"/>
                <w:b w:val="0"/>
                <w:i w:val="0"/>
                <w:sz w:val="20"/>
              </w:rPr>
              <w:t>€480,000-€540,000 + impl</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€60,000-€120,000</w:t>
            </w:r>
          </w:p>
        </w:tc>
        <w:tc>
          <w:tcPr>
            <w:tcW w:type="dxa" w:w="2436"/>
            <w:vAlign w:val="center"/>
          </w:tcPr>
          <w:p>
            <w:pPr>
              <w:spacing w:line="276" w:lineRule="auto" w:before="0" w:after="0"/>
            </w:pPr>
            <w:r/>
            <w:r>
              <w:rPr>
                <w:rFonts w:ascii="Figtree" w:hAnsi="Figtree"/>
                <w:b w:val="0"/>
                <w:i w:val="0"/>
                <w:sz w:val="20"/>
              </w:rPr>
              <w:t>€480,000-€540,000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€70,000-€130,000</w:t>
            </w:r>
          </w:p>
        </w:tc>
        <w:tc>
          <w:tcPr>
            <w:tcW w:type="dxa" w:w="2436"/>
            <w:vAlign w:val="center"/>
          </w:tcPr>
          <w:p>
            <w:pPr>
              <w:spacing w:line="276" w:lineRule="auto" w:before="0" w:after="0"/>
            </w:pPr>
            <w:r/>
            <w:r>
              <w:rPr>
                <w:rFonts w:ascii="Figtree" w:hAnsi="Figtree"/>
                <w:b w:val="0"/>
                <w:i w:val="0"/>
                <w:sz w:val="20"/>
              </w:rPr>
              <w:t>€490,000-€550,000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€70,000-€130,000</w:t>
            </w:r>
          </w:p>
        </w:tc>
        <w:tc>
          <w:tcPr>
            <w:tcW w:type="dxa" w:w="2436"/>
            <w:vAlign w:val="center"/>
          </w:tcPr>
          <w:p>
            <w:pPr>
              <w:spacing w:line="276" w:lineRule="auto" w:before="0" w:after="0"/>
            </w:pPr>
            <w:r/>
            <w:r>
              <w:rPr>
                <w:rFonts w:ascii="Figtree" w:hAnsi="Figtree"/>
                <w:b w:val="0"/>
                <w:i w:val="0"/>
                <w:sz w:val="20"/>
              </w:rPr>
              <w:t>€490,000-€550,000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€80,000-€140,000</w:t>
            </w:r>
          </w:p>
        </w:tc>
        <w:tc>
          <w:tcPr>
            <w:tcW w:type="dxa" w:w="2436"/>
            <w:vAlign w:val="center"/>
          </w:tcPr>
          <w:p>
            <w:pPr>
              <w:spacing w:line="276" w:lineRule="auto" w:before="0" w:after="0"/>
            </w:pPr>
            <w:r/>
            <w:r>
              <w:rPr>
                <w:rFonts w:ascii="Figtree" w:hAnsi="Figtree"/>
                <w:b w:val="0"/>
                <w:i w:val="0"/>
                <w:sz w:val="20"/>
              </w:rPr>
              <w:t>€500,000-€560,000</w:t>
            </w:r>
          </w:p>
        </w:tc>
      </w:tr>
    </w:tbl>
    <w:p>
      <w:pPr>
        <w:spacing w:before="0" w:after="0" w:line="120" w:lineRule="exact"/>
      </w:pPr>
    </w:p>
    <w:p>
      <w:r>
        <w:br w:type="page"/>
      </w:r>
    </w:p>
    <w:p>
      <w:pPr>
        <w:pStyle w:val="H2"/>
        <w:numPr>
          <w:ilvl w:val="1"/>
          <w:numId w:val="1"/>
        </w:numPr>
      </w:pPr>
      <w:r>
        <w:t>ROI Framework</w:t>
      </w:r>
    </w:p>
    <w:p>
      <w:pPr>
        <w:pStyle w:val="H3"/>
        <w:numPr>
          <w:ilvl w:val="2"/>
          <w:numId w:val="1"/>
        </w:numPr>
      </w:pPr>
      <w:r>
        <w:t>Cost Avoidance</w:t>
      </w:r>
    </w:p>
    <w:p>
      <w:pPr>
        <w:pStyle w:val="ListParagraph"/>
        <w:numPr>
          <w:ilvl w:val="0"/>
          <w:numId w:val="4"/>
        </w:numPr>
      </w:pPr>
      <w:r>
        <w:rPr>
          <w:rFonts w:ascii="Figtree" w:hAnsi="Figtree"/>
          <w:b/>
          <w:i w:val="0"/>
          <w:sz w:val="22"/>
        </w:rPr>
        <w:t>Engineering avoidance:</w:t>
      </w:r>
      <w:r>
        <w:rPr>
          <w:rFonts w:ascii="Figtree" w:hAnsi="Figtree"/>
          <w:b w:val="0"/>
          <w:i w:val="0"/>
          <w:sz w:val="22"/>
        </w:rPr>
        <w:t xml:space="preserve"> €2M-€4M avoided over 3 years vs. internal build</w:t>
      </w:r>
    </w:p>
    <w:p>
      <w:pPr>
        <w:pStyle w:val="ListParagraph"/>
        <w:numPr>
          <w:ilvl w:val="0"/>
          <w:numId w:val="4"/>
        </w:numPr>
      </w:pPr>
      <w:r>
        <w:rPr>
          <w:rFonts w:ascii="Figtree" w:hAnsi="Figtree"/>
          <w:b/>
          <w:i w:val="0"/>
          <w:sz w:val="22"/>
        </w:rPr>
        <w:t>Integration maintenance elimination:</w:t>
      </w:r>
      <w:r>
        <w:rPr>
          <w:rFonts w:ascii="Figtree" w:hAnsi="Figtree"/>
          <w:b w:val="0"/>
          <w:i w:val="0"/>
          <w:sz w:val="22"/>
        </w:rPr>
        <w:t xml:space="preserve"> Single platform replaces multi-vendor assembly</w:t>
      </w:r>
    </w:p>
    <w:p>
      <w:pPr>
        <w:pStyle w:val="ListParagraph"/>
        <w:numPr>
          <w:ilvl w:val="0"/>
          <w:numId w:val="4"/>
        </w:numPr>
      </w:pPr>
      <w:r>
        <w:rPr>
          <w:rFonts w:ascii="Figtree" w:hAnsi="Figtree"/>
          <w:b/>
          <w:i w:val="0"/>
          <w:sz w:val="22"/>
        </w:rPr>
        <w:t>Regulatory remediation risk reduction:</w:t>
      </w:r>
      <w:r>
        <w:rPr>
          <w:rFonts w:ascii="Figtree" w:hAnsi="Figtree"/>
          <w:b w:val="0"/>
          <w:i w:val="0"/>
          <w:sz w:val="22"/>
        </w:rPr>
        <w:t xml:space="preserve"> Pre-audited compliance modules for UAE and KSA</w:t>
      </w:r>
    </w:p>
    <w:p>
      <w:pPr>
        <w:pStyle w:val="H3"/>
        <w:numPr>
          <w:ilvl w:val="2"/>
          <w:numId w:val="1"/>
        </w:numPr>
      </w:pPr>
      <w:r>
        <w:t>Revenue and Funding Impact</w:t>
      </w:r>
    </w:p>
    <w:p>
      <w:pPr>
        <w:pStyle w:val="ListParagraph"/>
        <w:numPr>
          <w:ilvl w:val="0"/>
          <w:numId w:val="4"/>
        </w:numPr>
      </w:pPr>
      <w:r>
        <w:rPr>
          <w:rFonts w:ascii="Figtree" w:hAnsi="Figtree"/>
          <w:b/>
          <w:i w:val="0"/>
          <w:sz w:val="22"/>
        </w:rPr>
        <w:t>Funding cost reduction:</w:t>
      </w:r>
      <w:r>
        <w:rPr>
          <w:rFonts w:ascii="Figtree" w:hAnsi="Figtree"/>
          <w:b w:val="0"/>
          <w:i w:val="0"/>
          <w:sz w:val="22"/>
        </w:rPr>
        <w:t xml:space="preserve"> 25-75 bps improvement through investor competition = $1.25M-$3.75M annually on $500M portfolio</w:t>
      </w:r>
    </w:p>
    <w:p>
      <w:pPr>
        <w:pStyle w:val="ListParagraph"/>
        <w:numPr>
          <w:ilvl w:val="0"/>
          <w:numId w:val="4"/>
        </w:numPr>
      </w:pPr>
      <w:r>
        <w:rPr>
          <w:rFonts w:ascii="Figtree" w:hAnsi="Figtree"/>
          <w:b/>
          <w:i w:val="0"/>
          <w:sz w:val="22"/>
        </w:rPr>
        <w:t>Faster capital access:</w:t>
      </w:r>
      <w:r>
        <w:rPr>
          <w:rFonts w:ascii="Figtree" w:hAnsi="Figtree"/>
          <w:b w:val="0"/>
          <w:i w:val="0"/>
          <w:sz w:val="22"/>
        </w:rPr>
        <w:t xml:space="preserve"> Weeks vs. months for new funding rounds</w:t>
      </w:r>
    </w:p>
    <w:p>
      <w:pPr>
        <w:pStyle w:val="ListParagraph"/>
        <w:numPr>
          <w:ilvl w:val="0"/>
          <w:numId w:val="4"/>
        </w:numPr>
      </w:pPr>
      <w:r>
        <w:rPr>
          <w:rFonts w:ascii="Figtree" w:hAnsi="Figtree"/>
          <w:b/>
          <w:i w:val="0"/>
          <w:sz w:val="22"/>
        </w:rPr>
        <w:t>Portfolio scale:</w:t>
      </w:r>
      <w:r>
        <w:rPr>
          <w:rFonts w:ascii="Figtree" w:hAnsi="Figtree"/>
          <w:b w:val="0"/>
          <w:i w:val="0"/>
          <w:sz w:val="22"/>
        </w:rPr>
        <w:t xml:space="preserve"> Tokenized structure supports rapid portfolio growth without renegotiating bilateral facilities</w:t>
      </w:r>
    </w:p>
    <w:p>
      <w:pPr>
        <w:pStyle w:val="H3"/>
        <w:numPr>
          <w:ilvl w:val="2"/>
          <w:numId w:val="1"/>
        </w:numPr>
      </w:pPr>
      <w:r>
        <w:t>Risk Reduction</w:t>
      </w:r>
    </w:p>
    <w:p>
      <w:pPr>
        <w:pStyle w:val="ListParagraph"/>
        <w:numPr>
          <w:ilvl w:val="0"/>
          <w:numId w:val="4"/>
        </w:numPr>
      </w:pPr>
      <w:r>
        <w:rPr>
          <w:rFonts w:ascii="Figtree" w:hAnsi="Figtree"/>
          <w:b/>
          <w:i w:val="0"/>
          <w:sz w:val="22"/>
        </w:rPr>
        <w:t>Regulatory confidence:</w:t>
      </w:r>
      <w:r>
        <w:rPr>
          <w:rFonts w:ascii="Figtree" w:hAnsi="Figtree"/>
          <w:b w:val="0"/>
          <w:i w:val="0"/>
          <w:sz w:val="22"/>
        </w:rPr>
        <w:t xml:space="preserve"> Dual-jurisdiction compliance from day one</w:t>
      </w:r>
    </w:p>
    <w:p>
      <w:pPr>
        <w:pStyle w:val="ListParagraph"/>
        <w:numPr>
          <w:ilvl w:val="0"/>
          <w:numId w:val="4"/>
        </w:numPr>
      </w:pPr>
      <w:r>
        <w:rPr>
          <w:rFonts w:ascii="Figtree" w:hAnsi="Figtree"/>
          <w:b/>
          <w:i w:val="0"/>
          <w:sz w:val="22"/>
        </w:rPr>
        <w:t>Investor transparency:</w:t>
      </w:r>
      <w:r>
        <w:rPr>
          <w:rFonts w:ascii="Figtree" w:hAnsi="Figtree"/>
          <w:b w:val="0"/>
          <w:i w:val="0"/>
          <w:sz w:val="22"/>
        </w:rPr>
        <w:t xml:space="preserve"> Real-time pool performance reduces funder due diligence friction</w:t>
      </w:r>
    </w:p>
    <w:p>
      <w:pPr>
        <w:pStyle w:val="ListParagraph"/>
        <w:numPr>
          <w:ilvl w:val="0"/>
          <w:numId w:val="4"/>
        </w:numPr>
      </w:pPr>
      <w:r>
        <w:rPr>
          <w:rFonts w:ascii="Figtree" w:hAnsi="Figtree"/>
          <w:b/>
          <w:i w:val="0"/>
          <w:sz w:val="22"/>
        </w:rPr>
        <w:t>Operational continuity:</w:t>
      </w:r>
      <w:r>
        <w:rPr>
          <w:rFonts w:ascii="Figtree" w:hAnsi="Figtree"/>
          <w:b w:val="0"/>
          <w:i w:val="0"/>
          <w:sz w:val="22"/>
        </w:rPr>
        <w:t xml:space="preserve"> Automated waterfall distribution eliminates manual error risk</w:t>
      </w:r>
    </w:p>
    <w:p>
      <w:r>
        <w:br w:type="page"/>
      </w:r>
    </w:p>
    <w:p>
      <w:pPr>
        <w:pStyle w:val="H2"/>
        <w:numPr>
          <w:ilvl w:val="1"/>
          <w:numId w:val="1"/>
        </w:numPr>
      </w:pPr>
      <w:r>
        <w:t>Payment Terms</w:t>
      </w:r>
    </w:p>
    <w:p>
      <w:pPr>
        <w:pStyle w:val="ListParagraph"/>
        <w:numPr>
          <w:ilvl w:val="0"/>
          <w:numId w:val="4"/>
        </w:numPr>
      </w:pPr>
      <w:r>
        <w:rPr>
          <w:rFonts w:ascii="Figtree" w:hAnsi="Figtree"/>
          <w:b/>
          <w:i w:val="0"/>
          <w:sz w:val="22"/>
        </w:rPr>
        <w:t>License:</w:t>
      </w:r>
      <w:r>
        <w:rPr>
          <w:rFonts w:ascii="Figtree" w:hAnsi="Figtree"/>
          <w:b w:val="0"/>
          <w:i w:val="0"/>
          <w:sz w:val="22"/>
        </w:rPr>
        <w:t xml:space="preserve"> Annual, upfront</w:t>
      </w:r>
    </w:p>
    <w:p>
      <w:pPr>
        <w:pStyle w:val="ListParagraph"/>
        <w:numPr>
          <w:ilvl w:val="0"/>
          <w:numId w:val="4"/>
        </w:numPr>
      </w:pPr>
      <w:r>
        <w:rPr>
          <w:rFonts w:ascii="Figtree" w:hAnsi="Figtree"/>
          <w:b/>
          <w:i w:val="0"/>
          <w:sz w:val="22"/>
        </w:rPr>
        <w:t>Implementation:</w:t>
      </w:r>
      <w:r>
        <w:rPr>
          <w:rFonts w:ascii="Figtree" w:hAnsi="Figtree"/>
          <w:b w:val="0"/>
          <w:i w:val="0"/>
          <w:sz w:val="22"/>
        </w:rPr>
        <w:t xml:space="preserve"> 30% on signature, 40% on Phase 2 completion, 30% on go-live</w:t>
      </w:r>
    </w:p>
    <w:p>
      <w:pPr>
        <w:pStyle w:val="ListParagraph"/>
        <w:numPr>
          <w:ilvl w:val="0"/>
          <w:numId w:val="4"/>
        </w:numPr>
      </w:pPr>
      <w:r>
        <w:rPr>
          <w:rFonts w:ascii="Figtree" w:hAnsi="Figtree"/>
          <w:b/>
          <w:i w:val="0"/>
          <w:sz w:val="22"/>
        </w:rPr>
        <w:t>Currency:</w:t>
      </w:r>
      <w:r>
        <w:rPr>
          <w:rFonts w:ascii="Figtree" w:hAnsi="Figtree"/>
          <w:b w:val="0"/>
          <w:i w:val="0"/>
          <w:sz w:val="22"/>
        </w:rPr>
        <w:t xml:space="preserve"> EUR base; USD available at invoice-date rate</w:t>
      </w:r>
    </w:p>
    <w:p>
      <w:r>
        <w:rPr>
          <w:rFonts w:ascii="Figtree" w:hAnsi="Figtree"/>
          <w:b w:val="0"/>
          <w:i w:val="0"/>
          <w:sz w:val="22"/>
        </w:rPr>
        <w:t>All prices exclude applicable taxes and VAT.</w:t>
      </w:r>
    </w:p>
    <w:p>
      <w:r>
        <w:br w:type="page"/>
      </w:r>
    </w:p>
    <w:p>
      <w:pPr>
        <w:pStyle w:val="H2"/>
        <w:numPr>
          <w:ilvl w:val="1"/>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80"/>
        <w:gridCol w:w="52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w:t>
            </w:r>
          </w:p>
        </w:tc>
        <w:tc>
          <w:tcPr>
            <w:tcW w:type="dxa" w:w="4873"/>
            <w:vAlign w:val="center"/>
          </w:tcPr>
          <w:p>
            <w:pPr>
              <w:spacing w:line="276" w:lineRule="auto" w:before="0" w:after="0"/>
            </w:pPr>
            <w:r/>
            <w:r>
              <w:rPr>
                <w:rFonts w:ascii="Figtree" w:hAnsi="Figtree"/>
                <w:b w:val="0"/>
                <w:i w:val="0"/>
                <w:sz w:val="20"/>
              </w:rPr>
              <w:t>Terms, liability, IP, data handling</w:t>
            </w:r>
          </w:p>
        </w:tc>
      </w:tr>
      <w:tr>
        <w:trPr>
          <w:trHeight w:val="425" w:hRule="atLeast"/>
        </w:trPr>
        <w:tc>
          <w:tcPr>
            <w:tcW w:type="dxa" w:w="4873"/>
            <w:vAlign w:val="center"/>
          </w:tcPr>
          <w:p>
            <w:pPr>
              <w:spacing w:line="276" w:lineRule="auto" w:before="0" w:after="0"/>
            </w:pPr>
            <w:r/>
            <w:r>
              <w:rPr>
                <w:rFonts w:ascii="Figtree" w:hAnsi="Figtree"/>
                <w:b w:val="0"/>
                <w:i w:val="0"/>
                <w:sz w:val="20"/>
              </w:rPr>
              <w:t>License Order Form</w:t>
            </w:r>
          </w:p>
        </w:tc>
        <w:tc>
          <w:tcPr>
            <w:tcW w:type="dxa" w:w="4873"/>
            <w:vAlign w:val="center"/>
          </w:tcPr>
          <w:p>
            <w:pPr>
              <w:spacing w:line="276" w:lineRule="auto" w:before="0" w:after="0"/>
            </w:pPr>
            <w:r/>
            <w:r>
              <w:rPr>
                <w:rFonts w:ascii="Figtree" w:hAnsi="Figtree"/>
                <w:b w:val="0"/>
                <w:i w:val="0"/>
                <w:sz w:val="20"/>
              </w:rPr>
              <w:t>Environments, fees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SOW</w:t>
            </w:r>
          </w:p>
        </w:tc>
        <w:tc>
          <w:tcPr>
            <w:tcW w:type="dxa" w:w="4873"/>
            <w:vAlign w:val="center"/>
          </w:tcPr>
          <w:p>
            <w:pPr>
              <w:spacing w:line="276" w:lineRule="auto" w:before="0" w:after="0"/>
            </w:pPr>
            <w:r/>
            <w:r>
              <w:rPr>
                <w:rFonts w:ascii="Figtree" w:hAnsi="Figtree"/>
                <w:b w:val="0"/>
                <w:i w:val="0"/>
                <w:sz w:val="20"/>
              </w:rPr>
              <w:t>Programme scope, milestones</w:t>
            </w:r>
          </w:p>
        </w:tc>
      </w:tr>
      <w:tr>
        <w:trPr>
          <w:trHeight w:val="425" w:hRule="atLeast"/>
        </w:trPr>
        <w:tc>
          <w:tcPr>
            <w:tcW w:type="dxa" w:w="4873"/>
            <w:vAlign w:val="center"/>
          </w:tcPr>
          <w:p>
            <w:pPr>
              <w:spacing w:line="276" w:lineRule="auto" w:before="0" w:after="0"/>
            </w:pPr>
            <w:r/>
            <w:r>
              <w:rPr>
                <w:rFonts w:ascii="Figtree" w:hAnsi="Figtree"/>
                <w:b w:val="0"/>
                <w:i w:val="0"/>
                <w:sz w:val="20"/>
              </w:rPr>
              <w:t>Support Schedule</w:t>
            </w:r>
          </w:p>
        </w:tc>
        <w:tc>
          <w:tcPr>
            <w:tcW w:type="dxa" w:w="4873"/>
            <w:vAlign w:val="center"/>
          </w:tcPr>
          <w:p>
            <w:pPr>
              <w:spacing w:line="276" w:lineRule="auto" w:before="0" w:after="0"/>
            </w:pPr>
            <w:r/>
            <w:r>
              <w:rPr>
                <w:rFonts w:ascii="Figtree" w:hAnsi="Figtree"/>
                <w:b w:val="0"/>
                <w:i w:val="0"/>
                <w:sz w:val="20"/>
              </w:rPr>
              <w:t>SLA terms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Privacy, data protection</w:t>
            </w:r>
          </w:p>
        </w:tc>
      </w:tr>
    </w:tbl>
    <w:p>
      <w:pPr>
        <w:spacing w:before="0" w:after="0" w:line="120" w:lineRule="exact"/>
      </w:pPr>
    </w:p>
    <w:p>
      <w:r>
        <w:br w:type="page"/>
      </w:r>
    </w:p>
    <w:p>
      <w:r>
        <w:rPr>
          <w:rFonts w:ascii="Figtree" w:hAnsi="Figtree"/>
          <w:b w:val="0"/>
          <w:i/>
          <w:sz w:val="22"/>
        </w:rPr>
        <w:t>This commercial proposal is submitted in strict confidence by SettleMint. 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