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 Enterprise</w:t>
            <w:rPr>
              <w:sz w:val="22"/>
              <w:rFonts w:ascii="Figtree" w:hAnsi="Figtree"/>
            </w:rPr>
          </w:r>
        </w:p>
        <w:p>
          <w:pPr>
            <w:ind w:left="720"/>
          </w:pPr>
          <w:r>
            <w:t xml:space="preserve">Implementation: 19 Weeks</w:t>
            <w:rPr>
              <w:sz w:val="22"/>
              <w:rFonts w:ascii="Figtree" w:hAnsi="Figtree"/>
            </w:rPr>
          </w:r>
        </w:p>
        <w:p>
          <w:pPr>
            <w:ind w:left="720"/>
          </w:pPr>
          <w:r>
            <w:t xml:space="preserve">Support: Premium</w:t>
            <w:rPr>
              <w:sz w:val="22"/>
              <w:rFonts w:ascii="Figtree" w:hAnsi="Figtree"/>
            </w:rPr>
          </w:r>
        </w:p>
        <w:p>
          <w:pPr>
            <w:ind w:left="720"/>
          </w:pPr>
          <w:r>
            <w:t xml:space="preserve">TCO (3-Year)</w:t>
            <w:rPr>
              <w:sz w:val="22"/>
              <w:rFonts w:ascii="Figtree" w:hAnsi="Figtree"/>
            </w:rPr>
          </w:r>
        </w:p>
        <w:p>
          <w:pPr>
            <w:ind w:left="720"/>
          </w:pPr>
          <w:r>
            <w:t xml:space="preserve">Next Steps</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Tokenized Trade Finance Workflow and Receivables Digitization</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Absa Group</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ABSA-GROUP-RFP-TOKENIZED-TRADE-FINANCE-202603</w:t>
            </w:r>
          </w:p>
        </w:tc>
      </w:tr>
    </w:tbl>
    <w:p>
      <w:r>
        <w:br w:type="page"/>
      </w:r>
    </w:p>
    <w:p>
      <w:pPr>
        <w:pStyle w:val="H2"/>
        <w:numPr>
          <w:ilvl w:val="1"/>
          <w:numId w:val="1"/>
        </w:numPr>
      </w:pPr>
      <w:r>
        <w:t>Executive Summary</w:t>
      </w:r>
    </w:p>
    <w:p>
      <w:r>
        <w:rPr>
          <w:rFonts w:ascii="Figtree" w:hAnsi="Figtree"/>
          <w:b w:val="0"/>
          <w:i w:val="0"/>
          <w:sz w:val="22"/>
        </w:rPr>
        <w:t>Absa Group requires a platform for tokenized trade finance workflow and receivables digitization operating within South Africa's regulatory framework. This commercial proposal presents SettleMint's DALP licensing, implementation, and support model.</w:t>
      </w:r>
    </w:p>
    <w:p>
      <w:r>
        <w:rPr>
          <w:rFonts w:ascii="Figtree" w:hAnsi="Figtree"/>
          <w:b/>
          <w:i w:val="0"/>
          <w:sz w:val="22"/>
        </w:rPr>
        <w:t>Recommendation:</w:t>
      </w:r>
      <w:r>
        <w:rPr>
          <w:rFonts w:ascii="Figtree" w:hAnsi="Figtree"/>
          <w:b w:val="0"/>
          <w:i w:val="0"/>
          <w:sz w:val="22"/>
        </w:rPr>
        <w:t xml:space="preserve"> Enterprise license + dedicated cloud (South Africa-resident) + Premium support + 19-week implementation.</w:t>
      </w:r>
    </w:p>
    <w:p>
      <w:r>
        <w:rPr>
          <w:rFonts w:ascii="Figtree" w:hAnsi="Figtree"/>
          <w:b w:val="0"/>
          <w:i w:val="0"/>
          <w:sz w:val="22"/>
        </w:rPr>
        <w:t>No per-transaction, per-token, or per-workflow fees. Scale trade finance volumes without cost anxiety.</w:t>
      </w:r>
    </w:p>
    <w:p>
      <w:r>
        <w:br w:type="page"/>
      </w:r>
    </w:p>
    <w:p>
      <w:pPr>
        <w:pStyle w:val="H2"/>
        <w:numPr>
          <w:ilvl w:val="1"/>
          <w:numId w:val="1"/>
        </w:numPr>
      </w:pPr>
      <w:r>
        <w:t>Licensing: Enterprise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Principle</w:t>
            </w:r>
          </w:p>
        </w:tc>
        <w:tc>
          <w:tcPr>
            <w:tcW w:type="dxa" w:w="4873"/>
            <w:vAlign w:val="center"/>
            <w:shd w:fill="000099" w:val="clear"/>
          </w:tcPr>
          <w:p>
            <w:r>
              <w:rPr>
                <w:b/>
                <w:color w:val="FFFFFF"/>
              </w:rPr>
            </w:r>
            <w:r>
              <w:rPr>
                <w:rFonts w:ascii="Figtree" w:hAnsi="Figtree"/>
                <w:b/>
                <w:i w:val="0"/>
                <w:color w:val="FFFFFF"/>
                <w:sz w:val="22"/>
              </w:rPr>
              <w:t>Absa Impact</w:t>
            </w:r>
          </w:p>
        </w:tc>
      </w:tr>
      <w:tr>
        <w:trPr>
          <w:trHeight w:val="454" w:hRule="atLeast"/>
        </w:trPr>
        <w:tc>
          <w:tcPr>
            <w:tcW w:type="dxa" w:w="4873"/>
            <w:vAlign w:val="center"/>
          </w:tcPr>
          <w:p>
            <w:r/>
            <w:r>
              <w:rPr>
                <w:rFonts w:ascii="Figtree" w:hAnsi="Figtree"/>
                <w:b w:val="0"/>
                <w:i w:val="0"/>
                <w:sz w:val="22"/>
              </w:rPr>
              <w:t>No per-transaction</w:t>
            </w:r>
          </w:p>
        </w:tc>
        <w:tc>
          <w:tcPr>
            <w:tcW w:type="dxa" w:w="4873"/>
            <w:vAlign w:val="center"/>
          </w:tcPr>
          <w:p>
            <w:r/>
            <w:r>
              <w:rPr>
                <w:rFonts w:ascii="Figtree" w:hAnsi="Figtree"/>
                <w:b w:val="0"/>
                <w:i w:val="0"/>
                <w:sz w:val="22"/>
              </w:rPr>
              <w:t>Every workflow step, compliance check included</w:t>
            </w:r>
          </w:p>
        </w:tc>
      </w:tr>
      <w:tr>
        <w:trPr>
          <w:trHeight w:val="454" w:hRule="atLeast"/>
        </w:trPr>
        <w:tc>
          <w:tcPr>
            <w:tcW w:type="dxa" w:w="4873"/>
            <w:vAlign w:val="center"/>
          </w:tcPr>
          <w:p>
            <w:r/>
            <w:r>
              <w:rPr>
                <w:rFonts w:ascii="Figtree" w:hAnsi="Figtree"/>
                <w:b w:val="0"/>
                <w:i w:val="0"/>
                <w:sz w:val="22"/>
              </w:rPr>
              <w:t>No per-token</w:t>
            </w:r>
          </w:p>
        </w:tc>
        <w:tc>
          <w:tcPr>
            <w:tcW w:type="dxa" w:w="4873"/>
            <w:vAlign w:val="center"/>
          </w:tcPr>
          <w:p>
            <w:r/>
            <w:r>
              <w:rPr>
                <w:rFonts w:ascii="Figtree" w:hAnsi="Figtree"/>
                <w:b w:val="0"/>
                <w:i w:val="0"/>
                <w:sz w:val="22"/>
              </w:rPr>
              <w:t>Additional receivable types at zero cost</w:t>
            </w:r>
          </w:p>
        </w:tc>
      </w:tr>
      <w:tr>
        <w:trPr>
          <w:trHeight w:val="454" w:hRule="atLeast"/>
        </w:trPr>
        <w:tc>
          <w:tcPr>
            <w:tcW w:type="dxa" w:w="4873"/>
            <w:vAlign w:val="center"/>
          </w:tcPr>
          <w:p>
            <w:r/>
            <w:r>
              <w:rPr>
                <w:rFonts w:ascii="Figtree" w:hAnsi="Figtree"/>
                <w:b w:val="0"/>
                <w:i w:val="0"/>
                <w:sz w:val="22"/>
              </w:rPr>
              <w:t>Predictable subscription</w:t>
            </w:r>
          </w:p>
        </w:tc>
        <w:tc>
          <w:tcPr>
            <w:tcW w:type="dxa" w:w="4873"/>
            <w:vAlign w:val="center"/>
          </w:tcPr>
          <w:p>
            <w:r/>
            <w:r>
              <w:rPr>
                <w:rFonts w:ascii="Figtree" w:hAnsi="Figtree"/>
                <w:b w:val="0"/>
                <w:i w:val="0"/>
                <w:sz w:val="22"/>
              </w:rPr>
              <w:t>Budget certainty</w:t>
            </w:r>
          </w:p>
        </w:tc>
      </w:tr>
    </w:tbl>
    <w:p>
      <w:r>
        <w:rPr>
          <w:rFonts w:ascii="Figtree" w:hAnsi="Figtree"/>
          <w:b w:val="0"/>
          <w:i w:val="0"/>
          <w:sz w:val="22"/>
        </w:rPr>
        <w:t xml:space="preserve">Includes all pillars, modules, API surface, addons. </w:t>
      </w:r>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Implementation: 19 Weeks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Phase</w:t>
            </w:r>
          </w:p>
        </w:tc>
        <w:tc>
          <w:tcPr>
            <w:tcW w:type="dxa" w:w="3249"/>
            <w:vAlign w:val="center"/>
            <w:shd w:fill="000099" w:val="clear"/>
          </w:tcPr>
          <w:p>
            <w:r>
              <w:rPr>
                <w:b/>
                <w:color w:val="FFFFFF"/>
              </w:rPr>
            </w:r>
            <w:r>
              <w:rPr>
                <w:rFonts w:ascii="Figtree" w:hAnsi="Figtree"/>
                <w:b/>
                <w:i w:val="0"/>
                <w:color w:val="FFFFFF"/>
                <w:sz w:val="22"/>
              </w:rPr>
              <w:t>Duration</w:t>
            </w:r>
          </w:p>
        </w:tc>
        <w:tc>
          <w:tcPr>
            <w:tcW w:type="dxa" w:w="3249"/>
            <w:vAlign w:val="center"/>
            <w:shd w:fill="000099" w:val="clear"/>
          </w:tcPr>
          <w:p>
            <w:r>
              <w:rPr>
                <w:b/>
                <w:color w:val="FFFFFF"/>
              </w:rPr>
            </w:r>
            <w:r>
              <w:rPr>
                <w:rFonts w:ascii="Figtree" w:hAnsi="Figtree"/>
                <w:b/>
                <w:i w:val="0"/>
                <w:color w:val="FFFFFF"/>
                <w:sz w:val="22"/>
              </w:rPr>
              <w:t>Basis</w:t>
            </w:r>
          </w:p>
        </w:tc>
      </w:tr>
      <w:tr>
        <w:trPr>
          <w:trHeight w:val="454" w:hRule="atLeast"/>
        </w:trPr>
        <w:tc>
          <w:tcPr>
            <w:tcW w:type="dxa" w:w="3249"/>
            <w:vAlign w:val="center"/>
          </w:tcPr>
          <w:p>
            <w:r/>
            <w:r>
              <w:rPr>
                <w:rFonts w:ascii="Figtree" w:hAnsi="Figtree"/>
                <w:b w:val="0"/>
                <w:i w:val="0"/>
                <w:sz w:val="22"/>
              </w:rPr>
              <w:t>Discovery</w:t>
            </w:r>
          </w:p>
        </w:tc>
        <w:tc>
          <w:tcPr>
            <w:tcW w:type="dxa" w:w="3249"/>
            <w:vAlign w:val="center"/>
          </w:tcPr>
          <w:p>
            <w:r/>
            <w:r>
              <w:rPr>
                <w:rFonts w:ascii="Figtree" w:hAnsi="Figtree"/>
                <w:b w:val="0"/>
                <w:i w:val="0"/>
                <w:sz w:val="22"/>
              </w:rPr>
              <w:t>2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Foundation</w:t>
            </w:r>
          </w:p>
        </w:tc>
        <w:tc>
          <w:tcPr>
            <w:tcW w:type="dxa" w:w="3249"/>
            <w:vAlign w:val="center"/>
          </w:tcPr>
          <w:p>
            <w:r/>
            <w:r>
              <w:rPr>
                <w:rFonts w:ascii="Figtree" w:hAnsi="Figtree"/>
                <w:b w:val="0"/>
                <w:i w:val="0"/>
                <w:sz w:val="22"/>
              </w:rPr>
              <w:t>3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Trade Finance Config</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Integration &amp; Testing</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Go-Live &amp; Hypercare</w:t>
            </w:r>
          </w:p>
        </w:tc>
        <w:tc>
          <w:tcPr>
            <w:tcW w:type="dxa" w:w="3249"/>
            <w:vAlign w:val="center"/>
          </w:tcPr>
          <w:p>
            <w:r/>
            <w:r>
              <w:rPr>
                <w:rFonts w:ascii="Figtree" w:hAnsi="Figtree"/>
                <w:b w:val="0"/>
                <w:i w:val="0"/>
                <w:sz w:val="22"/>
              </w:rPr>
              <w:t>6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19 weeks</w:t>
            </w:r>
          </w:p>
        </w:tc>
        <w:tc>
          <w:tcPr>
            <w:tcW w:type="dxa" w:w="3249"/>
            <w:vAlign w:val="center"/>
          </w:tcPr>
          <w:p>
            <w:r/>
            <w:r>
              <w:rPr>
                <w:rFonts w:ascii="Figtree" w:hAnsi="Figtree"/>
                <w:b/>
                <w:i w:val="0"/>
                <w:sz w:val="22"/>
              </w:rPr>
              <w:t>[CLIENT-SPECIFIC]</w:t>
            </w:r>
          </w:p>
        </w:tc>
      </w:tr>
    </w:tbl>
    <w:p>
      <w:r>
        <w:rPr>
          <w:rFonts w:ascii="Figtree" w:hAnsi="Figtree"/>
          <w:b/>
          <w:i w:val="0"/>
          <w:sz w:val="22"/>
        </w:rPr>
        <w:t>Client effort:</w:t>
      </w:r>
      <w:r>
        <w:rPr>
          <w:rFonts w:ascii="Figtree" w:hAnsi="Figtree"/>
          <w:b w:val="0"/>
          <w:i w:val="0"/>
          <w:sz w:val="22"/>
        </w:rPr>
        <w:t xml:space="preserve"> 75 person-days</w:t>
      </w:r>
    </w:p>
    <w:p>
      <w:r>
        <w:br w:type="page"/>
      </w:r>
    </w:p>
    <w:p>
      <w:pPr>
        <w:pStyle w:val="H2"/>
        <w:numPr>
          <w:ilvl w:val="1"/>
          <w:numId w:val="1"/>
        </w:numPr>
      </w:pPr>
      <w:r>
        <w:t>Support: Premium</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w:t>
            </w:r>
          </w:p>
        </w:tc>
      </w:tr>
    </w:tbl>
    <w:p>
      <w:r>
        <w:rPr>
          <w:rFonts w:ascii="Figtree" w:hAnsi="Figtree"/>
          <w:b/>
          <w:i w:val="0"/>
          <w:sz w:val="22"/>
        </w:rPr>
        <w:t>Annual:</w:t>
      </w:r>
      <w:r>
        <w:rPr>
          <w:rFonts w:ascii="Figtree" w:hAnsi="Figtree"/>
          <w:b w:val="0"/>
          <w:i w:val="0"/>
          <w:sz w:val="22"/>
        </w:rPr>
        <w:t xml:space="preserve"> [CLIENT-SPECIFIC]</w:t>
      </w:r>
    </w:p>
    <w:p>
      <w:r>
        <w:br w:type="page"/>
      </w:r>
    </w:p>
    <w:p>
      <w:pPr>
        <w:pStyle w:val="H2"/>
        <w:numPr>
          <w:ilvl w:val="1"/>
          <w:numId w:val="1"/>
        </w:numPr>
      </w:pPr>
      <w:r>
        <w:t>TCO (3-Year)</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Component</w:t>
            </w:r>
          </w:p>
        </w:tc>
        <w:tc>
          <w:tcPr>
            <w:tcW w:type="dxa" w:w="1949"/>
            <w:vAlign w:val="center"/>
            <w:shd w:fill="000099" w:val="clear"/>
          </w:tcPr>
          <w:p>
            <w:r>
              <w:rPr>
                <w:b/>
                <w:color w:val="FFFFFF"/>
              </w:rPr>
            </w:r>
            <w:r>
              <w:rPr>
                <w:rFonts w:ascii="Figtree" w:hAnsi="Figtree"/>
                <w:b/>
                <w:i w:val="0"/>
                <w:color w:val="FFFFFF"/>
                <w:sz w:val="22"/>
              </w:rPr>
              <w:t>Year 1</w:t>
            </w:r>
          </w:p>
        </w:tc>
        <w:tc>
          <w:tcPr>
            <w:tcW w:type="dxa" w:w="1949"/>
            <w:vAlign w:val="center"/>
            <w:shd w:fill="000099" w:val="clear"/>
          </w:tcPr>
          <w:p>
            <w:r>
              <w:rPr>
                <w:b/>
                <w:color w:val="FFFFFF"/>
              </w:rPr>
            </w:r>
            <w:r>
              <w:rPr>
                <w:rFonts w:ascii="Figtree" w:hAnsi="Figtree"/>
                <w:b/>
                <w:i w:val="0"/>
                <w:color w:val="FFFFFF"/>
                <w:sz w:val="22"/>
              </w:rPr>
              <w:t>Year 2</w:t>
            </w:r>
          </w:p>
        </w:tc>
        <w:tc>
          <w:tcPr>
            <w:tcW w:type="dxa" w:w="1949"/>
            <w:vAlign w:val="center"/>
            <w:shd w:fill="000099" w:val="clear"/>
          </w:tcPr>
          <w:p>
            <w:r>
              <w:rPr>
                <w:b/>
                <w:color w:val="FFFFFF"/>
              </w:rPr>
            </w:r>
            <w:r>
              <w:rPr>
                <w:rFonts w:ascii="Figtree" w:hAnsi="Figtree"/>
                <w:b/>
                <w:i w:val="0"/>
                <w:color w:val="FFFFFF"/>
                <w:sz w:val="22"/>
              </w:rPr>
              <w:t>Year 3</w:t>
            </w:r>
          </w:p>
        </w:tc>
        <w:tc>
          <w:tcPr>
            <w:tcW w:type="dxa" w:w="1949"/>
            <w:vAlign w:val="center"/>
            <w:shd w:fill="000099" w:val="clear"/>
          </w:tcPr>
          <w:p>
            <w:r>
              <w:rPr>
                <w:b/>
                <w:color w:val="FFFFFF"/>
              </w:rPr>
            </w:r>
            <w:r>
              <w:rPr>
                <w:rFonts w:ascii="Figtree" w:hAnsi="Figtree"/>
                <w:b/>
                <w:i w:val="0"/>
                <w:color w:val="FFFFFF"/>
                <w:sz w:val="22"/>
              </w:rPr>
              <w:t>Total</w:t>
            </w:r>
          </w:p>
        </w:tc>
      </w:tr>
      <w:tr>
        <w:trPr>
          <w:trHeight w:val="454" w:hRule="atLeast"/>
        </w:trPr>
        <w:tc>
          <w:tcPr>
            <w:tcW w:type="dxa" w:w="1949"/>
            <w:vAlign w:val="center"/>
          </w:tcPr>
          <w:p>
            <w:r/>
            <w:r>
              <w:rPr>
                <w:rFonts w:ascii="Figtree" w:hAnsi="Figtree"/>
                <w:b w:val="0"/>
                <w:i w:val="0"/>
                <w:sz w:val="22"/>
              </w:rPr>
              <w:t>License</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r>
      <w:tr>
        <w:trPr>
          <w:trHeight w:val="454" w:hRule="atLeast"/>
        </w:trPr>
        <w:tc>
          <w:tcPr>
            <w:tcW w:type="dxa" w:w="1949"/>
            <w:vAlign w:val="center"/>
          </w:tcPr>
          <w:p>
            <w:r/>
            <w:r>
              <w:rPr>
                <w:rFonts w:ascii="Figtree" w:hAnsi="Figtree"/>
                <w:b w:val="0"/>
                <w:i w:val="0"/>
                <w:sz w:val="22"/>
              </w:rPr>
              <w:t>Implementation</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[CS]</w:t>
            </w:r>
          </w:p>
        </w:tc>
      </w:tr>
      <w:tr>
        <w:trPr>
          <w:trHeight w:val="454" w:hRule="atLeast"/>
        </w:trPr>
        <w:tc>
          <w:tcPr>
            <w:tcW w:type="dxa" w:w="1949"/>
            <w:vAlign w:val="center"/>
          </w:tcPr>
          <w:p>
            <w:r/>
            <w:r>
              <w:rPr>
                <w:rFonts w:ascii="Figtree" w:hAnsi="Figtree"/>
                <w:b w:val="0"/>
                <w:i w:val="0"/>
                <w:sz w:val="22"/>
              </w:rPr>
              <w:t>Support</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r>
      <w:tr>
        <w:trPr>
          <w:trHeight w:val="454" w:hRule="atLeast"/>
        </w:trPr>
        <w:tc>
          <w:tcPr>
            <w:tcW w:type="dxa" w:w="1949"/>
            <w:vAlign w:val="center"/>
          </w:tcPr>
          <w:p>
            <w:r/>
            <w:r>
              <w:rPr>
                <w:rFonts w:ascii="Figtree" w:hAnsi="Figtree"/>
                <w:b w:val="0"/>
                <w:i w:val="0"/>
                <w:sz w:val="22"/>
              </w:rPr>
              <w:t>Infrastructure</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c>
          <w:tcPr>
            <w:tcW w:type="dxa" w:w="1949"/>
            <w:vAlign w:val="center"/>
          </w:tcPr>
          <w:p>
            <w:r/>
            <w:r>
              <w:rPr>
                <w:rFonts w:ascii="Figtree" w:hAnsi="Figtree"/>
                <w:b w:val="0"/>
                <w:i w:val="0"/>
                <w:sz w:val="22"/>
              </w:rPr>
              <w:t>[CS]</w:t>
            </w:r>
          </w:p>
        </w:tc>
      </w:tr>
      <w:tr>
        <w:trPr>
          <w:trHeight w:val="454" w:hRule="atLeast"/>
        </w:trPr>
        <w:tc>
          <w:tcPr>
            <w:tcW w:type="dxa" w:w="1949"/>
            <w:vAlign w:val="center"/>
          </w:tcPr>
          <w:p>
            <w:r/>
            <w:r>
              <w:rPr>
                <w:rFonts w:ascii="Figtree" w:hAnsi="Figtree"/>
                <w:b/>
                <w:i w:val="0"/>
                <w:sz w:val="22"/>
              </w:rPr>
              <w:t>Total</w:t>
            </w:r>
          </w:p>
        </w:tc>
        <w:tc>
          <w:tcPr>
            <w:tcW w:type="dxa" w:w="1949"/>
            <w:vAlign w:val="center"/>
          </w:tcPr>
          <w:p>
            <w:r/>
            <w:r>
              <w:rPr>
                <w:rFonts w:ascii="Figtree" w:hAnsi="Figtree"/>
                <w:b/>
                <w:i w:val="0"/>
                <w:sz w:val="22"/>
              </w:rPr>
              <w:t>[CS]</w:t>
            </w:r>
          </w:p>
        </w:tc>
        <w:tc>
          <w:tcPr>
            <w:tcW w:type="dxa" w:w="1949"/>
            <w:vAlign w:val="center"/>
          </w:tcPr>
          <w:p>
            <w:r/>
            <w:r>
              <w:rPr>
                <w:rFonts w:ascii="Figtree" w:hAnsi="Figtree"/>
                <w:b/>
                <w:i w:val="0"/>
                <w:sz w:val="22"/>
              </w:rPr>
              <w:t>[CS]</w:t>
            </w:r>
          </w:p>
        </w:tc>
        <w:tc>
          <w:tcPr>
            <w:tcW w:type="dxa" w:w="1949"/>
            <w:vAlign w:val="center"/>
          </w:tcPr>
          <w:p>
            <w:r/>
            <w:r>
              <w:rPr>
                <w:rFonts w:ascii="Figtree" w:hAnsi="Figtree"/>
                <w:b/>
                <w:i w:val="0"/>
                <w:sz w:val="22"/>
              </w:rPr>
              <w:t>[CS]</w:t>
            </w:r>
          </w:p>
        </w:tc>
        <w:tc>
          <w:tcPr>
            <w:tcW w:type="dxa" w:w="1949"/>
            <w:vAlign w:val="center"/>
          </w:tcPr>
          <w:p>
            <w:r/>
            <w:r>
              <w:rPr>
                <w:rFonts w:ascii="Figtree" w:hAnsi="Figtree"/>
                <w:b/>
                <w:i w:val="0"/>
                <w:sz w:val="22"/>
              </w:rPr>
              <w:t>[CS]</w:t>
            </w:r>
          </w:p>
        </w:tc>
      </w:tr>
    </w:tbl>
    <w:p>
      <w:r>
        <w:br w:type="page"/>
      </w:r>
    </w:p>
    <w:p>
      <w:pPr>
        <w:pStyle w:val="H2"/>
        <w:numPr>
          <w:ilvl w:val="1"/>
          <w:numId w:val="1"/>
        </w:numPr>
      </w:pPr>
      <w:r>
        <w:t>Next Steps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Step</w:t>
            </w:r>
          </w:p>
        </w:tc>
        <w:tc>
          <w:tcPr>
            <w:tcW w:type="dxa" w:w="4873"/>
            <w:vAlign w:val="center"/>
            <w:shd w:fill="000099" w:val="clear"/>
          </w:tcPr>
          <w:p>
            <w:r>
              <w:rPr>
                <w:b/>
                <w:color w:val="FFFFFF"/>
              </w:rPr>
            </w:r>
            <w:r>
              <w:rPr>
                <w:rFonts w:ascii="Figtree" w:hAnsi="Figtree"/>
                <w:b/>
                <w:i w:val="0"/>
                <w:color w:val="FFFFFF"/>
                <w:sz w:val="22"/>
              </w:rPr>
              <w:t>Timeline</w:t>
            </w:r>
          </w:p>
        </w:tc>
      </w:tr>
      <w:tr>
        <w:trPr>
          <w:trHeight w:val="454" w:hRule="atLeast"/>
        </w:trPr>
        <w:tc>
          <w:tcPr>
            <w:tcW w:type="dxa" w:w="4873"/>
            <w:vAlign w:val="center"/>
          </w:tcPr>
          <w:p>
            <w:r/>
            <w:r>
              <w:rPr>
                <w:rFonts w:ascii="Figtree" w:hAnsi="Figtree"/>
                <w:b w:val="0"/>
                <w:i w:val="0"/>
                <w:sz w:val="22"/>
              </w:rPr>
              <w:t>Commercial clarification</w:t>
            </w:r>
          </w:p>
        </w:tc>
        <w:tc>
          <w:tcPr>
            <w:tcW w:type="dxa" w:w="4873"/>
            <w:vAlign w:val="center"/>
          </w:tcPr>
          <w:p>
            <w:r/>
            <w:r>
              <w:rPr>
                <w:rFonts w:ascii="Figtree" w:hAnsi="Figtree"/>
                <w:b w:val="0"/>
                <w:i w:val="0"/>
                <w:sz w:val="22"/>
              </w:rPr>
              <w:t>2 weeks</w:t>
            </w:r>
          </w:p>
        </w:tc>
      </w:tr>
      <w:tr>
        <w:trPr>
          <w:trHeight w:val="454" w:hRule="atLeast"/>
        </w:trPr>
        <w:tc>
          <w:tcPr>
            <w:tcW w:type="dxa" w:w="4873"/>
            <w:vAlign w:val="center"/>
          </w:tcPr>
          <w:p>
            <w:r/>
            <w:r>
              <w:rPr>
                <w:rFonts w:ascii="Figtree" w:hAnsi="Figtree"/>
                <w:b w:val="0"/>
                <w:i w:val="0"/>
                <w:sz w:val="22"/>
              </w:rPr>
              <w:t>Reference call</w:t>
            </w:r>
          </w:p>
        </w:tc>
        <w:tc>
          <w:tcPr>
            <w:tcW w:type="dxa" w:w="4873"/>
            <w:vAlign w:val="center"/>
          </w:tcPr>
          <w:p>
            <w:r/>
            <w:r>
              <w:rPr>
                <w:rFonts w:ascii="Figtree" w:hAnsi="Figtree"/>
                <w:b w:val="0"/>
                <w:i w:val="0"/>
                <w:sz w:val="22"/>
              </w:rPr>
              <w:t>On request</w:t>
            </w:r>
          </w:p>
        </w:tc>
      </w:tr>
      <w:tr>
        <w:trPr>
          <w:trHeight w:val="454" w:hRule="atLeast"/>
        </w:trPr>
        <w:tc>
          <w:tcPr>
            <w:tcW w:type="dxa" w:w="4873"/>
            <w:vAlign w:val="center"/>
          </w:tcPr>
          <w:p>
            <w:r/>
            <w:r>
              <w:rPr>
                <w:rFonts w:ascii="Figtree" w:hAnsi="Figtree"/>
                <w:b w:val="0"/>
                <w:i w:val="0"/>
                <w:sz w:val="22"/>
              </w:rPr>
              <w:t>Contract negotiation</w:t>
            </w:r>
          </w:p>
        </w:tc>
        <w:tc>
          <w:tcPr>
            <w:tcW w:type="dxa" w:w="4873"/>
            <w:vAlign w:val="center"/>
          </w:tcPr>
          <w:p>
            <w:r/>
            <w:r>
              <w:rPr>
                <w:rFonts w:ascii="Figtree" w:hAnsi="Figtree"/>
                <w:b w:val="0"/>
                <w:i w:val="0"/>
                <w:sz w:val="22"/>
              </w:rPr>
              <w:t>Weeks 4–6</w:t>
            </w:r>
          </w:p>
        </w:tc>
      </w:tr>
      <w:tr>
        <w:trPr>
          <w:trHeight w:val="454" w:hRule="atLeast"/>
        </w:trPr>
        <w:tc>
          <w:tcPr>
            <w:tcW w:type="dxa" w:w="4873"/>
            <w:vAlign w:val="center"/>
          </w:tcPr>
          <w:p>
            <w:r/>
            <w:r>
              <w:rPr>
                <w:rFonts w:ascii="Figtree" w:hAnsi="Figtree"/>
                <w:b w:val="0"/>
                <w:i w:val="0"/>
                <w:sz w:val="22"/>
              </w:rPr>
              <w:t>Kickoff</w:t>
            </w:r>
          </w:p>
        </w:tc>
        <w:tc>
          <w:tcPr>
            <w:tcW w:type="dxa" w:w="4873"/>
            <w:vAlign w:val="center"/>
          </w:tcPr>
          <w:p>
            <w:r/>
            <w:r>
              <w:rPr>
                <w:rFonts w:ascii="Figtree" w:hAnsi="Figtree"/>
                <w:b w:val="0"/>
                <w:i w:val="0"/>
                <w:sz w:val="22"/>
              </w:rPr>
              <w:t>Week 8</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