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Licensing: Enterprise</w:t>
          </w:r>
          <w:r>
            <w:tab/>
          </w:r>
          <w:r>
            <w:t xml:space="preserve">4</w:t>
          </w:r>
        </w:p>
        <w:p>
          <w:pPr>
            <w:pStyle w:val="TOC2"/>
            <w:tabs>
              <w:tab w:val="right" w:leader="dot" w:pos="9072"/>
            </w:tabs>
          </w:pPr>
          <w:r>
            <w:t xml:space="preserve">Implementation: 19 Weeks</w:t>
          </w:r>
          <w:r>
            <w:tab/>
          </w:r>
          <w:r>
            <w:t xml:space="preserve">5</w:t>
          </w:r>
        </w:p>
        <w:p>
          <w:pPr>
            <w:pStyle w:val="TOC2"/>
            <w:tabs>
              <w:tab w:val="right" w:leader="dot" w:pos="9072"/>
            </w:tabs>
          </w:pPr>
          <w:r>
            <w:t xml:space="preserve">Support: Premium</w:t>
          </w:r>
          <w:r>
            <w:tab/>
          </w:r>
          <w:r>
            <w:t xml:space="preserve">6</w:t>
          </w:r>
        </w:p>
        <w:p>
          <w:pPr>
            <w:pStyle w:val="TOC2"/>
            <w:tabs>
              <w:tab w:val="right" w:leader="dot" w:pos="9072"/>
            </w:tabs>
          </w:pPr>
          <w:r>
            <w:t xml:space="preserve">TCO (3-Year)</w:t>
          </w:r>
          <w:r>
            <w:tab/>
          </w:r>
          <w:r>
            <w:t xml:space="preserve">7</w:t>
          </w:r>
        </w:p>
        <w:p>
          <w:pPr>
            <w:pStyle w:val="TOC2"/>
            <w:tabs>
              <w:tab w:val="right" w:leader="dot" w:pos="9072"/>
            </w:tabs>
          </w:pPr>
          <w:r>
            <w:t xml:space="preserve">Next Steps</w:t>
          </w:r>
          <w:r>
            <w:tab/>
          </w:r>
          <w:r>
            <w:t xml:space="preserve">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29"/>
        <w:gridCol w:w="724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Tokenized Trade Finance and Supply-Chain Document Digitization</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Attijariwafa Bank</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ATTIJARIWAFA-BANK-RFP-TOKENIZED-TRADE-FINANCE-MOROCCO-202603</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Attijariwafa Bank requires a platform for tokenized trade finance and supply-chain document digitization supporting pan-African operations within Bank Al-Maghrib regulatory expectations. This commercial proposal presents SettleMint's DALP model with predictable costs.</w:t>
      </w:r>
    </w:p>
    <w:p>
      <w:r>
        <w:rPr>
          <w:rFonts w:ascii="Figtree" w:hAnsi="Figtree"/>
          <w:b/>
          <w:i w:val="0"/>
          <w:sz w:val="22"/>
        </w:rPr>
        <w:t>Recommendation:</w:t>
      </w:r>
      <w:r>
        <w:rPr>
          <w:rFonts w:ascii="Figtree" w:hAnsi="Figtree"/>
          <w:b w:val="0"/>
          <w:i w:val="0"/>
          <w:sz w:val="22"/>
        </w:rPr>
        <w:t xml:space="preserve"> Enterprise license + dedicated cloud (Morocco/EU-resident) + Premium support + 19-week implementation.</w:t>
      </w:r>
    </w:p>
    <w:p>
      <w:r>
        <w:rPr>
          <w:rFonts w:ascii="Figtree" w:hAnsi="Figtree"/>
          <w:b w:val="0"/>
          <w:i w:val="0"/>
          <w:sz w:val="22"/>
        </w:rPr>
        <w:t>No per-transaction, per-document, or per-workflow fees.</w:t>
      </w:r>
    </w:p>
    <w:p>
      <w:r>
        <w:br w:type="page"/>
      </w:r>
    </w:p>
    <w:p>
      <w:pPr>
        <w:pStyle w:val="H2"/>
        <w:numPr>
          <w:ilvl w:val="1"/>
          <w:numId w:val="1"/>
        </w:numPr>
      </w:pPr>
      <w:r>
        <w:t>Licensing: Enterprise</w:t>
      </w:r>
    </w:p>
    <w:p>
      <w:r>
        <w:rPr>
          <w:rFonts w:ascii="Figtree" w:hAnsi="Figtree"/>
          <w:b w:val="0"/>
          <w:i w:val="0"/>
          <w:sz w:val="22"/>
        </w:rPr>
        <w:t xml:space="preserve">Includes all pillars, modules, API surface, addons. </w:t>
      </w:r>
      <w:r>
        <w:rPr>
          <w:rFonts w:ascii="Figtree" w:hAnsi="Figtree"/>
          <w:b/>
          <w:i w:val="0"/>
          <w:sz w:val="22"/>
        </w:rPr>
        <w:t>Annual:</w:t>
      </w:r>
      <w:r>
        <w:rPr>
          <w:rFonts w:ascii="Figtree" w:hAnsi="Figtree"/>
          <w:b w:val="0"/>
          <w:i w:val="0"/>
          <w:sz w:val="22"/>
        </w:rPr>
        <w:t xml:space="preserve"> [CLIENT-SPECIFIC]</w:t>
      </w:r>
    </w:p>
    <w:p>
      <w:r>
        <w:br w:type="page"/>
      </w:r>
    </w:p>
    <w:p>
      <w:pPr>
        <w:pStyle w:val="H2"/>
        <w:numPr>
          <w:ilvl w:val="1"/>
          <w:numId w:val="1"/>
        </w:numPr>
      </w:pPr>
      <w:r>
        <w:t>Implementation: 19 Weeks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28"/>
        <w:gridCol w:w="2016"/>
        <w:gridCol w:w="35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3249"/>
            <w:vAlign w:val="center"/>
          </w:tcPr>
          <w:p>
            <w:pPr>
              <w:spacing w:line="276" w:lineRule="auto" w:before="0" w:after="0"/>
            </w:pPr>
            <w:r/>
            <w:r>
              <w:rPr>
                <w:rFonts w:ascii="Figtree" w:hAnsi="Figtree"/>
                <w:b w:val="0"/>
                <w:i w:val="0"/>
                <w:sz w:val="20"/>
              </w:rPr>
              <w:t>Discovery</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val="0"/>
                <w:i w:val="0"/>
                <w:sz w:val="20"/>
              </w:rPr>
              <w:t>TF &amp; Document Config</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val="0"/>
                <w:i w:val="0"/>
                <w:sz w:val="20"/>
              </w:rPr>
              <w:t>Integration &amp; Testing</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val="0"/>
                <w:i w:val="0"/>
                <w:sz w:val="20"/>
              </w:rPr>
              <w:t>Go-Live &amp; Hypercare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19 weeks</w:t>
            </w:r>
          </w:p>
        </w:tc>
        <w:tc>
          <w:tcPr>
            <w:tcW w:type="dxa" w:w="3249"/>
            <w:vAlign w:val="center"/>
          </w:tcPr>
          <w:p>
            <w:pPr>
              <w:spacing w:line="276" w:lineRule="auto" w:before="0" w:after="0"/>
            </w:pPr>
            <w:r/>
            <w:r>
              <w:rPr>
                <w:rFonts w:ascii="Figtree" w:hAnsi="Figtree"/>
                <w:b/>
                <w:i w:val="0"/>
                <w:sz w:val="20"/>
              </w:rPr>
              <w:t>[CLIENT-SPECIFIC]</w:t>
            </w:r>
          </w:p>
        </w:tc>
      </w:tr>
    </w:tbl>
    <w:p>
      <w:pPr>
        <w:spacing w:before="0" w:after="0" w:line="120" w:lineRule="exact"/>
      </w:pPr>
    </w:p>
    <w:p>
      <w:r>
        <w:rPr>
          <w:rFonts w:ascii="Figtree" w:hAnsi="Figtree"/>
          <w:b/>
          <w:i w:val="0"/>
          <w:sz w:val="22"/>
        </w:rPr>
        <w:t>Client effort:</w:t>
      </w:r>
      <w:r>
        <w:rPr>
          <w:rFonts w:ascii="Figtree" w:hAnsi="Figtree"/>
          <w:b w:val="0"/>
          <w:i w:val="0"/>
          <w:sz w:val="22"/>
        </w:rPr>
        <w:t xml:space="preserve"> 75 person-days</w:t>
      </w:r>
    </w:p>
    <w:p>
      <w:r>
        <w:br w:type="page"/>
      </w:r>
    </w:p>
    <w:p>
      <w:pPr>
        <w:pStyle w:val="H2"/>
        <w:numPr>
          <w:ilvl w:val="1"/>
          <w:numId w:val="1"/>
        </w:numPr>
      </w:pPr>
      <w:r>
        <w:t>Support: Premium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58"/>
        <w:gridCol w:w="49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16×5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99.95%</w:t>
            </w:r>
          </w:p>
        </w:tc>
      </w:tr>
    </w:tbl>
    <w:p>
      <w:pPr>
        <w:spacing w:before="0" w:after="0" w:line="120" w:lineRule="exact"/>
      </w:pPr>
    </w:p>
    <w:p>
      <w:r>
        <w:rPr>
          <w:rFonts w:ascii="Figtree" w:hAnsi="Figtree"/>
          <w:b/>
          <w:i w:val="0"/>
          <w:sz w:val="22"/>
        </w:rPr>
        <w:t>Annual:</w:t>
      </w:r>
      <w:r>
        <w:rPr>
          <w:rFonts w:ascii="Figtree" w:hAnsi="Figtree"/>
          <w:b w:val="0"/>
          <w:i w:val="0"/>
          <w:sz w:val="22"/>
        </w:rPr>
        <w:t xml:space="preserve"> [CLIENT-SPECIFIC]</w:t>
      </w:r>
    </w:p>
    <w:p>
      <w:r>
        <w:br w:type="page"/>
      </w:r>
    </w:p>
    <w:p>
      <w:pPr>
        <w:pStyle w:val="H2"/>
        <w:numPr>
          <w:ilvl w:val="1"/>
          <w:numId w:val="1"/>
        </w:numPr>
      </w:pPr>
      <w:r>
        <w:t>TCO (3-Year)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61"/>
        <w:gridCol w:w="1577"/>
        <w:gridCol w:w="1577"/>
        <w:gridCol w:w="1577"/>
        <w:gridCol w:w="157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License</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[CS]</w:t>
            </w:r>
          </w:p>
        </w:tc>
      </w:tr>
      <w:tr>
        <w:trPr>
          <w:trHeight w:val="425" w:hRule="atLeast"/>
        </w:trPr>
        <w:tc>
          <w:tcPr>
            <w:tcW w:type="dxa" w:w="1949"/>
            <w:vAlign w:val="center"/>
          </w:tcPr>
          <w:p>
            <w:pPr>
              <w:spacing w:line="276" w:lineRule="auto" w:before="0" w:after="0"/>
            </w:pPr>
            <w:r/>
            <w:r>
              <w:rPr>
                <w:rFonts w:ascii="Figtree" w:hAnsi="Figtree"/>
                <w:b w:val="0"/>
                <w:i w:val="0"/>
                <w:sz w:val="20"/>
              </w:rPr>
              <w:t>Support</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[CS]</w:t>
            </w:r>
          </w:p>
        </w:tc>
        <w:tc>
          <w:tcPr>
            <w:tcW w:type="dxa" w:w="1949"/>
            <w:vAlign w:val="center"/>
          </w:tcPr>
          <w:p>
            <w:pPr>
              <w:spacing w:line="276" w:lineRule="auto" w:before="0" w:after="0"/>
            </w:pPr>
            <w:r/>
            <w:r>
              <w:rPr>
                <w:rFonts w:ascii="Figtree" w:hAnsi="Figtree"/>
                <w:b/>
                <w:i w:val="0"/>
                <w:sz w:val="20"/>
              </w:rPr>
              <w:t>[CS]</w:t>
            </w:r>
          </w:p>
        </w:tc>
        <w:tc>
          <w:tcPr>
            <w:tcW w:type="dxa" w:w="1949"/>
            <w:vAlign w:val="center"/>
          </w:tcPr>
          <w:p>
            <w:pPr>
              <w:spacing w:line="276" w:lineRule="auto" w:before="0" w:after="0"/>
            </w:pPr>
            <w:r/>
            <w:r>
              <w:rPr>
                <w:rFonts w:ascii="Figtree" w:hAnsi="Figtree"/>
                <w:b/>
                <w:i w:val="0"/>
                <w:sz w:val="20"/>
              </w:rPr>
              <w:t>[CS]</w:t>
            </w:r>
          </w:p>
        </w:tc>
        <w:tc>
          <w:tcPr>
            <w:tcW w:type="dxa" w:w="1949"/>
            <w:vAlign w:val="center"/>
          </w:tcPr>
          <w:p>
            <w:pPr>
              <w:spacing w:line="276" w:lineRule="auto" w:before="0" w:after="0"/>
            </w:pPr>
            <w:r/>
            <w:r>
              <w:rPr>
                <w:rFonts w:ascii="Figtree" w:hAnsi="Figtree"/>
                <w:b/>
                <w:i w:val="0"/>
                <w:sz w:val="20"/>
              </w:rPr>
              <w:t>[CS]</w:t>
            </w:r>
          </w:p>
        </w:tc>
      </w:tr>
    </w:tbl>
    <w:p>
      <w:pPr>
        <w:spacing w:before="0" w:after="0" w:line="120" w:lineRule="exact"/>
      </w:pPr>
    </w:p>
    <w:p>
      <w:r>
        <w:br w:type="page"/>
      </w:r>
    </w:p>
    <w:p>
      <w:pPr>
        <w:pStyle w:val="H2"/>
        <w:numPr>
          <w:ilvl w:val="1"/>
          <w:numId w:val="1"/>
        </w:numPr>
      </w:pPr>
      <w:r>
        <w:t>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087"/>
        <w:gridCol w:w="29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r>
      <w:tr>
        <w:trPr>
          <w:trHeight w:val="425" w:hRule="atLeast"/>
        </w:trPr>
        <w:tc>
          <w:tcPr>
            <w:tcW w:type="dxa" w:w="4873"/>
            <w:vAlign w:val="center"/>
          </w:tcPr>
          <w:p>
            <w:pPr>
              <w:spacing w:line="276" w:lineRule="auto" w:before="0" w:after="0"/>
            </w:pPr>
            <w:r/>
            <w:r>
              <w:rPr>
                <w:rFonts w:ascii="Figtree" w:hAnsi="Figtree"/>
                <w:b w:val="0"/>
                <w:i w:val="0"/>
                <w:sz w:val="20"/>
              </w:rPr>
              <w:t>Commercial clarification</w:t>
            </w:r>
          </w:p>
        </w:tc>
        <w:tc>
          <w:tcPr>
            <w:tcW w:type="dxa" w:w="4873"/>
            <w:vAlign w:val="center"/>
          </w:tcPr>
          <w:p>
            <w:pPr>
              <w:spacing w:line="276" w:lineRule="auto" w:before="0" w:after="0"/>
            </w:pPr>
            <w:r/>
            <w:r>
              <w:rPr>
                <w:rFonts w:ascii="Figtree" w:hAnsi="Figtree"/>
                <w:b w:val="0"/>
                <w:i w:val="0"/>
                <w:sz w:val="20"/>
              </w:rPr>
              <w:t>2 weeks</w:t>
            </w:r>
          </w:p>
        </w:tc>
      </w:tr>
      <w:tr>
        <w:trPr>
          <w:trHeight w:val="425" w:hRule="atLeast"/>
        </w:trPr>
        <w:tc>
          <w:tcPr>
            <w:tcW w:type="dxa" w:w="4873"/>
            <w:vAlign w:val="center"/>
          </w:tcPr>
          <w:p>
            <w:pPr>
              <w:spacing w:line="276" w:lineRule="auto" w:before="0" w:after="0"/>
            </w:pPr>
            <w:r/>
            <w:r>
              <w:rPr>
                <w:rFonts w:ascii="Figtree" w:hAnsi="Figtree"/>
                <w:b w:val="0"/>
                <w:i w:val="0"/>
                <w:sz w:val="20"/>
              </w:rPr>
              <w:t>Reference call</w:t>
            </w:r>
          </w:p>
        </w:tc>
        <w:tc>
          <w:tcPr>
            <w:tcW w:type="dxa" w:w="4873"/>
            <w:vAlign w:val="center"/>
          </w:tcPr>
          <w:p>
            <w:pPr>
              <w:spacing w:line="276" w:lineRule="auto" w:before="0" w:after="0"/>
            </w:pPr>
            <w:r/>
            <w:r>
              <w:rPr>
                <w:rFonts w:ascii="Figtree" w:hAnsi="Figtree"/>
                <w:b w:val="0"/>
                <w:i w:val="0"/>
                <w:sz w:val="20"/>
              </w:rPr>
              <w:t>On request</w:t>
            </w:r>
          </w:p>
        </w:tc>
      </w:tr>
      <w:tr>
        <w:trPr>
          <w:trHeight w:val="425" w:hRule="atLeast"/>
        </w:trPr>
        <w:tc>
          <w:tcPr>
            <w:tcW w:type="dxa" w:w="4873"/>
            <w:vAlign w:val="center"/>
          </w:tcPr>
          <w:p>
            <w:pPr>
              <w:spacing w:line="276" w:lineRule="auto" w:before="0" w:after="0"/>
            </w:pPr>
            <w:r/>
            <w:r>
              <w:rPr>
                <w:rFonts w:ascii="Figtree" w:hAnsi="Figtree"/>
                <w:b w:val="0"/>
                <w:i w:val="0"/>
                <w:sz w:val="20"/>
              </w:rPr>
              <w:t>Contract negotiation</w:t>
            </w:r>
          </w:p>
        </w:tc>
        <w:tc>
          <w:tcPr>
            <w:tcW w:type="dxa" w:w="4873"/>
            <w:vAlign w:val="center"/>
          </w:tcPr>
          <w:p>
            <w:pPr>
              <w:spacing w:line="276" w:lineRule="auto" w:before="0" w:after="0"/>
            </w:pPr>
            <w:r/>
            <w:r>
              <w:rPr>
                <w:rFonts w:ascii="Figtree" w:hAnsi="Figtree"/>
                <w:b w:val="0"/>
                <w:i w:val="0"/>
                <w:sz w:val="20"/>
              </w:rPr>
              <w:t>Weeks 4–6</w:t>
            </w:r>
          </w:p>
        </w:tc>
      </w:tr>
      <w:tr>
        <w:trPr>
          <w:trHeight w:val="425" w:hRule="atLeast"/>
        </w:trPr>
        <w:tc>
          <w:tcPr>
            <w:tcW w:type="dxa" w:w="4873"/>
            <w:vAlign w:val="center"/>
          </w:tcPr>
          <w:p>
            <w:pPr>
              <w:spacing w:line="276" w:lineRule="auto" w:before="0" w:after="0"/>
            </w:pPr>
            <w:r/>
            <w:r>
              <w:rPr>
                <w:rFonts w:ascii="Figtree" w:hAnsi="Figtree"/>
                <w:b w:val="0"/>
                <w:i w:val="0"/>
                <w:sz w:val="20"/>
              </w:rPr>
              <w:t>Kickoff</w:t>
            </w:r>
          </w:p>
        </w:tc>
        <w:tc>
          <w:tcPr>
            <w:tcW w:type="dxa" w:w="4873"/>
            <w:vAlign w:val="center"/>
          </w:tcPr>
          <w:p>
            <w:pPr>
              <w:spacing w:line="276" w:lineRule="auto" w:before="0" w:after="0"/>
            </w:pPr>
            <w:r/>
            <w:r>
              <w:rPr>
                <w:rFonts w:ascii="Figtree" w:hAnsi="Figtree"/>
                <w:b w:val="0"/>
                <w:i w:val="0"/>
                <w:sz w:val="20"/>
              </w:rPr>
              <w:t>Week 8</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