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Relevance to Attijariwafa Bank</w:t>
          </w:r>
          <w:r>
            <w:tab/>
          </w:r>
          <w:r>
            <w:t xml:space="preserve">6</w:t>
          </w:r>
        </w:p>
        <w:p>
          <w:pPr>
            <w:pStyle w:val="TOC2"/>
            <w:tabs>
              <w:tab w:val="right" w:leader="dot" w:pos="9072"/>
            </w:tabs>
          </w:pPr>
          <w:r>
            <w:t xml:space="preserve">About DALP</w:t>
          </w:r>
          <w:r>
            <w:tab/>
          </w:r>
          <w:r>
            <w:t xml:space="preserve">7</w:t>
          </w:r>
        </w:p>
        <w:p>
          <w:pPr>
            <w:pStyle w:val="TOC3"/>
            <w:tabs>
              <w:tab w:val="right" w:leader="dot" w:pos="9072"/>
            </w:tabs>
          </w:pPr>
          <w:r>
            <w:t xml:space="preserve">Supply-Chain Document Digitization</w:t>
          </w:r>
          <w:r>
            <w:tab/>
          </w:r>
          <w:r>
            <w:t xml:space="preserve">8</w:t>
          </w:r>
        </w:p>
        <w:p>
          <w:pPr>
            <w:pStyle w:val="TOC3"/>
            <w:tabs>
              <w:tab w:val="right" w:leader="dot" w:pos="9072"/>
            </w:tabs>
          </w:pPr>
          <w:r>
            <w:t xml:space="preserve">Core Capabilities</w:t>
          </w:r>
          <w:r>
            <w:tab/>
          </w:r>
          <w:r>
            <w:t xml:space="preserve">9</w:t>
          </w:r>
        </w:p>
        <w:p>
          <w:pPr>
            <w:pStyle w:val="TOC2"/>
            <w:tabs>
              <w:tab w:val="right" w:leader="dot" w:pos="9072"/>
            </w:tabs>
          </w:pPr>
          <w:r>
            <w:t xml:space="preserve">Understanding Attijariwafa's Programme Objectives</w:t>
          </w:r>
          <w:r>
            <w:tab/>
          </w:r>
          <w:r>
            <w:t xml:space="preserve">10</w:t>
          </w:r>
        </w:p>
        <w:p>
          <w:pPr>
            <w:pStyle w:val="TOC3"/>
            <w:tabs>
              <w:tab w:val="right" w:leader="dot" w:pos="9072"/>
            </w:tabs>
          </w:pPr>
          <w:r>
            <w:t xml:space="preserve">Client Context</w:t>
          </w:r>
          <w:r>
            <w:tab/>
          </w:r>
          <w:r>
            <w:t xml:space="preserve">11</w:t>
          </w:r>
        </w:p>
        <w:p>
          <w:pPr>
            <w:pStyle w:val="TOC3"/>
            <w:tabs>
              <w:tab w:val="right" w:leader="dot" w:pos="9072"/>
            </w:tabs>
          </w:pPr>
          <w:r>
            <w:t xml:space="preserve">Regulatory Context: Morocco</w:t>
          </w:r>
          <w:r>
            <w:tab/>
          </w:r>
          <w:r>
            <w:t xml:space="preserve">12</w:t>
          </w:r>
        </w:p>
        <w:p>
          <w:pPr>
            <w:pStyle w:val="TOC2"/>
            <w:tabs>
              <w:tab w:val="right" w:leader="dot" w:pos="9072"/>
            </w:tabs>
          </w:pPr>
          <w:r>
            <w:t xml:space="preserve">Customer References</w:t>
          </w:r>
          <w:r>
            <w:tab/>
          </w:r>
          <w:r>
            <w:t xml:space="preserve">13</w:t>
          </w:r>
        </w:p>
        <w:p>
          <w:pPr>
            <w:pStyle w:val="TOC2"/>
            <w:tabs>
              <w:tab w:val="right" w:leader="dot" w:pos="9072"/>
            </w:tabs>
          </w:pPr>
          <w:r>
            <w:t xml:space="preserve">Proposed Solution</w:t>
          </w:r>
          <w:r>
            <w:tab/>
          </w:r>
          <w:r>
            <w:t xml:space="preserve">14</w:t>
          </w:r>
        </w:p>
        <w:p>
          <w:pPr>
            <w:pStyle w:val="TOC3"/>
            <w:tabs>
              <w:tab w:val="right" w:leader="dot" w:pos="9072"/>
            </w:tabs>
          </w:pPr>
          <w:r>
            <w:t xml:space="preserve">Trade Finance Instrument Configuration</w:t>
          </w:r>
          <w:r>
            <w:tab/>
          </w:r>
          <w:r>
            <w:t xml:space="preserve">15</w:t>
          </w:r>
        </w:p>
        <w:p>
          <w:pPr>
            <w:pStyle w:val="TOC3"/>
            <w:tabs>
              <w:tab w:val="right" w:leader="dot" w:pos="9072"/>
            </w:tabs>
          </w:pPr>
          <w:r>
            <w:t xml:space="preserve">Supply-Chain Workflow</w:t>
          </w:r>
          <w:r>
            <w:tab/>
          </w:r>
          <w:r>
            <w:t xml:space="preserve">16</w:t>
          </w:r>
        </w:p>
        <w:p>
          <w:pPr>
            <w:pStyle w:val="TOC3"/>
            <w:tabs>
              <w:tab w:val="right" w:leader="dot" w:pos="9072"/>
            </w:tabs>
          </w:pPr>
          <w:r>
            <w:t xml:space="preserve">Functional Fit Matrix</w:t>
          </w:r>
          <w:r>
            <w:tab/>
          </w:r>
          <w:r>
            <w:t xml:space="preserve">17</w:t>
          </w:r>
        </w:p>
        <w:p>
          <w:pPr>
            <w:pStyle w:val="TOC2"/>
            <w:tabs>
              <w:tab w:val="right" w:leader="dot" w:pos="9072"/>
            </w:tabs>
          </w:pPr>
          <w:r>
            <w:t xml:space="preserve">Technical Architecture</w:t>
          </w:r>
          <w:r>
            <w:tab/>
          </w:r>
          <w:r>
            <w:t xml:space="preserve">18</w:t>
          </w:r>
        </w:p>
        <w:p>
          <w:pPr>
            <w:pStyle w:val="TOC3"/>
            <w:tabs>
              <w:tab w:val="right" w:leader="dot" w:pos="9072"/>
            </w:tabs>
          </w:pPr>
          <w:r>
            <w:t xml:space="preserve">Security: 5-Layer Defense-in-Depth</w:t>
          </w:r>
          <w:r>
            <w:tab/>
          </w:r>
          <w:r>
            <w:t xml:space="preserve">19</w:t>
          </w:r>
        </w:p>
        <w:p>
          <w:pPr>
            <w:pStyle w:val="TOC2"/>
            <w:tabs>
              <w:tab w:val="right" w:leader="dot" w:pos="9072"/>
            </w:tabs>
          </w:pPr>
          <w:r>
            <w:t xml:space="preserve">Implementation (19 Weeks)</w:t>
          </w:r>
          <w:r>
            <w:tab/>
          </w:r>
          <w:r>
            <w:t xml:space="preserve">20</w:t>
          </w:r>
        </w:p>
        <w:p>
          <w:pPr>
            <w:pStyle w:val="TOC2"/>
            <w:tabs>
              <w:tab w:val="right" w:leader="dot" w:pos="9072"/>
            </w:tabs>
          </w:pPr>
          <w:r>
            <w:t xml:space="preserve">Deployment</w:t>
          </w:r>
          <w:r>
            <w:tab/>
          </w:r>
          <w:r>
            <w:t xml:space="preserve">21</w:t>
          </w:r>
        </w:p>
        <w:p>
          <w:pPr>
            <w:pStyle w:val="TOC2"/>
            <w:tabs>
              <w:tab w:val="right" w:leader="dot" w:pos="9072"/>
            </w:tabs>
          </w:pPr>
          <w:r>
            <w:t xml:space="preserve">Support: Premium</w:t>
          </w:r>
          <w:r>
            <w:tab/>
          </w:r>
          <w:r>
            <w:t xml:space="preserve">22</w:t>
          </w:r>
        </w:p>
        <w:p>
          <w:pPr>
            <w:pStyle w:val="TOC2"/>
            <w:tabs>
              <w:tab w:val="right" w:leader="dot" w:pos="9072"/>
            </w:tabs>
          </w:pPr>
          <w:r>
            <w:t xml:space="preserve">Risk Register</w:t>
          </w:r>
          <w:r>
            <w:tab/>
          </w:r>
          <w:r>
            <w:t xml:space="preserve">23</w:t>
          </w:r>
        </w:p>
        <w:p>
          <w:pPr>
            <w:pStyle w:val="TOC2"/>
            <w:tabs>
              <w:tab w:val="right" w:leader="dot" w:pos="9072"/>
            </w:tabs>
          </w:pPr>
          <w:r>
            <w:t xml:space="preserve">Appendices</w:t>
          </w:r>
          <w:r>
            <w:tab/>
          </w:r>
          <w:r>
            <w:t xml:space="preserve">24</w:t>
          </w:r>
        </w:p>
        <w:p>
          <w:pPr>
            <w:pStyle w:val="TOC3"/>
            <w:tabs>
              <w:tab w:val="right" w:leader="dot" w:pos="9072"/>
            </w:tabs>
          </w:pPr>
          <w:r>
            <w:t xml:space="preserve">Glossary</w:t>
          </w:r>
          <w:r>
            <w:tab/>
          </w:r>
          <w:r>
            <w:t xml:space="preserve">25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3"/>
        <w:gridCol w:w="72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and Supply-Chain Document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Attijariwafa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ATTIJARIWAFA-BANK-RFP-TOKENIZED-TRADE-FINANCE-MOROCCO-202603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Attijariwafa's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Trade Finance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Attijariwafa Bank has identified tokenized trade finance and supply-chain document digitization as a business-critical capability. As Morocco's largest banking group with significant pan-African operations, Attijariwafa requires a platform that operates within Bank Al-Maghrib regulatory expectations, AMMC capital markets rules, and supports the cross-border trade finance requirements of its pan-African network spanning 25+ countries.</w:t>
      </w:r>
    </w:p>
    <w:p>
      <w:r>
        <w:rPr>
          <w:rFonts w:ascii="Figtree" w:hAnsi="Figtree"/>
          <w:b w:val="0"/>
          <w:i w:val="0"/>
          <w:sz w:val="22"/>
        </w:rPr>
        <w:t>SettleMint's Digital Asset Lifecycle Platform (DALP) addresses this through its durable workflow engine and configurable token architecture. DALP provides production-ready infrastructure for tokenizing trade finance instruments, digitizing supply-chain documents with on-chain evidence, orchestrating multi-party approval workflows, and settling through atomic delivery-versus-payment.</w:t>
      </w:r>
    </w:p>
    <w:p>
      <w:r>
        <w:rPr>
          <w:rFonts w:ascii="Figtree" w:hAnsi="Figtree"/>
          <w:b/>
          <w:i w:val="0"/>
          <w:sz w:val="22"/>
        </w:rPr>
        <w:t>Why DALP fits Attijariwafa Bank's requirements:</w:t>
      </w:r>
    </w:p>
    <w:p>
      <w:pPr>
        <w:pStyle w:val="ListParagraph"/>
        <w:numPr>
          <w:ilvl w:val="0"/>
          <w:numId w:val="4"/>
        </w:numPr>
      </w:pPr>
      <w:r>
        <w:rPr>
          <w:rFonts w:ascii="Figtree" w:hAnsi="Figtree"/>
          <w:b/>
          <w:i w:val="0"/>
          <w:sz w:val="22"/>
        </w:rPr>
        <w:t>Trade finance workflow expertise.</w:t>
      </w:r>
      <w:r>
        <w:rPr>
          <w:rFonts w:ascii="Figtree" w:hAnsi="Figtree"/>
          <w:b w:val="0"/>
          <w:i w:val="0"/>
          <w:sz w:val="22"/>
        </w:rPr>
        <w:t xml:space="preserve"> The RBI Innovation Hub engagement — multi-bank, multi-node, multi-cloud blockchain for fraud-proof letters of credit — directly demonstrates DALP's capability for the document-linked, multi-party trade workflows that Attijariwafa requires.</w:t>
      </w:r>
    </w:p>
    <w:p>
      <w:pPr>
        <w:pStyle w:val="ListParagraph"/>
        <w:numPr>
          <w:ilvl w:val="0"/>
          <w:numId w:val="4"/>
        </w:numPr>
      </w:pPr>
      <w:r>
        <w:rPr>
          <w:rFonts w:ascii="Figtree" w:hAnsi="Figtree"/>
          <w:b/>
          <w:i w:val="0"/>
          <w:sz w:val="22"/>
        </w:rPr>
        <w:t>Supply-chain document digitization.</w:t>
      </w:r>
      <w:r>
        <w:rPr>
          <w:rFonts w:ascii="Figtree" w:hAnsi="Figtree"/>
          <w:b w:val="0"/>
          <w:i w:val="0"/>
          <w:sz w:val="22"/>
        </w:rPr>
        <w:t xml:space="preserve"> DALP's metadata linking, durable workflow engine, and compliance modules support the digitization of supply-chain documents with on-chain evidence of document presentation, verification, and approval. Document references (hashes, identifiers) are stored immutably on-chain while document content remains in Attijariwafa's document management systems.</w:t>
      </w:r>
    </w:p>
    <w:p>
      <w:pPr>
        <w:pStyle w:val="ListParagraph"/>
        <w:numPr>
          <w:ilvl w:val="0"/>
          <w:numId w:val="4"/>
        </w:numPr>
      </w:pPr>
      <w:r>
        <w:rPr>
          <w:rFonts w:ascii="Figtree" w:hAnsi="Figtree"/>
          <w:b/>
          <w:i w:val="0"/>
          <w:sz w:val="22"/>
        </w:rPr>
        <w:t>Cross-border African trade.</w:t>
      </w:r>
      <w:r>
        <w:rPr>
          <w:rFonts w:ascii="Figtree" w:hAnsi="Figtree"/>
          <w:b w:val="0"/>
          <w:i w:val="0"/>
          <w:sz w:val="22"/>
        </w:rPr>
        <w:t xml:space="preserve"> Standard Chartered's engagement spans Africa. The Islamic Development Bank program operates across 57 countries including multiple African nations. DALP's configurable compliance engine accommodates multi-jurisdiction requirements through per-token compliance module composition.</w:t>
      </w:r>
    </w:p>
    <w:p>
      <w:pPr>
        <w:pStyle w:val="ListParagraph"/>
        <w:numPr>
          <w:ilvl w:val="0"/>
          <w:numId w:val="4"/>
        </w:numPr>
      </w:pPr>
      <w:r>
        <w:rPr>
          <w:rFonts w:ascii="Figtree" w:hAnsi="Figtree"/>
          <w:b/>
          <w:i w:val="0"/>
          <w:sz w:val="22"/>
        </w:rPr>
        <w:t>Production credentials.</w:t>
      </w:r>
      <w:r>
        <w:rPr>
          <w:rFonts w:ascii="Figtree" w:hAnsi="Figtree"/>
          <w:b w:val="0"/>
          <w:i w:val="0"/>
          <w:sz w:val="22"/>
        </w:rPr>
        <w:t xml:space="preserve"> 14 institutional deployments. Commerzbank: EUR 7M/year savings. ISO 27001, SOC 2 Type II.</w:t>
      </w:r>
    </w:p>
    <w:p>
      <w:pPr>
        <w:pStyle w:val="ListParagraph"/>
        <w:numPr>
          <w:ilvl w:val="0"/>
          <w:numId w:val="4"/>
        </w:numPr>
      </w:pPr>
      <w:r>
        <w:rPr>
          <w:rFonts w:ascii="Figtree" w:hAnsi="Figtree"/>
          <w:b/>
          <w:i w:val="0"/>
          <w:sz w:val="22"/>
        </w:rPr>
        <w:t>Enterprise integration.</w:t>
      </w:r>
      <w:r>
        <w:rPr>
          <w:rFonts w:ascii="Figtree" w:hAnsi="Figtree"/>
          <w:b w:val="0"/>
          <w:i w:val="0"/>
          <w:sz w:val="22"/>
        </w:rPr>
        <w:t xml:space="preserve"> REST API v2, GraphQL, webhooks, SDK, CLI (301 commands). Connects to core banking, trade finance systems, SWIFT, KYC/AML.</w:t>
      </w:r>
    </w:p>
    <w:p>
      <w:pPr>
        <w:jc w:val="center"/>
      </w:pPr>
      <w:r>
        <w:drawing>
          <wp:inline xmlns:a="http://schemas.openxmlformats.org/drawingml/2006/main" xmlns:pic="http://schemas.openxmlformats.org/drawingml/2006/picture">
            <wp:extent cx="5486400" cy="191744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917441"/>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Relevance to Attijariwafa Bank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3"/>
        <w:gridCol w:w="64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Trade finance</w:t>
            </w:r>
          </w:p>
        </w:tc>
        <w:tc>
          <w:tcPr>
            <w:tcW w:type="dxa" w:w="4873"/>
            <w:vAlign w:val="center"/>
          </w:tcPr>
          <w:p>
            <w:pPr>
              <w:spacing w:line="276" w:lineRule="auto" w:before="0" w:after="0"/>
            </w:pPr>
            <w:r/>
            <w:r>
              <w:rPr>
                <w:rFonts w:ascii="Figtree" w:hAnsi="Figtree"/>
                <w:b w:val="0"/>
                <w:i w:val="0"/>
                <w:sz w:val="20"/>
              </w:rPr>
              <w:t>RBI Innovation Hub: multi-bank LC processing</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w:t>
            </w:r>
          </w:p>
        </w:tc>
        <w:tc>
          <w:tcPr>
            <w:tcW w:type="dxa" w:w="4873"/>
            <w:vAlign w:val="center"/>
          </w:tcPr>
          <w:p>
            <w:pPr>
              <w:spacing w:line="276" w:lineRule="auto" w:before="0" w:after="0"/>
            </w:pPr>
            <w:r/>
            <w:r>
              <w:rPr>
                <w:rFonts w:ascii="Figtree" w:hAnsi="Figtree"/>
                <w:b w:val="0"/>
                <w:i w:val="0"/>
                <w:sz w:val="20"/>
              </w:rPr>
              <w:t>Standard Chartered: Africa exposure; IsDB: African nations</w:t>
            </w:r>
          </w:p>
        </w:tc>
      </w:tr>
      <w:tr>
        <w:trPr>
          <w:trHeight w:val="425" w:hRule="atLeast"/>
        </w:trPr>
        <w:tc>
          <w:tcPr>
            <w:tcW w:type="dxa" w:w="4873"/>
            <w:vAlign w:val="center"/>
          </w:tcPr>
          <w:p>
            <w:pPr>
              <w:spacing w:line="276" w:lineRule="auto" w:before="0" w:after="0"/>
            </w:pPr>
            <w:r/>
            <w:r>
              <w:rPr>
                <w:rFonts w:ascii="Figtree" w:hAnsi="Figtree"/>
                <w:b w:val="0"/>
                <w:i w:val="0"/>
                <w:sz w:val="20"/>
              </w:rPr>
              <w:t>Islamic finance</w:t>
            </w:r>
          </w:p>
        </w:tc>
        <w:tc>
          <w:tcPr>
            <w:tcW w:type="dxa" w:w="4873"/>
            <w:vAlign w:val="center"/>
          </w:tcPr>
          <w:p>
            <w:pPr>
              <w:spacing w:line="276" w:lineRule="auto" w:before="0" w:after="0"/>
            </w:pPr>
            <w:r/>
            <w:r>
              <w:rPr>
                <w:rFonts w:ascii="Figtree" w:hAnsi="Figtree"/>
                <w:b w:val="0"/>
                <w:i w:val="0"/>
                <w:sz w:val="20"/>
              </w:rPr>
              <w:t>IsDB: Sharia-compliant distribution across 57 countries</w:t>
            </w:r>
          </w:p>
        </w:tc>
      </w:tr>
      <w:tr>
        <w:trPr>
          <w:trHeight w:val="425" w:hRule="atLeast"/>
        </w:trPr>
        <w:tc>
          <w:tcPr>
            <w:tcW w:type="dxa" w:w="4873"/>
            <w:vAlign w:val="center"/>
          </w:tcPr>
          <w:p>
            <w:pPr>
              <w:spacing w:line="276" w:lineRule="auto" w:before="0" w:after="0"/>
            </w:pPr>
            <w:r/>
            <w:r>
              <w:rPr>
                <w:rFonts w:ascii="Figtree" w:hAnsi="Figtree"/>
                <w:b w:val="0"/>
                <w:i w:val="0"/>
                <w:sz w:val="20"/>
              </w:rPr>
              <w:t>Institutional scale</w:t>
            </w:r>
          </w:p>
        </w:tc>
        <w:tc>
          <w:tcPr>
            <w:tcW w:type="dxa" w:w="4873"/>
            <w:vAlign w:val="center"/>
          </w:tcPr>
          <w:p>
            <w:pPr>
              <w:spacing w:line="276" w:lineRule="auto" w:before="0" w:after="0"/>
            </w:pPr>
            <w:r/>
            <w:r>
              <w:rPr>
                <w:rFonts w:ascii="Figtree" w:hAnsi="Figtree"/>
                <w:b w:val="0"/>
                <w:i w:val="0"/>
                <w:sz w:val="20"/>
              </w:rPr>
              <w:t>14 deployments, 7+ years production</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bl>
    <w:p>
      <w:pPr>
        <w:spacing w:before="0" w:after="0" w:line="120" w:lineRule="exact"/>
      </w:pPr>
    </w:p>
    <w:p>
      <w:r>
        <w:br w:type="page"/>
      </w:r>
    </w:p>
    <w:p>
      <w:pPr>
        <w:pStyle w:val="H2"/>
        <w:numPr>
          <w:ilvl w:val="1"/>
          <w:numId w:val="1"/>
        </w:numPr>
      </w:pPr>
      <w:r>
        <w:t>About DALP</w:t>
      </w:r>
    </w:p>
    <w:p>
      <w:pPr>
        <w:pStyle w:val="H3"/>
        <w:numPr>
          <w:ilvl w:val="2"/>
          <w:numId w:val="1"/>
        </w:numPr>
      </w:pPr>
      <w:r>
        <w:t>Supply-Chain Document Digitization</w:t>
      </w:r>
    </w:p>
    <w:p>
      <w:r>
        <w:rPr>
          <w:rFonts w:ascii="Figtree" w:hAnsi="Figtree"/>
          <w:b w:val="0"/>
          <w:i w:val="0"/>
          <w:sz w:val="22"/>
        </w:rPr>
        <w:t>DALP's document digitization capability for trade finance:</w:t>
      </w:r>
    </w:p>
    <w:p>
      <w:pPr>
        <w:jc w:val="center"/>
      </w:pPr>
      <w:r>
        <w:drawing>
          <wp:inline xmlns:a="http://schemas.openxmlformats.org/drawingml/2006/main" xmlns:pic="http://schemas.openxmlformats.org/drawingml/2006/picture">
            <wp:extent cx="5486400" cy="401682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016829"/>
                    </a:xfrm>
                    <a:prstGeom prst="rect"/>
                  </pic:spPr>
                </pic:pic>
              </a:graphicData>
            </a:graphic>
          </wp:inline>
        </w:drawing>
      </w:r>
    </w:p>
    <w:p>
      <w:r>
        <w:rPr>
          <w:rFonts w:ascii="Figtree" w:hAnsi="Figtree"/>
          <w:b/>
          <w:i w:val="0"/>
          <w:sz w:val="22"/>
        </w:rPr>
        <w:t>Document reference model:</w:t>
      </w:r>
    </w:p>
    <w:p>
      <w:pPr>
        <w:pStyle w:val="ListParagraph"/>
        <w:numPr>
          <w:ilvl w:val="0"/>
          <w:numId w:val="4"/>
        </w:numPr>
      </w:pPr>
      <w:r>
        <w:rPr>
          <w:rFonts w:ascii="Figtree" w:hAnsi="Figtree"/>
          <w:b w:val="0"/>
          <w:i w:val="0"/>
          <w:sz w:val="22"/>
        </w:rPr>
        <w:t>Document hashes stored on-chain as immutable metadata</w:t>
      </w:r>
    </w:p>
    <w:p>
      <w:pPr>
        <w:pStyle w:val="ListParagraph"/>
        <w:numPr>
          <w:ilvl w:val="0"/>
          <w:numId w:val="4"/>
        </w:numPr>
      </w:pPr>
      <w:r>
        <w:rPr>
          <w:rFonts w:ascii="Figtree" w:hAnsi="Figtree"/>
          <w:b w:val="0"/>
          <w:i w:val="0"/>
          <w:sz w:val="22"/>
        </w:rPr>
        <w:t>Document content remains in Attijariwafa's document management system</w:t>
      </w:r>
    </w:p>
    <w:p>
      <w:pPr>
        <w:pStyle w:val="ListParagraph"/>
        <w:numPr>
          <w:ilvl w:val="0"/>
          <w:numId w:val="4"/>
        </w:numPr>
      </w:pPr>
      <w:r>
        <w:rPr>
          <w:rFonts w:ascii="Figtree" w:hAnsi="Figtree"/>
          <w:b w:val="0"/>
          <w:i w:val="0"/>
          <w:sz w:val="22"/>
        </w:rPr>
        <w:t>Verification status recorded as workflow milestone with approver identity</w:t>
      </w:r>
    </w:p>
    <w:p>
      <w:pPr>
        <w:pStyle w:val="ListParagraph"/>
        <w:numPr>
          <w:ilvl w:val="0"/>
          <w:numId w:val="4"/>
        </w:numPr>
      </w:pPr>
      <w:r>
        <w:rPr>
          <w:rFonts w:ascii="Figtree" w:hAnsi="Figtree"/>
          <w:b w:val="0"/>
          <w:i w:val="0"/>
          <w:sz w:val="22"/>
        </w:rPr>
        <w:t>Any change to references produces an audit event</w:t>
      </w:r>
    </w:p>
    <w:p>
      <w:pPr>
        <w:pStyle w:val="ListParagraph"/>
        <w:numPr>
          <w:ilvl w:val="0"/>
          <w:numId w:val="4"/>
        </w:numPr>
      </w:pPr>
      <w:r>
        <w:rPr>
          <w:rFonts w:ascii="Figtree" w:hAnsi="Figtree"/>
          <w:b w:val="0"/>
          <w:i w:val="0"/>
          <w:sz w:val="22"/>
        </w:rPr>
        <w:t>Full lifecycle evidence preserved for regulatory examination</w:t>
      </w:r>
    </w:p>
    <w:p>
      <w:pPr>
        <w:pStyle w:val="H3"/>
        <w:numPr>
          <w:ilvl w:val="2"/>
          <w:numId w:val="1"/>
        </w:numPr>
      </w:pPr>
      <w:r>
        <w:t>Core Capabilities</w:t>
      </w:r>
    </w:p>
    <w:p>
      <w:r>
        <w:rPr>
          <w:rFonts w:ascii="Figtree" w:hAnsi="Figtree"/>
          <w:b/>
          <w:i w:val="0"/>
          <w:sz w:val="22"/>
        </w:rPr>
        <w:t>Durable Workflow Engine:</w:t>
      </w:r>
      <w:r>
        <w:rPr>
          <w:rFonts w:ascii="Figtree" w:hAnsi="Figtree"/>
          <w:b w:val="0"/>
          <w:i w:val="0"/>
          <w:sz w:val="22"/>
        </w:rPr>
        <w:t xml:space="preserve"> Multi-step supply-chain workflows with deterministic completion, state persistence, timeout management, and escalation paths.</w:t>
      </w:r>
    </w:p>
    <w:p>
      <w:r>
        <w:rPr>
          <w:rFonts w:ascii="Figtree" w:hAnsi="Figtree"/>
          <w:b/>
          <w:i w:val="0"/>
          <w:sz w:val="22"/>
        </w:rPr>
        <w:t>Configurable Tokens:</w:t>
      </w:r>
      <w:r>
        <w:rPr>
          <w:rFonts w:ascii="Figtree" w:hAnsi="Figtree"/>
          <w:b w:val="0"/>
          <w:i w:val="0"/>
          <w:sz w:val="22"/>
        </w:rPr>
        <w:t xml:space="preserve"> DALPAsset with document metadata, counterparty restrictions, multi-party approvals, holding period enforcement.</w:t>
      </w:r>
    </w:p>
    <w:p>
      <w:r>
        <w:rPr>
          <w:rFonts w:ascii="Figtree" w:hAnsi="Figtree"/>
          <w:b/>
          <w:i w:val="0"/>
          <w:sz w:val="22"/>
        </w:rPr>
        <w:t>On-chain Compliance:</w:t>
      </w:r>
      <w:r>
        <w:rPr>
          <w:rFonts w:ascii="Figtree" w:hAnsi="Figtree"/>
          <w:b w:val="0"/>
          <w:i w:val="0"/>
          <w:sz w:val="22"/>
        </w:rPr>
        <w:t xml:space="preserve"> 18 modules. Identity verification, address allow lists, transfer approvals, timelocks. Fail-closed logic.</w:t>
      </w:r>
    </w:p>
    <w:p>
      <w:r>
        <w:rPr>
          <w:rFonts w:ascii="Figtree" w:hAnsi="Figtree"/>
          <w:b/>
          <w:i w:val="0"/>
          <w:sz w:val="22"/>
        </w:rPr>
        <w:t>Atomic Settlement:</w:t>
      </w:r>
      <w:r>
        <w:rPr>
          <w:rFonts w:ascii="Figtree" w:hAnsi="Figtree"/>
          <w:b w:val="0"/>
          <w:i w:val="0"/>
          <w:sz w:val="22"/>
        </w:rPr>
        <w:t xml:space="preserve"> XvP — both legs in single transaction, deterministic finality (2.3s median, 4.1s P99 under IBFT 2.0).</w:t>
      </w:r>
    </w:p>
    <w:p>
      <w:r>
        <w:br w:type="page"/>
      </w:r>
    </w:p>
    <w:p>
      <w:pPr>
        <w:pStyle w:val="H2"/>
        <w:numPr>
          <w:ilvl w:val="1"/>
          <w:numId w:val="1"/>
        </w:numPr>
      </w:pPr>
      <w:r>
        <w:t>Understanding Attijariwafa's Programme Objectives</w:t>
      </w:r>
    </w:p>
    <w:p>
      <w:pPr>
        <w:pStyle w:val="H3"/>
        <w:numPr>
          <w:ilvl w:val="2"/>
          <w:numId w:val="1"/>
        </w:numPr>
      </w:pPr>
      <w:r>
        <w:t>Client Context</w:t>
      </w:r>
    </w:p>
    <w:p>
      <w:r>
        <w:rPr>
          <w:rFonts w:ascii="Figtree" w:hAnsi="Figtree"/>
          <w:b/>
          <w:i w:val="0"/>
          <w:sz w:val="22"/>
        </w:rPr>
        <w:t>Challenge 1: Pan-African trade complexity.</w:t>
      </w:r>
      <w:r>
        <w:rPr>
          <w:rFonts w:ascii="Figtree" w:hAnsi="Figtree"/>
          <w:b w:val="0"/>
          <w:i w:val="0"/>
          <w:sz w:val="22"/>
        </w:rPr>
        <w:t xml:space="preserve"> Attijariwafa operates across 25+ African countries with different regulatory frameworks. The platform must support multi-jurisdiction compliance through configurable per-token module composition.</w:t>
      </w:r>
    </w:p>
    <w:p>
      <w:r>
        <w:rPr>
          <w:rFonts w:ascii="Figtree" w:hAnsi="Figtree"/>
          <w:b/>
          <w:i w:val="0"/>
          <w:sz w:val="22"/>
        </w:rPr>
        <w:t>Challenge 2: Supply-chain document integrity.</w:t>
      </w:r>
      <w:r>
        <w:rPr>
          <w:rFonts w:ascii="Figtree" w:hAnsi="Figtree"/>
          <w:b w:val="0"/>
          <w:i w:val="0"/>
          <w:sz w:val="22"/>
        </w:rPr>
        <w:t xml:space="preserve"> Paper-based trade documents create fraud risk, processing delays, and audit challenges. On-chain document references with immutable verification timestamps address these concerns.</w:t>
      </w:r>
    </w:p>
    <w:p>
      <w:r>
        <w:rPr>
          <w:rFonts w:ascii="Figtree" w:hAnsi="Figtree"/>
          <w:b/>
          <w:i w:val="0"/>
          <w:sz w:val="22"/>
        </w:rPr>
        <w:t>Challenge 3: Cross-border settlement efficiency.</w:t>
      </w:r>
      <w:r>
        <w:rPr>
          <w:rFonts w:ascii="Figtree" w:hAnsi="Figtree"/>
          <w:b w:val="0"/>
          <w:i w:val="0"/>
          <w:sz w:val="22"/>
        </w:rPr>
        <w:t xml:space="preserve"> Current cross-border trade settlement involves multiple intermediaries and T+3 to T+5 delays. Atomic DvP reduces this to under 3 seconds.</w:t>
      </w:r>
    </w:p>
    <w:p>
      <w:pPr>
        <w:pStyle w:val="H3"/>
        <w:numPr>
          <w:ilvl w:val="2"/>
          <w:numId w:val="1"/>
        </w:numPr>
      </w:pPr>
      <w:r>
        <w:t>Regulatory Context: Morocco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3980"/>
        <w:gridCol w:w="29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Bank Al-Maghrib</w:t>
            </w:r>
          </w:p>
        </w:tc>
        <w:tc>
          <w:tcPr>
            <w:tcW w:type="dxa" w:w="3249"/>
            <w:vAlign w:val="center"/>
          </w:tcPr>
          <w:p>
            <w:pPr>
              <w:spacing w:line="276" w:lineRule="auto" w:before="0" w:after="0"/>
            </w:pPr>
            <w:r/>
            <w:r>
              <w:rPr>
                <w:rFonts w:ascii="Figtree" w:hAnsi="Figtree"/>
                <w:b w:val="0"/>
                <w:i w:val="0"/>
                <w:sz w:val="20"/>
              </w:rPr>
              <w:t>Prudential controls, operational resilience</w:t>
            </w:r>
          </w:p>
        </w:tc>
        <w:tc>
          <w:tcPr>
            <w:tcW w:type="dxa" w:w="3249"/>
            <w:vAlign w:val="center"/>
          </w:tcPr>
          <w:p>
            <w:pPr>
              <w:spacing w:line="276" w:lineRule="auto" w:before="0" w:after="0"/>
            </w:pPr>
            <w:r/>
            <w:r>
              <w:rPr>
                <w:rFonts w:ascii="Figtree" w:hAnsi="Figtree"/>
                <w:b w:val="0"/>
                <w:i w:val="0"/>
                <w:sz w:val="20"/>
              </w:rPr>
              <w:t>Multi-AZ, defense-in-depth</w:t>
            </w:r>
          </w:p>
        </w:tc>
      </w:tr>
      <w:tr>
        <w:trPr>
          <w:trHeight w:val="425" w:hRule="atLeast"/>
        </w:trPr>
        <w:tc>
          <w:tcPr>
            <w:tcW w:type="dxa" w:w="3249"/>
            <w:vAlign w:val="center"/>
          </w:tcPr>
          <w:p>
            <w:pPr>
              <w:spacing w:line="276" w:lineRule="auto" w:before="0" w:after="0"/>
            </w:pPr>
            <w:r/>
            <w:r>
              <w:rPr>
                <w:rFonts w:ascii="Figtree" w:hAnsi="Figtree"/>
                <w:b w:val="0"/>
                <w:i w:val="0"/>
                <w:sz w:val="20"/>
              </w:rPr>
              <w:t>AMMC</w:t>
            </w:r>
          </w:p>
        </w:tc>
        <w:tc>
          <w:tcPr>
            <w:tcW w:type="dxa" w:w="3249"/>
            <w:vAlign w:val="center"/>
          </w:tcPr>
          <w:p>
            <w:pPr>
              <w:spacing w:line="276" w:lineRule="auto" w:before="0" w:after="0"/>
            </w:pPr>
            <w:r/>
            <w:r>
              <w:rPr>
                <w:rFonts w:ascii="Figtree" w:hAnsi="Figtree"/>
                <w:b w:val="0"/>
                <w:i w:val="0"/>
                <w:sz w:val="20"/>
              </w:rPr>
              <w:t>Capital markets, financial instruments</w:t>
            </w:r>
          </w:p>
        </w:tc>
        <w:tc>
          <w:tcPr>
            <w:tcW w:type="dxa" w:w="3249"/>
            <w:vAlign w:val="center"/>
          </w:tcPr>
          <w:p>
            <w:pPr>
              <w:spacing w:line="276" w:lineRule="auto" w:before="0" w:after="0"/>
            </w:pPr>
            <w:r/>
            <w:r>
              <w:rPr>
                <w:rFonts w:ascii="Figtree" w:hAnsi="Figtree"/>
                <w:b w:val="0"/>
                <w:i w:val="0"/>
                <w:sz w:val="20"/>
              </w:rPr>
              <w:t>Compliance modules, OnchainID</w:t>
            </w:r>
          </w:p>
        </w:tc>
      </w:tr>
      <w:tr>
        <w:trPr>
          <w:trHeight w:val="425" w:hRule="atLeast"/>
        </w:trPr>
        <w:tc>
          <w:tcPr>
            <w:tcW w:type="dxa" w:w="3249"/>
            <w:vAlign w:val="center"/>
          </w:tcPr>
          <w:p>
            <w:pPr>
              <w:spacing w:line="276" w:lineRule="auto" w:before="0" w:after="0"/>
            </w:pPr>
            <w:r/>
            <w:r>
              <w:rPr>
                <w:rFonts w:ascii="Figtree" w:hAnsi="Figtree"/>
                <w:b w:val="0"/>
                <w:i w:val="0"/>
                <w:sz w:val="20"/>
              </w:rPr>
              <w:t>Morocco AML/CFT</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OnchainID with KYC claims</w:t>
            </w:r>
          </w:p>
        </w:tc>
      </w:tr>
      <w:tr>
        <w:trPr>
          <w:trHeight w:val="425" w:hRule="atLeast"/>
        </w:trPr>
        <w:tc>
          <w:tcPr>
            <w:tcW w:type="dxa" w:w="3249"/>
            <w:vAlign w:val="center"/>
          </w:tcPr>
          <w:p>
            <w:pPr>
              <w:spacing w:line="276" w:lineRule="auto" w:before="0" w:after="0"/>
            </w:pPr>
            <w:r/>
            <w:r>
              <w:rPr>
                <w:rFonts w:ascii="Figtree" w:hAnsi="Figtree"/>
                <w:b w:val="0"/>
                <w:i w:val="0"/>
                <w:sz w:val="20"/>
              </w:rPr>
              <w:t>Morocco data protection</w:t>
            </w:r>
          </w:p>
        </w:tc>
        <w:tc>
          <w:tcPr>
            <w:tcW w:type="dxa" w:w="3249"/>
            <w:vAlign w:val="center"/>
          </w:tcPr>
          <w:p>
            <w:pPr>
              <w:spacing w:line="276" w:lineRule="auto" w:before="0" w:after="0"/>
            </w:pPr>
            <w:r/>
            <w:r>
              <w:rPr>
                <w:rFonts w:ascii="Figtree" w:hAnsi="Figtree"/>
                <w:b w:val="0"/>
                <w:i w:val="0"/>
                <w:sz w:val="20"/>
              </w:rPr>
              <w:t>Data residency, privacy</w:t>
            </w:r>
          </w:p>
        </w:tc>
        <w:tc>
          <w:tcPr>
            <w:tcW w:type="dxa" w:w="3249"/>
            <w:vAlign w:val="center"/>
          </w:tcPr>
          <w:p>
            <w:pPr>
              <w:spacing w:line="276" w:lineRule="auto" w:before="0" w:after="0"/>
            </w:pPr>
            <w:r/>
            <w:r>
              <w:rPr>
                <w:rFonts w:ascii="Figtree" w:hAnsi="Figtree"/>
                <w:b w:val="0"/>
                <w:i w:val="0"/>
                <w:sz w:val="20"/>
              </w:rPr>
              <w:t>Configurable deployment location</w:t>
            </w:r>
          </w:p>
        </w:tc>
      </w:tr>
    </w:tbl>
    <w:p>
      <w:pPr>
        <w:spacing w:before="0" w:after="0" w:line="120" w:lineRule="exact"/>
      </w:pPr>
    </w:p>
    <w:p>
      <w:r>
        <w:br w:type="page"/>
      </w:r>
    </w:p>
    <w:p>
      <w:pPr>
        <w:pStyle w:val="H2"/>
        <w:numPr>
          <w:ilvl w:val="1"/>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7"/>
        <w:gridCol w:w="60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Trade Finance Relevance</w:t>
            </w:r>
          </w:p>
        </w:tc>
      </w:tr>
      <w:tr>
        <w:trPr>
          <w:trHeight w:val="425" w:hRule="atLeast"/>
        </w:trPr>
        <w:tc>
          <w:tcPr>
            <w:tcW w:type="dxa" w:w="4873"/>
            <w:vAlign w:val="center"/>
          </w:tcPr>
          <w:p>
            <w:pPr>
              <w:spacing w:line="276" w:lineRule="auto" w:before="0" w:after="0"/>
            </w:pPr>
            <w:r/>
            <w:r>
              <w:rPr>
                <w:rFonts w:ascii="Figtree" w:hAnsi="Figtree"/>
                <w:b w:val="0"/>
                <w:i w:val="0"/>
                <w:sz w:val="20"/>
              </w:rPr>
              <w:t>RBI Innovation Hub</w:t>
            </w:r>
          </w:p>
        </w:tc>
        <w:tc>
          <w:tcPr>
            <w:tcW w:type="dxa" w:w="4873"/>
            <w:vAlign w:val="center"/>
          </w:tcPr>
          <w:p>
            <w:pPr>
              <w:spacing w:line="276" w:lineRule="auto" w:before="0" w:after="0"/>
            </w:pPr>
            <w:r/>
            <w:r>
              <w:rPr>
                <w:rFonts w:ascii="Figtree" w:hAnsi="Figtree"/>
                <w:b w:val="0"/>
                <w:i w:val="0"/>
                <w:sz w:val="20"/>
              </w:rPr>
              <w:t>Multi-bank LC processing — direct match</w:t>
            </w:r>
          </w:p>
        </w:tc>
      </w:tr>
      <w:tr>
        <w:trPr>
          <w:trHeight w:val="425" w:hRule="atLeast"/>
        </w:trPr>
        <w:tc>
          <w:tcPr>
            <w:tcW w:type="dxa" w:w="4873"/>
            <w:vAlign w:val="center"/>
          </w:tcPr>
          <w:p>
            <w:pPr>
              <w:spacing w:line="276" w:lineRule="auto" w:before="0" w:after="0"/>
            </w:pPr>
            <w:r/>
            <w:r>
              <w:rPr>
                <w:rFonts w:ascii="Figtree" w:hAnsi="Figtree"/>
                <w:b w:val="0"/>
                <w:i w:val="0"/>
                <w:sz w:val="20"/>
              </w:rPr>
              <w:t>Standard Chartered</w:t>
            </w:r>
          </w:p>
        </w:tc>
        <w:tc>
          <w:tcPr>
            <w:tcW w:type="dxa" w:w="4873"/>
            <w:vAlign w:val="center"/>
          </w:tcPr>
          <w:p>
            <w:pPr>
              <w:spacing w:line="276" w:lineRule="auto" w:before="0" w:after="0"/>
            </w:pPr>
            <w:r/>
            <w:r>
              <w:rPr>
                <w:rFonts w:ascii="Figtree" w:hAnsi="Figtree"/>
                <w:b w:val="0"/>
                <w:i w:val="0"/>
                <w:sz w:val="20"/>
              </w:rPr>
              <w:t>Africa market exposure</w:t>
            </w:r>
          </w:p>
        </w:tc>
      </w:tr>
      <w:tr>
        <w:trPr>
          <w:trHeight w:val="425" w:hRule="atLeast"/>
        </w:trPr>
        <w:tc>
          <w:tcPr>
            <w:tcW w:type="dxa" w:w="4873"/>
            <w:vAlign w:val="center"/>
          </w:tcPr>
          <w:p>
            <w:pPr>
              <w:spacing w:line="276" w:lineRule="auto" w:before="0" w:after="0"/>
            </w:pPr>
            <w:r/>
            <w:r>
              <w:rPr>
                <w:rFonts w:ascii="Figtree" w:hAnsi="Figtree"/>
                <w:b w:val="0"/>
                <w:i w:val="0"/>
                <w:sz w:val="20"/>
              </w:rPr>
              <w:t>IsDB</w:t>
            </w:r>
          </w:p>
        </w:tc>
        <w:tc>
          <w:tcPr>
            <w:tcW w:type="dxa" w:w="4873"/>
            <w:vAlign w:val="center"/>
          </w:tcPr>
          <w:p>
            <w:pPr>
              <w:spacing w:line="276" w:lineRule="auto" w:before="0" w:after="0"/>
            </w:pPr>
            <w:r/>
            <w:r>
              <w:rPr>
                <w:rFonts w:ascii="Figtree" w:hAnsi="Figtree"/>
                <w:b w:val="0"/>
                <w:i w:val="0"/>
                <w:sz w:val="20"/>
              </w:rPr>
              <w:t>Pan-African, Sharia-compliant operations</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Regulated settlement, EUR 7M/year savings</w:t>
            </w:r>
          </w:p>
        </w:tc>
      </w:tr>
      <w:tr>
        <w:trPr>
          <w:trHeight w:val="425" w:hRule="atLeast"/>
        </w:trPr>
        <w:tc>
          <w:tcPr>
            <w:tcW w:type="dxa" w:w="4873"/>
            <w:vAlign w:val="center"/>
          </w:tcPr>
          <w:p>
            <w:pPr>
              <w:spacing w:line="276" w:lineRule="auto" w:before="0" w:after="0"/>
            </w:pPr>
            <w:r/>
            <w:r>
              <w:rPr>
                <w:rFonts w:ascii="Figtree" w:hAnsi="Figtree"/>
                <w:b w:val="0"/>
                <w:i w:val="0"/>
                <w:sz w:val="20"/>
              </w:rPr>
              <w:t>Maybank Photon</w:t>
            </w:r>
          </w:p>
        </w:tc>
        <w:tc>
          <w:tcPr>
            <w:tcW w:type="dxa" w:w="4873"/>
            <w:vAlign w:val="center"/>
          </w:tcPr>
          <w:p>
            <w:pPr>
              <w:spacing w:line="276" w:lineRule="auto" w:before="0" w:after="0"/>
            </w:pPr>
            <w:r/>
            <w:r>
              <w:rPr>
                <w:rFonts w:ascii="Figtree" w:hAnsi="Figtree"/>
                <w:b w:val="0"/>
                <w:i w:val="0"/>
                <w:sz w:val="20"/>
              </w:rPr>
              <w:t>Cross-border atomic settlement</w:t>
            </w:r>
          </w:p>
        </w:tc>
      </w:tr>
    </w:tbl>
    <w:p>
      <w:pPr>
        <w:spacing w:before="0" w:after="0" w:line="120" w:lineRule="exact"/>
      </w:pPr>
    </w:p>
    <w:p>
      <w:r>
        <w:br w:type="page"/>
      </w:r>
    </w:p>
    <w:p>
      <w:pPr>
        <w:pStyle w:val="H2"/>
        <w:numPr>
          <w:ilvl w:val="1"/>
          <w:numId w:val="1"/>
        </w:numPr>
      </w:pPr>
      <w:r>
        <w:t>Proposed Solution</w:t>
      </w:r>
    </w:p>
    <w:p>
      <w:pPr>
        <w:pStyle w:val="H3"/>
        <w:numPr>
          <w:ilvl w:val="2"/>
          <w:numId w:val="1"/>
        </w:numPr>
      </w:pPr>
      <w:r>
        <w:t>Trade Finance Instrument Configuration</w:t>
      </w:r>
    </w:p>
    <w:p>
      <w:r>
        <w:rPr>
          <w:rFonts w:ascii="Figtree" w:hAnsi="Figtree"/>
          <w:b/>
          <w:i w:val="0"/>
          <w:sz w:val="22"/>
        </w:rPr>
        <w:t>Features:</w:t>
      </w:r>
      <w:r>
        <w:rPr>
          <w:rFonts w:ascii="Figtree" w:hAnsi="Figtree"/>
          <w:b w:val="0"/>
          <w:i w:val="0"/>
          <w:sz w:val="22"/>
        </w:rPr>
        <w:t xml:space="preserve"> Historical balances, timelock</w:t>
      </w:r>
    </w:p>
    <w:p>
      <w:r>
        <w:rPr>
          <w:rFonts w:ascii="Figtree" w:hAnsi="Figtree"/>
          <w:b/>
          <w:i w:val="0"/>
          <w:sz w:val="22"/>
        </w:rPr>
        <w:t>Compliance modules:</w:t>
      </w:r>
      <w:r>
        <w:rPr>
          <w:rFonts w:ascii="Figtree" w:hAnsi="Figtree"/>
          <w:b w:val="0"/>
          <w:i w:val="0"/>
          <w:sz w:val="22"/>
        </w:rPr>
        <w:t xml:space="preserve"> Identity verification, address allow list, transfer approval, timelock</w:t>
      </w:r>
    </w:p>
    <w:p>
      <w:pPr>
        <w:pStyle w:val="H3"/>
        <w:numPr>
          <w:ilvl w:val="2"/>
          <w:numId w:val="1"/>
        </w:numPr>
      </w:pPr>
      <w:r>
        <w:t>Supply-Chain Workflow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30"/>
        <w:gridCol w:w="3349"/>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Document creation</w:t>
            </w:r>
          </w:p>
        </w:tc>
        <w:tc>
          <w:tcPr>
            <w:tcW w:type="dxa" w:w="3249"/>
            <w:vAlign w:val="center"/>
          </w:tcPr>
          <w:p>
            <w:pPr>
              <w:spacing w:line="276" w:lineRule="auto" w:before="0" w:after="0"/>
            </w:pPr>
            <w:r/>
            <w:r>
              <w:rPr>
                <w:rFonts w:ascii="Figtree" w:hAnsi="Figtree"/>
                <w:b w:val="0"/>
                <w:i w:val="0"/>
                <w:sz w:val="20"/>
              </w:rPr>
              <w:t>Metadata linking</w:t>
            </w:r>
          </w:p>
        </w:tc>
        <w:tc>
          <w:tcPr>
            <w:tcW w:type="dxa" w:w="3249"/>
            <w:vAlign w:val="center"/>
          </w:tcPr>
          <w:p>
            <w:pPr>
              <w:spacing w:line="276" w:lineRule="auto" w:before="0" w:after="0"/>
            </w:pPr>
            <w:r/>
            <w:r>
              <w:rPr>
                <w:rFonts w:ascii="Figtree" w:hAnsi="Figtree"/>
                <w:b w:val="0"/>
                <w:i w:val="0"/>
                <w:sz w:val="20"/>
              </w:rPr>
              <w:t>Hash on-chain</w:t>
            </w:r>
          </w:p>
        </w:tc>
      </w:tr>
      <w:tr>
        <w:trPr>
          <w:trHeight w:val="425" w:hRule="atLeast"/>
        </w:trPr>
        <w:tc>
          <w:tcPr>
            <w:tcW w:type="dxa" w:w="3249"/>
            <w:vAlign w:val="center"/>
          </w:tcPr>
          <w:p>
            <w:pPr>
              <w:spacing w:line="276" w:lineRule="auto" w:before="0" w:after="0"/>
            </w:pPr>
            <w:r/>
            <w:r>
              <w:rPr>
                <w:rFonts w:ascii="Figtree" w:hAnsi="Figtree"/>
                <w:b w:val="0"/>
                <w:i w:val="0"/>
                <w:sz w:val="20"/>
              </w:rPr>
              <w:t>Document verification</w:t>
            </w:r>
          </w:p>
        </w:tc>
        <w:tc>
          <w:tcPr>
            <w:tcW w:type="dxa" w:w="3249"/>
            <w:vAlign w:val="center"/>
          </w:tcPr>
          <w:p>
            <w:pPr>
              <w:spacing w:line="276" w:lineRule="auto" w:before="0" w:after="0"/>
            </w:pPr>
            <w:r/>
            <w:r>
              <w:rPr>
                <w:rFonts w:ascii="Figtree" w:hAnsi="Figtree"/>
                <w:b w:val="0"/>
                <w:i w:val="0"/>
                <w:sz w:val="20"/>
              </w:rPr>
              <w:t>Workflow milestone</w:t>
            </w:r>
          </w:p>
        </w:tc>
        <w:tc>
          <w:tcPr>
            <w:tcW w:type="dxa" w:w="3249"/>
            <w:vAlign w:val="center"/>
          </w:tcPr>
          <w:p>
            <w:pPr>
              <w:spacing w:line="276" w:lineRule="auto" w:before="0" w:after="0"/>
            </w:pPr>
            <w:r/>
            <w:r>
              <w:rPr>
                <w:rFonts w:ascii="Figtree" w:hAnsi="Figtree"/>
                <w:b w:val="0"/>
                <w:i w:val="0"/>
                <w:sz w:val="20"/>
              </w:rPr>
              <w:t>Approver + timestamp</w:t>
            </w:r>
          </w:p>
        </w:tc>
      </w:tr>
      <w:tr>
        <w:trPr>
          <w:trHeight w:val="425" w:hRule="atLeast"/>
        </w:trPr>
        <w:tc>
          <w:tcPr>
            <w:tcW w:type="dxa" w:w="3249"/>
            <w:vAlign w:val="center"/>
          </w:tcPr>
          <w:p>
            <w:pPr>
              <w:spacing w:line="276" w:lineRule="auto" w:before="0" w:after="0"/>
            </w:pPr>
            <w:r/>
            <w:r>
              <w:rPr>
                <w:rFonts w:ascii="Figtree" w:hAnsi="Figtree"/>
                <w:b w:val="0"/>
                <w:i w:val="0"/>
                <w:sz w:val="20"/>
              </w:rPr>
              <w:t>Counterparty approval</w:t>
            </w:r>
          </w:p>
        </w:tc>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Multi-party</w:t>
            </w:r>
          </w:p>
        </w:tc>
      </w:tr>
      <w:tr>
        <w:trPr>
          <w:trHeight w:val="425" w:hRule="atLeast"/>
        </w:trPr>
        <w:tc>
          <w:tcPr>
            <w:tcW w:type="dxa" w:w="3249"/>
            <w:vAlign w:val="center"/>
          </w:tcPr>
          <w:p>
            <w:pPr>
              <w:spacing w:line="276" w:lineRule="auto" w:before="0" w:after="0"/>
            </w:pPr>
            <w:r/>
            <w:r>
              <w:rPr>
                <w:rFonts w:ascii="Figtree" w:hAnsi="Figtree"/>
                <w:b w:val="0"/>
                <w:i w:val="0"/>
                <w:sz w:val="20"/>
              </w:rPr>
              <w:t>Compliance check</w:t>
            </w:r>
          </w:p>
        </w:tc>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modules</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Atomic, 2.3s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API integration</w:t>
            </w:r>
          </w:p>
        </w:tc>
        <w:tc>
          <w:tcPr>
            <w:tcW w:type="dxa" w:w="3249"/>
            <w:vAlign w:val="center"/>
          </w:tcPr>
          <w:p>
            <w:pPr>
              <w:spacing w:line="276" w:lineRule="auto" w:before="0" w:after="0"/>
            </w:pPr>
            <w:r/>
            <w:r>
              <w:rPr>
                <w:rFonts w:ascii="Figtree" w:hAnsi="Figtree"/>
                <w:b w:val="0"/>
                <w:i w:val="0"/>
                <w:sz w:val="20"/>
              </w:rPr>
              <w:t>Webhook-driven</w:t>
            </w:r>
          </w:p>
        </w:tc>
      </w:tr>
    </w:tbl>
    <w:p>
      <w:pPr>
        <w:spacing w:before="0" w:after="0" w:line="120" w:lineRule="exact"/>
      </w:pPr>
    </w:p>
    <w:p>
      <w:pPr>
        <w:pStyle w:val="H3"/>
        <w:numPr>
          <w:ilvl w:val="2"/>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5"/>
        <w:gridCol w:w="5274"/>
        <w:gridCol w:w="25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REQ-01</w:t>
            </w:r>
          </w:p>
        </w:tc>
        <w:tc>
          <w:tcPr>
            <w:tcW w:type="dxa" w:w="3249"/>
            <w:vAlign w:val="center"/>
          </w:tcPr>
          <w:p>
            <w:pPr>
              <w:spacing w:line="276" w:lineRule="auto" w:before="0" w:after="0"/>
            </w:pPr>
            <w:r/>
            <w:r>
              <w:rPr>
                <w:rFonts w:ascii="Figtree" w:hAnsi="Figtree"/>
                <w:b w:val="0"/>
                <w:i w:val="0"/>
                <w:sz w:val="20"/>
              </w:rPr>
              <w:t>Segregated environments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REQ-02</w:t>
            </w:r>
          </w:p>
        </w:tc>
        <w:tc>
          <w:tcPr>
            <w:tcW w:type="dxa" w:w="3249"/>
            <w:vAlign w:val="center"/>
          </w:tcPr>
          <w:p>
            <w:pPr>
              <w:spacing w:line="276" w:lineRule="auto" w:before="0" w:after="0"/>
            </w:pPr>
            <w:r/>
            <w:r>
              <w:rPr>
                <w:rFonts w:ascii="Figtree" w:hAnsi="Figtree"/>
                <w:b w:val="0"/>
                <w:i w:val="0"/>
                <w:sz w:val="20"/>
              </w:rPr>
              <w:t>API-first interfaces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REQ-03</w:t>
            </w:r>
          </w:p>
        </w:tc>
        <w:tc>
          <w:tcPr>
            <w:tcW w:type="dxa" w:w="3249"/>
            <w:vAlign w:val="center"/>
          </w:tcPr>
          <w:p>
            <w:pPr>
              <w:spacing w:line="276" w:lineRule="auto" w:before="0" w:after="0"/>
            </w:pPr>
            <w:r/>
            <w:r>
              <w:rPr>
                <w:rFonts w:ascii="Figtree" w:hAnsi="Figtree"/>
                <w:b w:val="0"/>
                <w:i w:val="0"/>
                <w:sz w:val="20"/>
              </w:rPr>
              <w:t>RBAC, maker-checker</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REQ-04</w:t>
            </w:r>
          </w:p>
        </w:tc>
        <w:tc>
          <w:tcPr>
            <w:tcW w:type="dxa" w:w="3249"/>
            <w:vAlign w:val="center"/>
          </w:tcPr>
          <w:p>
            <w:pPr>
              <w:spacing w:line="276" w:lineRule="auto" w:before="0" w:after="0"/>
            </w:pPr>
            <w:r/>
            <w:r>
              <w:rPr>
                <w:rFonts w:ascii="Figtree" w:hAnsi="Figtree"/>
                <w:b w:val="0"/>
                <w:i w:val="0"/>
                <w:sz w:val="20"/>
              </w:rPr>
              <w:t>Configurable lifecycle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REQ-05</w:t>
            </w:r>
          </w:p>
        </w:tc>
        <w:tc>
          <w:tcPr>
            <w:tcW w:type="dxa" w:w="3249"/>
            <w:vAlign w:val="center"/>
          </w:tcPr>
          <w:p>
            <w:pPr>
              <w:spacing w:line="276" w:lineRule="auto" w:before="0" w:after="0"/>
            </w:pPr>
            <w:r/>
            <w:r>
              <w:rPr>
                <w:rFonts w:ascii="Figtree" w:hAnsi="Figtree"/>
                <w:b w:val="0"/>
                <w:i w:val="0"/>
                <w:sz w:val="20"/>
              </w:rPr>
              <w:t>Dependency disclosure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REQ-06</w:t>
            </w:r>
          </w:p>
        </w:tc>
        <w:tc>
          <w:tcPr>
            <w:tcW w:type="dxa" w:w="3249"/>
            <w:vAlign w:val="center"/>
          </w:tcPr>
          <w:p>
            <w:pPr>
              <w:spacing w:line="276" w:lineRule="auto" w:before="0" w:after="0"/>
            </w:pPr>
            <w:r/>
            <w:r>
              <w:rPr>
                <w:rFonts w:ascii="Figtree" w:hAnsi="Figtree"/>
                <w:b w:val="0"/>
                <w:i w:val="0"/>
                <w:sz w:val="20"/>
              </w:rPr>
              <w:t>Resilience, monitoring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REQ-07</w:t>
            </w:r>
          </w:p>
        </w:tc>
        <w:tc>
          <w:tcPr>
            <w:tcW w:type="dxa" w:w="3249"/>
            <w:vAlign w:val="center"/>
          </w:tcPr>
          <w:p>
            <w:pPr>
              <w:spacing w:line="276" w:lineRule="auto" w:before="0" w:after="0"/>
            </w:pPr>
            <w:r/>
            <w:r>
              <w:rPr>
                <w:rFonts w:ascii="Figtree" w:hAnsi="Figtree"/>
                <w:b w:val="0"/>
                <w:i w:val="0"/>
                <w:sz w:val="20"/>
              </w:rPr>
              <w:t>Phased implementation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REQ-08</w:t>
            </w:r>
          </w:p>
        </w:tc>
        <w:tc>
          <w:tcPr>
            <w:tcW w:type="dxa" w:w="3249"/>
            <w:vAlign w:val="center"/>
          </w:tcPr>
          <w:p>
            <w:pPr>
              <w:spacing w:line="276" w:lineRule="auto" w:before="0" w:after="0"/>
            </w:pPr>
            <w:r/>
            <w:r>
              <w:rPr>
                <w:rFonts w:ascii="Figtree" w:hAnsi="Figtree"/>
                <w:b w:val="0"/>
                <w:i w:val="0"/>
                <w:sz w:val="20"/>
              </w:rPr>
              <w:t>Audit evidence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REQ-09</w:t>
            </w:r>
          </w:p>
        </w:tc>
        <w:tc>
          <w:tcPr>
            <w:tcW w:type="dxa" w:w="3249"/>
            <w:vAlign w:val="center"/>
          </w:tcPr>
          <w:p>
            <w:pPr>
              <w:spacing w:line="276" w:lineRule="auto" w:before="0" w:after="0"/>
            </w:pPr>
            <w:r/>
            <w:r>
              <w:rPr>
                <w:rFonts w:ascii="Figtree" w:hAnsi="Figtree"/>
                <w:b w:val="0"/>
                <w:i w:val="0"/>
                <w:sz w:val="20"/>
              </w:rPr>
              <w:t>Document-linked workflows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REQ-10</w:t>
            </w:r>
          </w:p>
        </w:tc>
        <w:tc>
          <w:tcPr>
            <w:tcW w:type="dxa" w:w="3249"/>
            <w:vAlign w:val="center"/>
          </w:tcPr>
          <w:p>
            <w:pPr>
              <w:spacing w:line="276" w:lineRule="auto" w:before="0" w:after="0"/>
            </w:pPr>
            <w:r/>
            <w:r>
              <w:rPr>
                <w:rFonts w:ascii="Figtree" w:hAnsi="Figtree"/>
                <w:b w:val="0"/>
                <w:i w:val="0"/>
                <w:sz w:val="20"/>
              </w:rPr>
              <w:t>Core books reconciliation</w:t>
            </w:r>
          </w:p>
        </w:tc>
        <w:tc>
          <w:tcPr>
            <w:tcW w:type="dxa" w:w="3249"/>
            <w:vAlign w:val="center"/>
          </w:tcPr>
          <w:p>
            <w:pPr>
              <w:spacing w:line="276" w:lineRule="auto" w:before="0" w:after="0"/>
            </w:pPr>
            <w:r/>
            <w:r>
              <w:rPr>
                <w:rFonts w:ascii="Figtree" w:hAnsi="Figtree"/>
                <w:b w:val="0"/>
                <w:i w:val="0"/>
                <w:sz w:val="20"/>
              </w:rPr>
              <w:t>Configurable</w:t>
            </w:r>
          </w:p>
        </w:tc>
      </w:tr>
      <w:tr>
        <w:trPr>
          <w:trHeight w:val="425" w:hRule="atLeast"/>
        </w:trPr>
        <w:tc>
          <w:tcPr>
            <w:tcW w:type="dxa" w:w="3249"/>
            <w:vAlign w:val="center"/>
          </w:tcPr>
          <w:p>
            <w:pPr>
              <w:spacing w:line="276" w:lineRule="auto" w:before="0" w:after="0"/>
            </w:pPr>
            <w:r/>
            <w:r>
              <w:rPr>
                <w:rFonts w:ascii="Figtree" w:hAnsi="Figtree"/>
                <w:b w:val="0"/>
                <w:i w:val="0"/>
                <w:sz w:val="20"/>
              </w:rPr>
              <w:t>REQ-11</w:t>
            </w:r>
          </w:p>
        </w:tc>
        <w:tc>
          <w:tcPr>
            <w:tcW w:type="dxa" w:w="3249"/>
            <w:vAlign w:val="center"/>
          </w:tcPr>
          <w:p>
            <w:pPr>
              <w:spacing w:line="276" w:lineRule="auto" w:before="0" w:after="0"/>
            </w:pPr>
            <w:r/>
            <w:r>
              <w:rPr>
                <w:rFonts w:ascii="Figtree" w:hAnsi="Figtree"/>
                <w:b w:val="0"/>
                <w:i w:val="0"/>
                <w:sz w:val="20"/>
              </w:rPr>
              <w:t>Multi-entity limits</w:t>
            </w:r>
          </w:p>
        </w:tc>
        <w:tc>
          <w:tcPr>
            <w:tcW w:type="dxa" w:w="3249"/>
            <w:vAlign w:val="center"/>
          </w:tcPr>
          <w:p>
            <w:pPr>
              <w:spacing w:line="276" w:lineRule="auto" w:before="0" w:after="0"/>
            </w:pPr>
            <w:r/>
            <w:r>
              <w:rPr>
                <w:rFonts w:ascii="Figtree" w:hAnsi="Figtree"/>
                <w:b w:val="0"/>
                <w:i w:val="0"/>
                <w:sz w:val="20"/>
              </w:rPr>
              <w:t>Configurable</w:t>
            </w:r>
          </w:p>
        </w:tc>
      </w:tr>
    </w:tbl>
    <w:p>
      <w:pPr>
        <w:spacing w:before="0" w:after="0" w:line="120" w:lineRule="exact"/>
      </w:pPr>
    </w:p>
    <w:p>
      <w:r>
        <w:br w:type="page"/>
      </w:r>
    </w:p>
    <w:p>
      <w:pPr>
        <w:pStyle w:val="H2"/>
        <w:numPr>
          <w:ilvl w:val="1"/>
          <w:numId w:val="1"/>
        </w:numPr>
      </w:pPr>
      <w:r>
        <w:t>Technical Architecture</w:t>
      </w:r>
    </w:p>
    <w:p>
      <w:pPr>
        <w:jc w:val="center"/>
      </w:pPr>
      <w:r>
        <w:drawing>
          <wp:inline xmlns:a="http://schemas.openxmlformats.org/drawingml/2006/main" xmlns:pic="http://schemas.openxmlformats.org/drawingml/2006/picture">
            <wp:extent cx="5486400" cy="49084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908499"/>
                    </a:xfrm>
                    <a:prstGeom prst="rect"/>
                  </pic:spPr>
                </pic:pic>
              </a:graphicData>
            </a:graphic>
          </wp:inline>
        </w:drawing>
      </w:r>
    </w:p>
    <w:p>
      <w:pPr>
        <w:pStyle w:val="H3"/>
        <w:numPr>
          <w:ilvl w:val="2"/>
          <w:numId w:val="1"/>
        </w:numPr>
      </w:pPr>
      <w:r>
        <w:t>Security: 5-Layer Defense-in-Depth</w:t>
      </w:r>
    </w:p>
    <w:p>
      <w:pPr>
        <w:pStyle w:val="ListParagraph"/>
        <w:numPr>
          <w:ilvl w:val="0"/>
          <w:numId w:val="6"/>
        </w:numPr>
      </w:pPr>
      <w:r>
        <w:rPr>
          <w:rFonts w:ascii="Figtree" w:hAnsi="Figtree"/>
          <w:b w:val="0"/>
          <w:i w:val="0"/>
          <w:sz w:val="22"/>
        </w:rPr>
        <w:t>Authentication (passkeys, LDAP, OAuth)</w:t>
      </w:r>
    </w:p>
    <w:p>
      <w:pPr>
        <w:pStyle w:val="ListParagraph"/>
        <w:numPr>
          <w:ilvl w:val="0"/>
          <w:numId w:val="6"/>
        </w:numPr>
      </w:pPr>
      <w:r>
        <w:rPr>
          <w:rFonts w:ascii="Figtree" w:hAnsi="Figtree"/>
          <w:b w:val="0"/>
          <w:i w:val="0"/>
          <w:sz w:val="22"/>
        </w:rPr>
        <w:t>Authorization (26 roles)</w:t>
      </w:r>
    </w:p>
    <w:p>
      <w:pPr>
        <w:pStyle w:val="ListParagraph"/>
        <w:numPr>
          <w:ilvl w:val="0"/>
          <w:numId w:val="6"/>
        </w:numPr>
      </w:pPr>
      <w:r>
        <w:rPr>
          <w:rFonts w:ascii="Figtree" w:hAnsi="Figtree"/>
          <w:b w:val="0"/>
          <w:i w:val="0"/>
          <w:sz w:val="22"/>
        </w:rPr>
        <w:t>Wallet verification</w:t>
      </w:r>
    </w:p>
    <w:p>
      <w:pPr>
        <w:pStyle w:val="ListParagraph"/>
        <w:numPr>
          <w:ilvl w:val="0"/>
          <w:numId w:val="6"/>
        </w:numPr>
      </w:pPr>
      <w:r>
        <w:rPr>
          <w:rFonts w:ascii="Figtree" w:hAnsi="Figtree"/>
          <w:b w:val="0"/>
          <w:i w:val="0"/>
          <w:sz w:val="22"/>
        </w:rPr>
        <w:t>Compliance (18 modules)</w:t>
      </w:r>
    </w:p>
    <w:p>
      <w:pPr>
        <w:pStyle w:val="ListParagraph"/>
        <w:numPr>
          <w:ilvl w:val="0"/>
          <w:numId w:val="6"/>
        </w:numPr>
      </w:pPr>
      <w:r>
        <w:rPr>
          <w:rFonts w:ascii="Figtree" w:hAnsi="Figtree"/>
          <w:b w:val="0"/>
          <w:i w:val="0"/>
          <w:sz w:val="22"/>
        </w:rPr>
        <w:t>Custody policy</w:t>
      </w:r>
    </w:p>
    <w:p>
      <w:r>
        <w:rPr>
          <w:rFonts w:ascii="Figtree" w:hAnsi="Figtree"/>
          <w:b w:val="0"/>
          <w:i w:val="0"/>
          <w:sz w:val="22"/>
        </w:rPr>
        <w:t>ISO 27001, SOC 2 Type II.</w:t>
      </w:r>
    </w:p>
    <w:p>
      <w:r>
        <w:br w:type="page"/>
      </w:r>
    </w:p>
    <w:p>
      <w:pPr>
        <w:pStyle w:val="H2"/>
        <w:numPr>
          <w:ilvl w:val="1"/>
          <w:numId w:val="1"/>
        </w:numPr>
      </w:pPr>
      <w:r>
        <w:t>Implementation (19 Weeks)</w:t>
      </w:r>
    </w:p>
    <w:p>
      <w:pPr>
        <w:jc w:val="center"/>
      </w:pPr>
      <w:r>
        <w:drawing>
          <wp:inline xmlns:a="http://schemas.openxmlformats.org/drawingml/2006/main" xmlns:pic="http://schemas.openxmlformats.org/drawingml/2006/picture">
            <wp:extent cx="5486400" cy="153955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539551"/>
                    </a:xfrm>
                    <a:prstGeom prst="rect"/>
                  </pic:spPr>
                </pic:pic>
              </a:graphicData>
            </a:graphic>
          </wp:inline>
        </w:drawing>
      </w:r>
    </w:p>
    <w:p>
      <w:r>
        <w:rPr>
          <w:rFonts w:ascii="Figtree" w:hAnsi="Figtree"/>
          <w:b/>
          <w:i w:val="0"/>
          <w:sz w:val="22"/>
        </w:rPr>
        <w:t>Estimated client effort: 75 person-days</w:t>
      </w:r>
    </w:p>
    <w:p>
      <w:r>
        <w:br w:type="page"/>
      </w:r>
    </w:p>
    <w:p>
      <w:pPr>
        <w:pStyle w:val="H2"/>
        <w:numPr>
          <w:ilvl w:val="1"/>
          <w:numId w:val="1"/>
        </w:numPr>
      </w:pPr>
      <w:r>
        <w:t>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7"/>
        <w:gridCol w:w="61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Model</w:t>
            </w:r>
          </w:p>
        </w:tc>
        <w:tc>
          <w:tcPr>
            <w:tcW w:type="dxa" w:w="4873"/>
            <w:vAlign w:val="center"/>
          </w:tcPr>
          <w:p>
            <w:pPr>
              <w:spacing w:line="276" w:lineRule="auto" w:before="0" w:after="0"/>
            </w:pPr>
            <w:r/>
            <w:r>
              <w:rPr>
                <w:rFonts w:ascii="Figtree" w:hAnsi="Figtree"/>
                <w:b w:val="0"/>
                <w:i w:val="0"/>
                <w:sz w:val="20"/>
              </w:rPr>
              <w:t>Dedicated cloud</w:t>
            </w:r>
          </w:p>
        </w:tc>
      </w:tr>
      <w:tr>
        <w:trPr>
          <w:trHeight w:val="425" w:hRule="atLeast"/>
        </w:trPr>
        <w:tc>
          <w:tcPr>
            <w:tcW w:type="dxa" w:w="4873"/>
            <w:vAlign w:val="center"/>
          </w:tcPr>
          <w:p>
            <w:pPr>
              <w:spacing w:line="276" w:lineRule="auto" w:before="0" w:after="0"/>
            </w:pPr>
            <w:r/>
            <w:r>
              <w:rPr>
                <w:rFonts w:ascii="Figtree" w:hAnsi="Figtree"/>
                <w:b w:val="0"/>
                <w:i w:val="0"/>
                <w:sz w:val="20"/>
              </w:rPr>
              <w:t>Region</w:t>
            </w:r>
          </w:p>
        </w:tc>
        <w:tc>
          <w:tcPr>
            <w:tcW w:type="dxa" w:w="4873"/>
            <w:vAlign w:val="center"/>
          </w:tcPr>
          <w:p>
            <w:pPr>
              <w:spacing w:line="276" w:lineRule="auto" w:before="0" w:after="0"/>
            </w:pPr>
            <w:r/>
            <w:r>
              <w:rPr>
                <w:rFonts w:ascii="Figtree" w:hAnsi="Figtree"/>
                <w:b w:val="0"/>
                <w:i w:val="0"/>
                <w:sz w:val="20"/>
              </w:rPr>
              <w:t>AWS Europe (Paris) or Azure France</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Morocco/EU compliant</w:t>
            </w:r>
          </w:p>
        </w:tc>
      </w:tr>
      <w:tr>
        <w:trPr>
          <w:trHeight w:val="425" w:hRule="atLeast"/>
        </w:trPr>
        <w:tc>
          <w:tcPr>
            <w:tcW w:type="dxa" w:w="4873"/>
            <w:vAlign w:val="center"/>
          </w:tcPr>
          <w:p>
            <w:pPr>
              <w:spacing w:line="276" w:lineRule="auto" w:before="0" w:after="0"/>
            </w:pPr>
            <w:r/>
            <w:r>
              <w:rPr>
                <w:rFonts w:ascii="Figtree" w:hAnsi="Figtree"/>
                <w:b w:val="0"/>
                <w:i w:val="0"/>
                <w:sz w:val="20"/>
              </w:rPr>
              <w:t>Blockchain</w:t>
            </w:r>
          </w:p>
        </w:tc>
        <w:tc>
          <w:tcPr>
            <w:tcW w:type="dxa" w:w="4873"/>
            <w:vAlign w:val="center"/>
          </w:tcPr>
          <w:p>
            <w:pPr>
              <w:spacing w:line="276" w:lineRule="auto" w:before="0" w:after="0"/>
            </w:pPr>
            <w:r/>
            <w:r>
              <w:rPr>
                <w:rFonts w:ascii="Figtree" w:hAnsi="Figtree"/>
                <w:b w:val="0"/>
                <w:i w:val="0"/>
                <w:sz w:val="20"/>
              </w:rPr>
              <w:t>4-node Besu (IBFT 2.0)</w:t>
            </w:r>
          </w:p>
        </w:tc>
      </w:tr>
    </w:tbl>
    <w:p>
      <w:pPr>
        <w:spacing w:before="0" w:after="0" w:line="120" w:lineRule="exact"/>
      </w:pP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bl>
    <w:p>
      <w:pPr>
        <w:spacing w:before="0" w:after="0" w:line="120" w:lineRule="exact"/>
      </w:pPr>
    </w:p>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3"/>
        <w:gridCol w:w="4828"/>
        <w:gridCol w:w="35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R1</w:t>
            </w:r>
          </w:p>
        </w:tc>
        <w:tc>
          <w:tcPr>
            <w:tcW w:type="dxa" w:w="3249"/>
            <w:vAlign w:val="center"/>
          </w:tcPr>
          <w:p>
            <w:pPr>
              <w:spacing w:line="276" w:lineRule="auto" w:before="0" w:after="0"/>
            </w:pPr>
            <w:r/>
            <w:r>
              <w:rPr>
                <w:rFonts w:ascii="Figtree" w:hAnsi="Figtree"/>
                <w:b w:val="0"/>
                <w:i w:val="0"/>
                <w:sz w:val="20"/>
              </w:rPr>
              <w:t>BAM regulatory changes</w:t>
            </w:r>
          </w:p>
        </w:tc>
        <w:tc>
          <w:tcPr>
            <w:tcW w:type="dxa" w:w="3249"/>
            <w:vAlign w:val="center"/>
          </w:tcPr>
          <w:p>
            <w:pPr>
              <w:spacing w:line="276" w:lineRule="auto" w:before="0" w:after="0"/>
            </w:pPr>
            <w:r/>
            <w:r>
              <w:rPr>
                <w:rFonts w:ascii="Figtree" w:hAnsi="Figtree"/>
                <w:b w:val="0"/>
                <w:i w:val="0"/>
                <w:sz w:val="20"/>
              </w:rPr>
              <w:t>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R2</w:t>
            </w:r>
          </w:p>
        </w:tc>
        <w:tc>
          <w:tcPr>
            <w:tcW w:type="dxa" w:w="3249"/>
            <w:vAlign w:val="center"/>
          </w:tcPr>
          <w:p>
            <w:pPr>
              <w:spacing w:line="276" w:lineRule="auto" w:before="0" w:after="0"/>
            </w:pPr>
            <w:r/>
            <w:r>
              <w:rPr>
                <w:rFonts w:ascii="Figtree" w:hAnsi="Figtree"/>
                <w:b w:val="0"/>
                <w:i w:val="0"/>
                <w:sz w:val="20"/>
              </w:rPr>
              <w:t>Pan-African integration complexity</w:t>
            </w:r>
          </w:p>
        </w:tc>
        <w:tc>
          <w:tcPr>
            <w:tcW w:type="dxa" w:w="3249"/>
            <w:vAlign w:val="center"/>
          </w:tcPr>
          <w:p>
            <w:pPr>
              <w:spacing w:line="276" w:lineRule="auto" w:before="0" w:after="0"/>
            </w:pPr>
            <w:r/>
            <w:r>
              <w:rPr>
                <w:rFonts w:ascii="Figtree" w:hAnsi="Figtree"/>
                <w:b w:val="0"/>
                <w:i w:val="0"/>
                <w:sz w:val="20"/>
              </w:rPr>
              <w:t>Phased rollout by country</w:t>
            </w:r>
          </w:p>
        </w:tc>
      </w:tr>
      <w:tr>
        <w:trPr>
          <w:trHeight w:val="425" w:hRule="atLeast"/>
        </w:trPr>
        <w:tc>
          <w:tcPr>
            <w:tcW w:type="dxa" w:w="3249"/>
            <w:vAlign w:val="center"/>
          </w:tcPr>
          <w:p>
            <w:pPr>
              <w:spacing w:line="276" w:lineRule="auto" w:before="0" w:after="0"/>
            </w:pPr>
            <w:r/>
            <w:r>
              <w:rPr>
                <w:rFonts w:ascii="Figtree" w:hAnsi="Figtree"/>
                <w:b w:val="0"/>
                <w:i w:val="0"/>
                <w:sz w:val="20"/>
              </w:rPr>
              <w:t>R3</w:t>
            </w:r>
          </w:p>
        </w:tc>
        <w:tc>
          <w:tcPr>
            <w:tcW w:type="dxa" w:w="3249"/>
            <w:vAlign w:val="center"/>
          </w:tcPr>
          <w:p>
            <w:pPr>
              <w:spacing w:line="276" w:lineRule="auto" w:before="0" w:after="0"/>
            </w:pPr>
            <w:r/>
            <w:r>
              <w:rPr>
                <w:rFonts w:ascii="Figtree" w:hAnsi="Figtree"/>
                <w:b w:val="0"/>
                <w:i w:val="0"/>
                <w:sz w:val="20"/>
              </w:rPr>
              <w:t>Document management integration</w:t>
            </w:r>
          </w:p>
        </w:tc>
        <w:tc>
          <w:tcPr>
            <w:tcW w:type="dxa" w:w="3249"/>
            <w:vAlign w:val="center"/>
          </w:tcPr>
          <w:p>
            <w:pPr>
              <w:spacing w:line="276" w:lineRule="auto" w:before="0" w:after="0"/>
            </w:pPr>
            <w:r/>
            <w:r>
              <w:rPr>
                <w:rFonts w:ascii="Figtree" w:hAnsi="Figtree"/>
                <w:b w:val="0"/>
                <w:i w:val="0"/>
                <w:sz w:val="20"/>
              </w:rPr>
              <w:t>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R4</w:t>
            </w:r>
          </w:p>
        </w:tc>
        <w:tc>
          <w:tcPr>
            <w:tcW w:type="dxa" w:w="3249"/>
            <w:vAlign w:val="center"/>
          </w:tcPr>
          <w:p>
            <w:pPr>
              <w:spacing w:line="276" w:lineRule="auto" w:before="0" w:after="0"/>
            </w:pPr>
            <w:r/>
            <w:r>
              <w:rPr>
                <w:rFonts w:ascii="Figtree" w:hAnsi="Figtree"/>
                <w:b w:val="0"/>
                <w:i w:val="0"/>
                <w:sz w:val="20"/>
              </w:rPr>
              <w:t>Cross-border data residency</w:t>
            </w:r>
          </w:p>
        </w:tc>
        <w:tc>
          <w:tcPr>
            <w:tcW w:type="dxa" w:w="3249"/>
            <w:vAlign w:val="center"/>
          </w:tcPr>
          <w:p>
            <w:pPr>
              <w:spacing w:line="276" w:lineRule="auto" w:before="0" w:after="0"/>
            </w:pPr>
            <w:r/>
            <w:r>
              <w:rPr>
                <w:rFonts w:ascii="Figtree" w:hAnsi="Figtree"/>
                <w:b w:val="0"/>
                <w:i w:val="0"/>
                <w:sz w:val="20"/>
              </w:rPr>
              <w:t>Configurable deployment</w:t>
            </w:r>
          </w:p>
        </w:tc>
      </w:tr>
    </w:tbl>
    <w:p>
      <w:pPr>
        <w:spacing w:before="0" w:after="0" w:line="120" w:lineRule="exact"/>
      </w:pPr>
    </w:p>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3"/>
        <w:gridCol w:w="60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DALPAsset</w:t>
            </w:r>
          </w:p>
        </w:tc>
        <w:tc>
          <w:tcPr>
            <w:tcW w:type="dxa" w:w="4873"/>
            <w:vAlign w:val="center"/>
          </w:tcPr>
          <w:p>
            <w:pPr>
              <w:spacing w:line="276" w:lineRule="auto" w:before="0" w:after="0"/>
            </w:pPr>
            <w:r/>
            <w:r>
              <w:rPr>
                <w:rFonts w:ascii="Figtree" w:hAnsi="Figtree"/>
                <w:b w:val="0"/>
                <w:i w:val="0"/>
                <w:sz w:val="20"/>
              </w:rPr>
              <w:t>Configurable token contract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On-chain identity (ERC-734/735)</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Atomic settlement addon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