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6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Barclays is to adopt DALP as the configuration-led lifecycle, policy, evidence, and integration orchestration layer for digital securities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Barclays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Barclays wants a reusable platform, not a one-deal delivery. That is why the proposed model emphasizes reusable product templates, parameterized lifecycle events, policy binding, and audit-friendly exports. For Barclays,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digitally native debt issuance, primary allocation and bookbuild controls, secondary transfer and collateral mobility, and servicing, coupon, and redemption processing.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Barclays,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Barclays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and internal auditors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Barclays is broad: core banking and securities inventory platforms, collateral management tooling, SWIFT and ISO 20022 messaging gateways, custody and depository connections, and risk, finance, and observability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Barclays,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Barclays,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Barclays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Barclays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Barclays,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Barclays.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71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Commerzbank hybrid ETP issuance programme; regulated institutional asset tokenization deployments; bank-operated digital securities environments using configurable lifecycle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