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Executive Summary</w:t>
            <w:rPr>
              <w:sz w:val="22"/>
              <w:rFonts w:ascii="Figtree" w:hAnsi="Figtree"/>
            </w:rPr>
          </w:r>
        </w:p>
        <w:p>
          <w:pPr>
            <w:ind w:left="720"/>
          </w:pPr>
          <w:r>
            <w:t xml:space="preserve">Licensing: Enterprise Tier</w:t>
            <w:rPr>
              <w:sz w:val="22"/>
              <w:rFonts w:ascii="Figtree" w:hAnsi="Figtree"/>
            </w:rPr>
          </w:r>
        </w:p>
        <w:p>
          <w:pPr>
            <w:ind w:left="720"/>
          </w:pPr>
          <w:r>
            <w:t xml:space="preserve">Implementation</w:t>
            <w:rPr>
              <w:sz w:val="22"/>
              <w:rFonts w:ascii="Figtree" w:hAnsi="Figtree"/>
            </w:rPr>
          </w:r>
        </w:p>
        <w:p>
          <w:pPr>
            <w:ind w:left="720"/>
          </w:pPr>
          <w:r>
            <w:t xml:space="preserve">Support: Premium Tier</w:t>
            <w:rPr>
              <w:sz w:val="22"/>
              <w:rFonts w:ascii="Figtree" w:hAnsi="Figtree"/>
            </w:rPr>
          </w:r>
        </w:p>
        <w:p>
          <w:pPr>
            <w:ind w:left="720"/>
          </w:pPr>
          <w:r>
            <w:t xml:space="preserve">Three-Year TCO</w:t>
            <w:rPr>
              <w:sz w:val="22"/>
              <w:rFonts w:ascii="Figtree" w:hAnsi="Figtree"/>
            </w:rPr>
          </w:r>
        </w:p>
        <w:p>
          <w:pPr>
            <w:ind w:left="1440"/>
          </w:pPr>
          <w:r>
            <w:t xml:space="preserve">Exclusions</w:t>
            <w:rPr>
              <w:sz w:val="22"/>
              <w:rFonts w:ascii="Figtree" w:hAnsi="Figtree"/>
            </w:rPr>
          </w:r>
        </w:p>
        <w:p>
          <w:pPr>
            <w:ind w:left="720"/>
          </w:pPr>
          <w:r>
            <w:t xml:space="preserve">Contractual Framework</w:t>
            <w:rPr>
              <w:sz w:val="22"/>
              <w:rFonts w:ascii="Figtree" w:hAnsi="Figtree"/>
            </w:rPr>
          </w:r>
        </w:p>
        <w:p>
          <w:pPr>
            <w:ind w:left="720"/>
          </w:pPr>
          <w:r>
            <w:t xml:space="preserve">Decision Summary</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Commercial Proposal — Tokenized Funds Distribution Platform</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BNP Paribas</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BNP-PARIBAS-RFP-TOKENIZED-FUNDS-202603</w:t>
            </w:r>
          </w:p>
        </w:tc>
      </w:tr>
    </w:tbl>
    <w:p>
      <w:r>
        <w:br w:type="page"/>
      </w:r>
    </w:p>
    <w:p>
      <w:pPr>
        <w:pStyle w:val="H2"/>
        <w:numPr>
          <w:ilvl w:val="1"/>
          <w:numId w:val="1"/>
        </w:numPr>
      </w:pPr>
      <w:r>
        <w:t>Executive Summary</w:t>
      </w:r>
    </w:p>
    <w:p>
      <w:r>
        <w:rPr>
          <w:rFonts w:ascii="Figtree" w:hAnsi="Figtree"/>
          <w:b w:val="0"/>
          <w:i w:val="0"/>
          <w:sz w:val="22"/>
        </w:rPr>
        <w:t>BNP Paribas requires a tokenized fund distribution platform to modernize its asset servicing operations. This commercial proposal presents DALP's licensing, implementation, and support model.</w:t>
      </w:r>
    </w:p>
    <w:p>
      <w:r>
        <w:rPr>
          <w:rFonts w:ascii="Figtree" w:hAnsi="Figtree"/>
          <w:b/>
          <w:i w:val="0"/>
          <w:sz w:val="22"/>
        </w:rPr>
        <w:t>Recommendation:</w:t>
      </w:r>
      <w:r>
        <w:rPr>
          <w:rFonts w:ascii="Figtree" w:hAnsi="Figtree"/>
          <w:b w:val="0"/>
          <w:i w:val="0"/>
          <w:sz w:val="22"/>
        </w:rPr>
        <w:t xml:space="preserve"> Enterprise tier (Tier 2) with Premium support, 19-week fixed-fee implementation, EU-hosted deployment.</w:t>
      </w:r>
    </w:p>
    <w:p>
      <w:r>
        <w:br w:type="page"/>
      </w:r>
    </w:p>
    <w:p>
      <w:pPr>
        <w:pStyle w:val="H2"/>
        <w:numPr>
          <w:ilvl w:val="1"/>
          <w:numId w:val="1"/>
        </w:numPr>
      </w:pPr>
      <w:r>
        <w:t>Licensing: Enterprise Tier</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Included</w:t>
            </w:r>
          </w:p>
        </w:tc>
        <w:tc>
          <w:tcPr>
            <w:tcW w:type="dxa" w:w="4873"/>
            <w:vAlign w:val="center"/>
            <w:shd w:fill="000099" w:val="clear"/>
          </w:tcPr>
          <w:p>
            <w:r>
              <w:rPr>
                <w:b/>
                <w:color w:val="FFFFFF"/>
              </w:rPr>
            </w:r>
            <w:r>
              <w:rPr>
                <w:rFonts w:ascii="Figtree" w:hAnsi="Figtree"/>
                <w:b/>
                <w:i w:val="0"/>
                <w:color w:val="FFFFFF"/>
                <w:sz w:val="22"/>
              </w:rPr>
              <w:t>Detail</w:t>
            </w:r>
          </w:p>
        </w:tc>
      </w:tr>
      <w:tr>
        <w:trPr>
          <w:trHeight w:val="454" w:hRule="atLeast"/>
        </w:trPr>
        <w:tc>
          <w:tcPr>
            <w:tcW w:type="dxa" w:w="4873"/>
            <w:vAlign w:val="center"/>
          </w:tcPr>
          <w:p>
            <w:r/>
            <w:r>
              <w:rPr>
                <w:rFonts w:ascii="Figtree" w:hAnsi="Figtree"/>
                <w:b w:val="0"/>
                <w:i w:val="0"/>
                <w:sz w:val="22"/>
              </w:rPr>
              <w:t>Full platform capabilities</w:t>
            </w:r>
          </w:p>
        </w:tc>
        <w:tc>
          <w:tcPr>
            <w:tcW w:type="dxa" w:w="4873"/>
            <w:vAlign w:val="center"/>
          </w:tcPr>
          <w:p>
            <w:r/>
            <w:r>
              <w:rPr>
                <w:rFonts w:ascii="Figtree" w:hAnsi="Figtree"/>
                <w:b w:val="0"/>
                <w:i w:val="0"/>
                <w:sz w:val="22"/>
              </w:rPr>
              <w:t>Issuance, Compliance, Custody, Settlement, Servicing</w:t>
            </w:r>
          </w:p>
        </w:tc>
      </w:tr>
      <w:tr>
        <w:trPr>
          <w:trHeight w:val="454" w:hRule="atLeast"/>
        </w:trPr>
        <w:tc>
          <w:tcPr>
            <w:tcW w:type="dxa" w:w="4873"/>
            <w:vAlign w:val="center"/>
          </w:tcPr>
          <w:p>
            <w:r/>
            <w:r>
              <w:rPr>
                <w:rFonts w:ascii="Figtree" w:hAnsi="Figtree"/>
                <w:b w:val="0"/>
                <w:i w:val="0"/>
                <w:sz w:val="22"/>
              </w:rPr>
              <w:t>All asset classes</w:t>
            </w:r>
          </w:p>
        </w:tc>
        <w:tc>
          <w:tcPr>
            <w:tcW w:type="dxa" w:w="4873"/>
            <w:vAlign w:val="center"/>
          </w:tcPr>
          <w:p>
            <w:r/>
            <w:r>
              <w:rPr>
                <w:rFonts w:ascii="Figtree" w:hAnsi="Figtree"/>
                <w:b w:val="0"/>
                <w:i w:val="0"/>
                <w:sz w:val="22"/>
              </w:rPr>
              <w:t>Fund class optimized via DALPAsset</w:t>
            </w:r>
          </w:p>
        </w:tc>
      </w:tr>
      <w:tr>
        <w:trPr>
          <w:trHeight w:val="454" w:hRule="atLeast"/>
        </w:trPr>
        <w:tc>
          <w:tcPr>
            <w:tcW w:type="dxa" w:w="4873"/>
            <w:vAlign w:val="center"/>
          </w:tcPr>
          <w:p>
            <w:r/>
            <w:r>
              <w:rPr>
                <w:rFonts w:ascii="Figtree" w:hAnsi="Figtree"/>
                <w:b w:val="0"/>
                <w:i w:val="0"/>
                <w:sz w:val="22"/>
              </w:rPr>
              <w:t>All compliance modules</w:t>
            </w:r>
          </w:p>
        </w:tc>
        <w:tc>
          <w:tcPr>
            <w:tcW w:type="dxa" w:w="4873"/>
            <w:vAlign w:val="center"/>
          </w:tcPr>
          <w:p>
            <w:r/>
            <w:r>
              <w:rPr>
                <w:rFonts w:ascii="Figtree" w:hAnsi="Figtree"/>
                <w:b w:val="0"/>
                <w:i w:val="0"/>
                <w:sz w:val="22"/>
              </w:rPr>
              <w:t>UCITS, AIFMD, MiCA, MiFID II configurations</w:t>
            </w:r>
          </w:p>
        </w:tc>
      </w:tr>
      <w:tr>
        <w:trPr>
          <w:trHeight w:val="454" w:hRule="atLeast"/>
        </w:trPr>
        <w:tc>
          <w:tcPr>
            <w:tcW w:type="dxa" w:w="4873"/>
            <w:vAlign w:val="center"/>
          </w:tcPr>
          <w:p>
            <w:r/>
            <w:r>
              <w:rPr>
                <w:rFonts w:ascii="Figtree" w:hAnsi="Figtree"/>
                <w:b w:val="0"/>
                <w:i w:val="0"/>
                <w:sz w:val="22"/>
              </w:rPr>
              <w:t>Full API surface</w:t>
            </w:r>
          </w:p>
        </w:tc>
        <w:tc>
          <w:tcPr>
            <w:tcW w:type="dxa" w:w="4873"/>
            <w:vAlign w:val="center"/>
          </w:tcPr>
          <w:p>
            <w:r/>
            <w:r>
              <w:rPr>
                <w:rFonts w:ascii="Figtree" w:hAnsi="Figtree"/>
                <w:b w:val="0"/>
                <w:i w:val="0"/>
                <w:sz w:val="22"/>
              </w:rPr>
              <w:t>REST v2, GraphQL, webhooks, SDK, CLI</w:t>
            </w:r>
          </w:p>
        </w:tc>
      </w:tr>
      <w:tr>
        <w:trPr>
          <w:trHeight w:val="454" w:hRule="atLeast"/>
        </w:trPr>
        <w:tc>
          <w:tcPr>
            <w:tcW w:type="dxa" w:w="4873"/>
            <w:vAlign w:val="center"/>
          </w:tcPr>
          <w:p>
            <w:r/>
            <w:r>
              <w:rPr>
                <w:rFonts w:ascii="Figtree" w:hAnsi="Figtree"/>
                <w:b w:val="0"/>
                <w:i w:val="0"/>
                <w:sz w:val="22"/>
              </w:rPr>
              <w:t>Observability</w:t>
            </w:r>
          </w:p>
        </w:tc>
        <w:tc>
          <w:tcPr>
            <w:tcW w:type="dxa" w:w="4873"/>
            <w:vAlign w:val="center"/>
          </w:tcPr>
          <w:p>
            <w:r/>
            <w:r>
              <w:rPr>
                <w:rFonts w:ascii="Figtree" w:hAnsi="Figtree"/>
                <w:b w:val="0"/>
                <w:i w:val="0"/>
                <w:sz w:val="22"/>
              </w:rPr>
              <w:t>Grafana, metrics, logs, traces</w:t>
            </w:r>
          </w:p>
        </w:tc>
      </w:tr>
      <w:tr>
        <w:trPr>
          <w:trHeight w:val="454" w:hRule="atLeast"/>
        </w:trPr>
        <w:tc>
          <w:tcPr>
            <w:tcW w:type="dxa" w:w="4873"/>
            <w:vAlign w:val="center"/>
          </w:tcPr>
          <w:p>
            <w:r/>
            <w:r>
              <w:rPr>
                <w:rFonts w:ascii="Figtree" w:hAnsi="Figtree"/>
                <w:b w:val="0"/>
                <w:i w:val="0"/>
                <w:sz w:val="22"/>
              </w:rPr>
              <w:t>Platform updates</w:t>
            </w:r>
          </w:p>
        </w:tc>
        <w:tc>
          <w:tcPr>
            <w:tcW w:type="dxa" w:w="4873"/>
            <w:vAlign w:val="center"/>
          </w:tcPr>
          <w:p>
            <w:r/>
            <w:r>
              <w:rPr>
                <w:rFonts w:ascii="Figtree" w:hAnsi="Figtree"/>
                <w:b w:val="0"/>
                <w:i w:val="0"/>
                <w:sz w:val="22"/>
              </w:rPr>
              <w:t>All releases and security patches</w:t>
            </w:r>
          </w:p>
        </w:tc>
      </w:tr>
      <w:tr>
        <w:trPr>
          <w:trHeight w:val="454" w:hRule="atLeast"/>
        </w:trPr>
        <w:tc>
          <w:tcPr>
            <w:tcW w:type="dxa" w:w="4873"/>
            <w:vAlign w:val="center"/>
          </w:tcPr>
          <w:p>
            <w:r/>
            <w:r>
              <w:rPr>
                <w:rFonts w:ascii="Figtree" w:hAnsi="Figtree"/>
                <w:b/>
                <w:i w:val="0"/>
                <w:sz w:val="22"/>
              </w:rPr>
              <w:t>Annual license</w:t>
            </w:r>
          </w:p>
        </w:tc>
        <w:tc>
          <w:tcPr>
            <w:tcW w:type="dxa" w:w="4873"/>
            <w:vAlign w:val="center"/>
          </w:tcPr>
          <w:p>
            <w:r/>
            <w:r>
              <w:rPr>
                <w:rFonts w:ascii="Figtree" w:hAnsi="Figtree"/>
                <w:b/>
                <w:i w:val="0"/>
                <w:sz w:val="22"/>
              </w:rPr>
              <w:t>[CLIENT-SPECIFIC]</w:t>
            </w:r>
          </w:p>
        </w:tc>
      </w:tr>
    </w:tbl>
    <w:p>
      <w:r>
        <w:br w:type="page"/>
      </w:r>
    </w:p>
    <w:p>
      <w:pPr>
        <w:pStyle w:val="H2"/>
        <w:numPr>
          <w:ilvl w:val="1"/>
          <w:numId w:val="1"/>
        </w:numPr>
      </w:pPr>
      <w:r>
        <w:t>Implementation</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Phase</w:t>
            </w:r>
          </w:p>
        </w:tc>
        <w:tc>
          <w:tcPr>
            <w:tcW w:type="dxa" w:w="3249"/>
            <w:vAlign w:val="center"/>
            <w:shd w:fill="000099" w:val="clear"/>
          </w:tcPr>
          <w:p>
            <w:r>
              <w:rPr>
                <w:b/>
                <w:color w:val="FFFFFF"/>
              </w:rPr>
            </w:r>
            <w:r>
              <w:rPr>
                <w:rFonts w:ascii="Figtree" w:hAnsi="Figtree"/>
                <w:b/>
                <w:i w:val="0"/>
                <w:color w:val="FFFFFF"/>
                <w:sz w:val="22"/>
              </w:rPr>
              <w:t>Duration</w:t>
            </w:r>
          </w:p>
        </w:tc>
        <w:tc>
          <w:tcPr>
            <w:tcW w:type="dxa" w:w="3249"/>
            <w:vAlign w:val="center"/>
            <w:shd w:fill="000099" w:val="clear"/>
          </w:tcPr>
          <w:p>
            <w:r>
              <w:rPr>
                <w:b/>
                <w:color w:val="FFFFFF"/>
              </w:rPr>
            </w:r>
            <w:r>
              <w:rPr>
                <w:rFonts w:ascii="Figtree" w:hAnsi="Figtree"/>
                <w:b/>
                <w:i w:val="0"/>
                <w:color w:val="FFFFFF"/>
                <w:sz w:val="22"/>
              </w:rPr>
              <w:t>Fee</w:t>
            </w:r>
          </w:p>
        </w:tc>
      </w:tr>
      <w:tr>
        <w:trPr>
          <w:trHeight w:val="454" w:hRule="atLeast"/>
        </w:trPr>
        <w:tc>
          <w:tcPr>
            <w:tcW w:type="dxa" w:w="3249"/>
            <w:vAlign w:val="center"/>
          </w:tcPr>
          <w:p>
            <w:r/>
            <w:r>
              <w:rPr>
                <w:rFonts w:ascii="Figtree" w:hAnsi="Figtree"/>
                <w:b w:val="0"/>
                <w:i w:val="0"/>
                <w:sz w:val="22"/>
              </w:rPr>
              <w:t>Phase 1: Discovery</w:t>
            </w:r>
          </w:p>
        </w:tc>
        <w:tc>
          <w:tcPr>
            <w:tcW w:type="dxa" w:w="3249"/>
            <w:vAlign w:val="center"/>
          </w:tcPr>
          <w:p>
            <w:r/>
            <w:r>
              <w:rPr>
                <w:rFonts w:ascii="Figtree" w:hAnsi="Figtree"/>
                <w:b w:val="0"/>
                <w:i w:val="0"/>
                <w:sz w:val="22"/>
              </w:rPr>
              <w:t>2 weeks</w:t>
            </w:r>
          </w:p>
        </w:tc>
        <w:tc>
          <w:tcPr>
            <w:tcW w:type="dxa" w:w="3249"/>
            <w:vAlign w:val="center"/>
          </w:tcPr>
          <w:p>
            <w:r/>
            <w:r>
              <w:rPr>
                <w:rFonts w:ascii="Figtree" w:hAnsi="Figtree"/>
                <w:b w:val="0"/>
                <w:i w:val="0"/>
                <w:sz w:val="22"/>
              </w:rPr>
              <w:t>Fixed</w:t>
            </w:r>
          </w:p>
        </w:tc>
      </w:tr>
      <w:tr>
        <w:trPr>
          <w:trHeight w:val="454" w:hRule="atLeast"/>
        </w:trPr>
        <w:tc>
          <w:tcPr>
            <w:tcW w:type="dxa" w:w="3249"/>
            <w:vAlign w:val="center"/>
          </w:tcPr>
          <w:p>
            <w:r/>
            <w:r>
              <w:rPr>
                <w:rFonts w:ascii="Figtree" w:hAnsi="Figtree"/>
                <w:b w:val="0"/>
                <w:i w:val="0"/>
                <w:sz w:val="22"/>
              </w:rPr>
              <w:t>Phase 2: Foundation</w:t>
            </w:r>
          </w:p>
        </w:tc>
        <w:tc>
          <w:tcPr>
            <w:tcW w:type="dxa" w:w="3249"/>
            <w:vAlign w:val="center"/>
          </w:tcPr>
          <w:p>
            <w:r/>
            <w:r>
              <w:rPr>
                <w:rFonts w:ascii="Figtree" w:hAnsi="Figtree"/>
                <w:b w:val="0"/>
                <w:i w:val="0"/>
                <w:sz w:val="22"/>
              </w:rPr>
              <w:t>3 weeks</w:t>
            </w:r>
          </w:p>
        </w:tc>
        <w:tc>
          <w:tcPr>
            <w:tcW w:type="dxa" w:w="3249"/>
            <w:vAlign w:val="center"/>
          </w:tcPr>
          <w:p>
            <w:r/>
            <w:r>
              <w:rPr>
                <w:rFonts w:ascii="Figtree" w:hAnsi="Figtree"/>
                <w:b w:val="0"/>
                <w:i w:val="0"/>
                <w:sz w:val="22"/>
              </w:rPr>
              <w:t>Fixed</w:t>
            </w:r>
          </w:p>
        </w:tc>
      </w:tr>
      <w:tr>
        <w:trPr>
          <w:trHeight w:val="454" w:hRule="atLeast"/>
        </w:trPr>
        <w:tc>
          <w:tcPr>
            <w:tcW w:type="dxa" w:w="3249"/>
            <w:vAlign w:val="center"/>
          </w:tcPr>
          <w:p>
            <w:r/>
            <w:r>
              <w:rPr>
                <w:rFonts w:ascii="Figtree" w:hAnsi="Figtree"/>
                <w:b w:val="0"/>
                <w:i w:val="0"/>
                <w:sz w:val="22"/>
              </w:rPr>
              <w:t>Phase 3: Configuration</w:t>
            </w:r>
          </w:p>
        </w:tc>
        <w:tc>
          <w:tcPr>
            <w:tcW w:type="dxa" w:w="3249"/>
            <w:vAlign w:val="center"/>
          </w:tcPr>
          <w:p>
            <w:r/>
            <w:r>
              <w:rPr>
                <w:rFonts w:ascii="Figtree" w:hAnsi="Figtree"/>
                <w:b w:val="0"/>
                <w:i w:val="0"/>
                <w:sz w:val="22"/>
              </w:rPr>
              <w:t>4 weeks</w:t>
            </w:r>
          </w:p>
        </w:tc>
        <w:tc>
          <w:tcPr>
            <w:tcW w:type="dxa" w:w="3249"/>
            <w:vAlign w:val="center"/>
          </w:tcPr>
          <w:p>
            <w:r/>
            <w:r>
              <w:rPr>
                <w:rFonts w:ascii="Figtree" w:hAnsi="Figtree"/>
                <w:b w:val="0"/>
                <w:i w:val="0"/>
                <w:sz w:val="22"/>
              </w:rPr>
              <w:t>Fixed</w:t>
            </w:r>
          </w:p>
        </w:tc>
      </w:tr>
      <w:tr>
        <w:trPr>
          <w:trHeight w:val="454" w:hRule="atLeast"/>
        </w:trPr>
        <w:tc>
          <w:tcPr>
            <w:tcW w:type="dxa" w:w="3249"/>
            <w:vAlign w:val="center"/>
          </w:tcPr>
          <w:p>
            <w:r/>
            <w:r>
              <w:rPr>
                <w:rFonts w:ascii="Figtree" w:hAnsi="Figtree"/>
                <w:b w:val="0"/>
                <w:i w:val="0"/>
                <w:sz w:val="22"/>
              </w:rPr>
              <w:t>Phase 4: Integration &amp; Testing</w:t>
            </w:r>
          </w:p>
        </w:tc>
        <w:tc>
          <w:tcPr>
            <w:tcW w:type="dxa" w:w="3249"/>
            <w:vAlign w:val="center"/>
          </w:tcPr>
          <w:p>
            <w:r/>
            <w:r>
              <w:rPr>
                <w:rFonts w:ascii="Figtree" w:hAnsi="Figtree"/>
                <w:b w:val="0"/>
                <w:i w:val="0"/>
                <w:sz w:val="22"/>
              </w:rPr>
              <w:t>4 weeks</w:t>
            </w:r>
          </w:p>
        </w:tc>
        <w:tc>
          <w:tcPr>
            <w:tcW w:type="dxa" w:w="3249"/>
            <w:vAlign w:val="center"/>
          </w:tcPr>
          <w:p>
            <w:r/>
            <w:r>
              <w:rPr>
                <w:rFonts w:ascii="Figtree" w:hAnsi="Figtree"/>
                <w:b w:val="0"/>
                <w:i w:val="0"/>
                <w:sz w:val="22"/>
              </w:rPr>
              <w:t>Fixed</w:t>
            </w:r>
          </w:p>
        </w:tc>
      </w:tr>
      <w:tr>
        <w:trPr>
          <w:trHeight w:val="454" w:hRule="atLeast"/>
        </w:trPr>
        <w:tc>
          <w:tcPr>
            <w:tcW w:type="dxa" w:w="3249"/>
            <w:vAlign w:val="center"/>
          </w:tcPr>
          <w:p>
            <w:r/>
            <w:r>
              <w:rPr>
                <w:rFonts w:ascii="Figtree" w:hAnsi="Figtree"/>
                <w:b w:val="0"/>
                <w:i w:val="0"/>
                <w:sz w:val="22"/>
              </w:rPr>
              <w:t>Phase 5: Go-Live &amp; Hypercare</w:t>
            </w:r>
          </w:p>
        </w:tc>
        <w:tc>
          <w:tcPr>
            <w:tcW w:type="dxa" w:w="3249"/>
            <w:vAlign w:val="center"/>
          </w:tcPr>
          <w:p>
            <w:r/>
            <w:r>
              <w:rPr>
                <w:rFonts w:ascii="Figtree" w:hAnsi="Figtree"/>
                <w:b w:val="0"/>
                <w:i w:val="0"/>
                <w:sz w:val="22"/>
              </w:rPr>
              <w:t>6 weeks</w:t>
            </w:r>
          </w:p>
        </w:tc>
        <w:tc>
          <w:tcPr>
            <w:tcW w:type="dxa" w:w="3249"/>
            <w:vAlign w:val="center"/>
          </w:tcPr>
          <w:p>
            <w:r/>
            <w:r>
              <w:rPr>
                <w:rFonts w:ascii="Figtree" w:hAnsi="Figtree"/>
                <w:b w:val="0"/>
                <w:i w:val="0"/>
                <w:sz w:val="22"/>
              </w:rPr>
              <w:t>Fixed</w:t>
            </w:r>
          </w:p>
        </w:tc>
      </w:tr>
      <w:tr>
        <w:trPr>
          <w:trHeight w:val="454" w:hRule="atLeast"/>
        </w:trPr>
        <w:tc>
          <w:tcPr>
            <w:tcW w:type="dxa" w:w="3249"/>
            <w:vAlign w:val="center"/>
          </w:tcPr>
          <w:p>
            <w:r/>
            <w:r>
              <w:rPr>
                <w:rFonts w:ascii="Figtree" w:hAnsi="Figtree"/>
                <w:b/>
                <w:i w:val="0"/>
                <w:sz w:val="22"/>
              </w:rPr>
              <w:t>Total</w:t>
            </w:r>
          </w:p>
        </w:tc>
        <w:tc>
          <w:tcPr>
            <w:tcW w:type="dxa" w:w="3249"/>
            <w:vAlign w:val="center"/>
          </w:tcPr>
          <w:p>
            <w:r/>
            <w:r>
              <w:rPr>
                <w:rFonts w:ascii="Figtree" w:hAnsi="Figtree"/>
                <w:b/>
                <w:i w:val="0"/>
                <w:sz w:val="22"/>
              </w:rPr>
              <w:t>19 weeks</w:t>
            </w:r>
          </w:p>
        </w:tc>
        <w:tc>
          <w:tcPr>
            <w:tcW w:type="dxa" w:w="3249"/>
            <w:vAlign w:val="center"/>
          </w:tcPr>
          <w:p>
            <w:r/>
            <w:r>
              <w:rPr>
                <w:rFonts w:ascii="Figtree" w:hAnsi="Figtree"/>
                <w:b/>
                <w:i w:val="0"/>
                <w:sz w:val="22"/>
              </w:rPr>
              <w:t>[CLIENT-SPECIFIC]</w:t>
            </w:r>
          </w:p>
        </w:tc>
      </w:tr>
    </w:tbl>
    <w:p>
      <w:r>
        <w:br w:type="page"/>
      </w:r>
    </w:p>
    <w:p>
      <w:pPr>
        <w:pStyle w:val="H2"/>
        <w:numPr>
          <w:ilvl w:val="1"/>
          <w:numId w:val="1"/>
        </w:numPr>
      </w:pPr>
      <w:r>
        <w:t>Support: Premium Tier</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4873"/>
            <w:vAlign w:val="center"/>
          </w:tcPr>
          <w:p>
            <w:r/>
            <w:r>
              <w:rPr>
                <w:rFonts w:ascii="Figtree" w:hAnsi="Figtree"/>
                <w:b w:val="0"/>
                <w:i w:val="0"/>
                <w:sz w:val="22"/>
              </w:rPr>
              <w:t>Coverage</w:t>
            </w:r>
          </w:p>
        </w:tc>
        <w:tc>
          <w:tcPr>
            <w:tcW w:type="dxa" w:w="4873"/>
            <w:vAlign w:val="center"/>
          </w:tcPr>
          <w:p>
            <w:r/>
            <w:r>
              <w:rPr>
                <w:rFonts w:ascii="Figtree" w:hAnsi="Figtree"/>
                <w:b w:val="0"/>
                <w:i w:val="0"/>
                <w:sz w:val="22"/>
              </w:rPr>
              <w:t>16×5</w:t>
            </w:r>
          </w:p>
        </w:tc>
      </w:tr>
      <w:tr>
        <w:trPr>
          <w:trHeight w:val="454" w:hRule="atLeast"/>
        </w:trPr>
        <w:tc>
          <w:tcPr>
            <w:tcW w:type="dxa" w:w="4873"/>
            <w:vAlign w:val="center"/>
          </w:tcPr>
          <w:p>
            <w:r/>
            <w:r>
              <w:rPr>
                <w:rFonts w:ascii="Figtree" w:hAnsi="Figtree"/>
                <w:b w:val="0"/>
                <w:i w:val="0"/>
                <w:sz w:val="22"/>
              </w:rPr>
              <w:t>P1 response</w:t>
            </w:r>
          </w:p>
        </w:tc>
        <w:tc>
          <w:tcPr>
            <w:tcW w:type="dxa" w:w="4873"/>
            <w:vAlign w:val="center"/>
          </w:tcPr>
          <w:p>
            <w:r/>
            <w:r>
              <w:rPr>
                <w:rFonts w:ascii="Figtree" w:hAnsi="Figtree"/>
                <w:b w:val="0"/>
                <w:i w:val="0"/>
                <w:sz w:val="22"/>
              </w:rPr>
              <w:t>2 hours</w:t>
            </w:r>
          </w:p>
        </w:tc>
      </w:tr>
      <w:tr>
        <w:trPr>
          <w:trHeight w:val="454" w:hRule="atLeast"/>
        </w:trPr>
        <w:tc>
          <w:tcPr>
            <w:tcW w:type="dxa" w:w="4873"/>
            <w:vAlign w:val="center"/>
          </w:tcPr>
          <w:p>
            <w:r/>
            <w:r>
              <w:rPr>
                <w:rFonts w:ascii="Figtree" w:hAnsi="Figtree"/>
                <w:b w:val="0"/>
                <w:i w:val="0"/>
                <w:sz w:val="22"/>
              </w:rPr>
              <w:t>Dedicated engineer</w:t>
            </w:r>
          </w:p>
        </w:tc>
        <w:tc>
          <w:tcPr>
            <w:tcW w:type="dxa" w:w="4873"/>
            <w:vAlign w:val="center"/>
          </w:tcPr>
          <w:p>
            <w:r/>
            <w:r>
              <w:rPr>
                <w:rFonts w:ascii="Figtree" w:hAnsi="Figtree"/>
                <w:b w:val="0"/>
                <w:i w:val="0"/>
                <w:sz w:val="22"/>
              </w:rPr>
              <w:t>Yes</w:t>
            </w:r>
          </w:p>
        </w:tc>
      </w:tr>
      <w:tr>
        <w:trPr>
          <w:trHeight w:val="454" w:hRule="atLeast"/>
        </w:trPr>
        <w:tc>
          <w:tcPr>
            <w:tcW w:type="dxa" w:w="4873"/>
            <w:vAlign w:val="center"/>
          </w:tcPr>
          <w:p>
            <w:r/>
            <w:r>
              <w:rPr>
                <w:rFonts w:ascii="Figtree" w:hAnsi="Figtree"/>
                <w:b w:val="0"/>
                <w:i w:val="0"/>
                <w:sz w:val="22"/>
              </w:rPr>
              <w:t>Quarterly reviews</w:t>
            </w:r>
          </w:p>
        </w:tc>
        <w:tc>
          <w:tcPr>
            <w:tcW w:type="dxa" w:w="4873"/>
            <w:vAlign w:val="center"/>
          </w:tcPr>
          <w:p>
            <w:r/>
            <w:r>
              <w:rPr>
                <w:rFonts w:ascii="Figtree" w:hAnsi="Figtree"/>
                <w:b w:val="0"/>
                <w:i w:val="0"/>
                <w:sz w:val="22"/>
              </w:rPr>
              <w:t>Yes</w:t>
            </w:r>
          </w:p>
        </w:tc>
      </w:tr>
      <w:tr>
        <w:trPr>
          <w:trHeight w:val="454" w:hRule="atLeast"/>
        </w:trPr>
        <w:tc>
          <w:tcPr>
            <w:tcW w:type="dxa" w:w="4873"/>
            <w:vAlign w:val="center"/>
          </w:tcPr>
          <w:p>
            <w:r/>
            <w:r>
              <w:rPr>
                <w:rFonts w:ascii="Figtree" w:hAnsi="Figtree"/>
                <w:b/>
                <w:i w:val="0"/>
                <w:sz w:val="22"/>
              </w:rPr>
              <w:t>Annual fee</w:t>
            </w:r>
          </w:p>
        </w:tc>
        <w:tc>
          <w:tcPr>
            <w:tcW w:type="dxa" w:w="4873"/>
            <w:vAlign w:val="center"/>
          </w:tcPr>
          <w:p>
            <w:r/>
            <w:r>
              <w:rPr>
                <w:rFonts w:ascii="Figtree" w:hAnsi="Figtree"/>
                <w:b/>
                <w:i w:val="0"/>
                <w:sz w:val="22"/>
              </w:rPr>
              <w:t>[CLIENT-SPECIFIC]</w:t>
            </w:r>
          </w:p>
        </w:tc>
      </w:tr>
    </w:tbl>
    <w:p>
      <w:r>
        <w:br w:type="page"/>
      </w:r>
    </w:p>
    <w:p>
      <w:pPr>
        <w:pStyle w:val="H2"/>
        <w:numPr>
          <w:ilvl w:val="1"/>
          <w:numId w:val="1"/>
        </w:numPr>
      </w:pPr>
      <w:r>
        <w:t>Three-Year TCO</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Component</w:t>
            </w:r>
          </w:p>
        </w:tc>
        <w:tc>
          <w:tcPr>
            <w:tcW w:type="dxa" w:w="2436"/>
            <w:vAlign w:val="center"/>
            <w:shd w:fill="000099" w:val="clear"/>
          </w:tcPr>
          <w:p>
            <w:r>
              <w:rPr>
                <w:b/>
                <w:color w:val="FFFFFF"/>
              </w:rPr>
            </w:r>
            <w:r>
              <w:rPr>
                <w:rFonts w:ascii="Figtree" w:hAnsi="Figtree"/>
                <w:b/>
                <w:i w:val="0"/>
                <w:color w:val="FFFFFF"/>
                <w:sz w:val="22"/>
              </w:rPr>
              <w:t>Year 1</w:t>
            </w:r>
          </w:p>
        </w:tc>
        <w:tc>
          <w:tcPr>
            <w:tcW w:type="dxa" w:w="2436"/>
            <w:vAlign w:val="center"/>
            <w:shd w:fill="000099" w:val="clear"/>
          </w:tcPr>
          <w:p>
            <w:r>
              <w:rPr>
                <w:b/>
                <w:color w:val="FFFFFF"/>
              </w:rPr>
            </w:r>
            <w:r>
              <w:rPr>
                <w:rFonts w:ascii="Figtree" w:hAnsi="Figtree"/>
                <w:b/>
                <w:i w:val="0"/>
                <w:color w:val="FFFFFF"/>
                <w:sz w:val="22"/>
              </w:rPr>
              <w:t>Year 2</w:t>
            </w:r>
          </w:p>
        </w:tc>
        <w:tc>
          <w:tcPr>
            <w:tcW w:type="dxa" w:w="2436"/>
            <w:vAlign w:val="center"/>
            <w:shd w:fill="000099" w:val="clear"/>
          </w:tcPr>
          <w:p>
            <w:r>
              <w:rPr>
                <w:b/>
                <w:color w:val="FFFFFF"/>
              </w:rPr>
            </w:r>
            <w:r>
              <w:rPr>
                <w:rFonts w:ascii="Figtree" w:hAnsi="Figtree"/>
                <w:b/>
                <w:i w:val="0"/>
                <w:color w:val="FFFFFF"/>
                <w:sz w:val="22"/>
              </w:rPr>
              <w:t>Year 3</w:t>
            </w:r>
          </w:p>
        </w:tc>
      </w:tr>
      <w:tr>
        <w:trPr>
          <w:trHeight w:val="454" w:hRule="atLeast"/>
        </w:trPr>
        <w:tc>
          <w:tcPr>
            <w:tcW w:type="dxa" w:w="2436"/>
            <w:vAlign w:val="center"/>
          </w:tcPr>
          <w:p>
            <w:r/>
            <w:r>
              <w:rPr>
                <w:rFonts w:ascii="Figtree" w:hAnsi="Figtree"/>
                <w:b w:val="0"/>
                <w:i w:val="0"/>
                <w:sz w:val="22"/>
              </w:rPr>
              <w:t>Platform license</w:t>
            </w:r>
          </w:p>
        </w:tc>
        <w:tc>
          <w:tcPr>
            <w:tcW w:type="dxa" w:w="2436"/>
            <w:vAlign w:val="center"/>
          </w:tcPr>
          <w:p>
            <w:r/>
            <w:r>
              <w:rPr>
                <w:rFonts w:ascii="Figtree" w:hAnsi="Figtree"/>
                <w:b w:val="0"/>
                <w:i w:val="0"/>
                <w:sz w:val="22"/>
              </w:rPr>
              <w:t>[CS]</w:t>
            </w:r>
          </w:p>
        </w:tc>
        <w:tc>
          <w:tcPr>
            <w:tcW w:type="dxa" w:w="2436"/>
            <w:vAlign w:val="center"/>
          </w:tcPr>
          <w:p>
            <w:r/>
            <w:r>
              <w:rPr>
                <w:rFonts w:ascii="Figtree" w:hAnsi="Figtree"/>
                <w:b w:val="0"/>
                <w:i w:val="0"/>
                <w:sz w:val="22"/>
              </w:rPr>
              <w:t>[CS]</w:t>
            </w:r>
          </w:p>
        </w:tc>
        <w:tc>
          <w:tcPr>
            <w:tcW w:type="dxa" w:w="2436"/>
            <w:vAlign w:val="center"/>
          </w:tcPr>
          <w:p>
            <w:r/>
            <w:r>
              <w:rPr>
                <w:rFonts w:ascii="Figtree" w:hAnsi="Figtree"/>
                <w:b w:val="0"/>
                <w:i w:val="0"/>
                <w:sz w:val="22"/>
              </w:rPr>
              <w:t>[CS]</w:t>
            </w:r>
          </w:p>
        </w:tc>
      </w:tr>
      <w:tr>
        <w:trPr>
          <w:trHeight w:val="454" w:hRule="atLeast"/>
        </w:trPr>
        <w:tc>
          <w:tcPr>
            <w:tcW w:type="dxa" w:w="2436"/>
            <w:vAlign w:val="center"/>
          </w:tcPr>
          <w:p>
            <w:r/>
            <w:r>
              <w:rPr>
                <w:rFonts w:ascii="Figtree" w:hAnsi="Figtree"/>
                <w:b w:val="0"/>
                <w:i w:val="0"/>
                <w:sz w:val="22"/>
              </w:rPr>
              <w:t>Implementation</w:t>
            </w:r>
          </w:p>
        </w:tc>
        <w:tc>
          <w:tcPr>
            <w:tcW w:type="dxa" w:w="2436"/>
            <w:vAlign w:val="center"/>
          </w:tcPr>
          <w:p>
            <w:r/>
            <w:r>
              <w:rPr>
                <w:rFonts w:ascii="Figtree" w:hAnsi="Figtree"/>
                <w:b w:val="0"/>
                <w:i w:val="0"/>
                <w:sz w:val="22"/>
              </w:rPr>
              <w:t>[CS]</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r>
        <w:trPr>
          <w:trHeight w:val="454" w:hRule="atLeast"/>
        </w:trPr>
        <w:tc>
          <w:tcPr>
            <w:tcW w:type="dxa" w:w="2436"/>
            <w:vAlign w:val="center"/>
          </w:tcPr>
          <w:p>
            <w:r/>
            <w:r>
              <w:rPr>
                <w:rFonts w:ascii="Figtree" w:hAnsi="Figtree"/>
                <w:b w:val="0"/>
                <w:i w:val="0"/>
                <w:sz w:val="22"/>
              </w:rPr>
              <w:t>Support</w:t>
            </w:r>
          </w:p>
        </w:tc>
        <w:tc>
          <w:tcPr>
            <w:tcW w:type="dxa" w:w="2436"/>
            <w:vAlign w:val="center"/>
          </w:tcPr>
          <w:p>
            <w:r/>
            <w:r>
              <w:rPr>
                <w:rFonts w:ascii="Figtree" w:hAnsi="Figtree"/>
                <w:b w:val="0"/>
                <w:i w:val="0"/>
                <w:sz w:val="22"/>
              </w:rPr>
              <w:t>[CS]</w:t>
            </w:r>
          </w:p>
        </w:tc>
        <w:tc>
          <w:tcPr>
            <w:tcW w:type="dxa" w:w="2436"/>
            <w:vAlign w:val="center"/>
          </w:tcPr>
          <w:p>
            <w:r/>
            <w:r>
              <w:rPr>
                <w:rFonts w:ascii="Figtree" w:hAnsi="Figtree"/>
                <w:b w:val="0"/>
                <w:i w:val="0"/>
                <w:sz w:val="22"/>
              </w:rPr>
              <w:t>[CS]</w:t>
            </w:r>
          </w:p>
        </w:tc>
        <w:tc>
          <w:tcPr>
            <w:tcW w:type="dxa" w:w="2436"/>
            <w:vAlign w:val="center"/>
          </w:tcPr>
          <w:p>
            <w:r/>
            <w:r>
              <w:rPr>
                <w:rFonts w:ascii="Figtree" w:hAnsi="Figtree"/>
                <w:b w:val="0"/>
                <w:i w:val="0"/>
                <w:sz w:val="22"/>
              </w:rPr>
              <w:t>[CS]</w:t>
            </w:r>
          </w:p>
        </w:tc>
      </w:tr>
      <w:tr>
        <w:trPr>
          <w:trHeight w:val="454" w:hRule="atLeast"/>
        </w:trPr>
        <w:tc>
          <w:tcPr>
            <w:tcW w:type="dxa" w:w="2436"/>
            <w:vAlign w:val="center"/>
          </w:tcPr>
          <w:p>
            <w:r/>
            <w:r>
              <w:rPr>
                <w:rFonts w:ascii="Figtree" w:hAnsi="Figtree"/>
                <w:b w:val="0"/>
                <w:i w:val="0"/>
                <w:sz w:val="22"/>
              </w:rPr>
              <w:t>Infrastructure</w:t>
            </w:r>
          </w:p>
        </w:tc>
        <w:tc>
          <w:tcPr>
            <w:tcW w:type="dxa" w:w="2436"/>
            <w:vAlign w:val="center"/>
          </w:tcPr>
          <w:p>
            <w:r/>
            <w:r>
              <w:rPr>
                <w:rFonts w:ascii="Figtree" w:hAnsi="Figtree"/>
                <w:b w:val="0"/>
                <w:i w:val="0"/>
                <w:sz w:val="22"/>
              </w:rPr>
              <w:t>[CS]</w:t>
            </w:r>
          </w:p>
        </w:tc>
        <w:tc>
          <w:tcPr>
            <w:tcW w:type="dxa" w:w="2436"/>
            <w:vAlign w:val="center"/>
          </w:tcPr>
          <w:p>
            <w:r/>
            <w:r>
              <w:rPr>
                <w:rFonts w:ascii="Figtree" w:hAnsi="Figtree"/>
                <w:b w:val="0"/>
                <w:i w:val="0"/>
                <w:sz w:val="22"/>
              </w:rPr>
              <w:t>[CS]</w:t>
            </w:r>
          </w:p>
        </w:tc>
        <w:tc>
          <w:tcPr>
            <w:tcW w:type="dxa" w:w="2436"/>
            <w:vAlign w:val="center"/>
          </w:tcPr>
          <w:p>
            <w:r/>
            <w:r>
              <w:rPr>
                <w:rFonts w:ascii="Figtree" w:hAnsi="Figtree"/>
                <w:b w:val="0"/>
                <w:i w:val="0"/>
                <w:sz w:val="22"/>
              </w:rPr>
              <w:t>[CS]</w:t>
            </w:r>
          </w:p>
        </w:tc>
      </w:tr>
    </w:tbl>
    <w:p>
      <w:pPr>
        <w:pStyle w:val="H3"/>
        <w:numPr>
          <w:ilvl w:val="2"/>
          <w:numId w:val="1"/>
        </w:numPr>
      </w:pPr>
      <w:r>
        <w:t>Exclusions</w:t>
      </w:r>
    </w:p>
    <w:p>
      <w:pPr>
        <w:pStyle w:val="ListParagraph"/>
        <w:numPr>
          <w:ilvl w:val="0"/>
          <w:numId w:val="4"/>
        </w:numPr>
      </w:pPr>
      <w:r>
        <w:rPr>
          <w:rFonts w:ascii="Figtree" w:hAnsi="Figtree"/>
          <w:b w:val="0"/>
          <w:i w:val="0"/>
          <w:sz w:val="22"/>
        </w:rPr>
        <w:t>EU cloud infrastructure (BNP Paribas responsibility)</w:t>
      </w:r>
    </w:p>
    <w:p>
      <w:pPr>
        <w:pStyle w:val="ListParagraph"/>
        <w:numPr>
          <w:ilvl w:val="0"/>
          <w:numId w:val="4"/>
        </w:numPr>
      </w:pPr>
      <w:r>
        <w:rPr>
          <w:rFonts w:ascii="Figtree" w:hAnsi="Figtree"/>
          <w:b w:val="0"/>
          <w:i w:val="0"/>
          <w:sz w:val="22"/>
        </w:rPr>
        <w:t>FundSettle/Euroclear integration development (joint effort)</w:t>
      </w:r>
    </w:p>
    <w:p>
      <w:pPr>
        <w:pStyle w:val="ListParagraph"/>
        <w:numPr>
          <w:ilvl w:val="0"/>
          <w:numId w:val="4"/>
        </w:numPr>
      </w:pPr>
      <w:r>
        <w:rPr>
          <w:rFonts w:ascii="Figtree" w:hAnsi="Figtree"/>
          <w:b w:val="0"/>
          <w:i w:val="0"/>
          <w:sz w:val="22"/>
        </w:rPr>
        <w:t>NAV calculation engine (BNP Paribas existing platform)</w:t>
      </w:r>
    </w:p>
    <w:p>
      <w:pPr>
        <w:pStyle w:val="ListParagraph"/>
        <w:numPr>
          <w:ilvl w:val="0"/>
          <w:numId w:val="4"/>
        </w:numPr>
      </w:pPr>
      <w:r>
        <w:rPr>
          <w:rFonts w:ascii="Figtree" w:hAnsi="Figtree"/>
          <w:b w:val="0"/>
          <w:i w:val="0"/>
          <w:sz w:val="22"/>
        </w:rPr>
        <w:t>Fund regulatory filing fees (AMF/CSSF)</w:t>
      </w:r>
    </w:p>
    <w:p>
      <w:pPr>
        <w:pStyle w:val="ListParagraph"/>
        <w:numPr>
          <w:ilvl w:val="0"/>
          <w:numId w:val="4"/>
        </w:numPr>
      </w:pPr>
      <w:r>
        <w:rPr>
          <w:rFonts w:ascii="Figtree" w:hAnsi="Figtree"/>
          <w:b w:val="0"/>
          <w:i w:val="0"/>
          <w:sz w:val="22"/>
        </w:rPr>
        <w:t>Extended TA replacement scope (priced separately — estimated 4 weeks)</w:t>
      </w:r>
    </w:p>
    <w:p>
      <w:r>
        <w:br w:type="page"/>
      </w:r>
    </w:p>
    <w:p>
      <w:pPr>
        <w:pStyle w:val="H2"/>
        <w:numPr>
          <w:ilvl w:val="1"/>
          <w:numId w:val="1"/>
        </w:numPr>
      </w:pPr>
      <w:r>
        <w:t>Contractual Framework</w:t>
      </w:r>
    </w:p>
    <w:p>
      <w:pPr>
        <w:pStyle w:val="ListParagraph"/>
        <w:numPr>
          <w:ilvl w:val="0"/>
          <w:numId w:val="4"/>
        </w:numPr>
      </w:pPr>
      <w:r>
        <w:rPr>
          <w:rFonts w:ascii="Figtree" w:hAnsi="Figtree"/>
          <w:b w:val="0"/>
          <w:i w:val="0"/>
          <w:sz w:val="22"/>
        </w:rPr>
        <w:t>Three-year initial term with annual renewal</w:t>
      </w:r>
    </w:p>
    <w:p>
      <w:pPr>
        <w:pStyle w:val="ListParagraph"/>
        <w:numPr>
          <w:ilvl w:val="0"/>
          <w:numId w:val="4"/>
        </w:numPr>
      </w:pPr>
      <w:r>
        <w:rPr>
          <w:rFonts w:ascii="Figtree" w:hAnsi="Figtree"/>
          <w:b w:val="0"/>
          <w:i w:val="0"/>
          <w:sz w:val="22"/>
        </w:rPr>
        <w:t>Milestone-based implementation; annual license in advance</w:t>
      </w:r>
    </w:p>
    <w:p>
      <w:pPr>
        <w:pStyle w:val="ListParagraph"/>
        <w:numPr>
          <w:ilvl w:val="0"/>
          <w:numId w:val="4"/>
        </w:numPr>
      </w:pPr>
      <w:r>
        <w:rPr>
          <w:rFonts w:ascii="Figtree" w:hAnsi="Figtree"/>
          <w:b w:val="0"/>
          <w:i w:val="0"/>
          <w:sz w:val="22"/>
        </w:rPr>
        <w:t>GDPR-compliant data processing</w:t>
      </w:r>
    </w:p>
    <w:p>
      <w:pPr>
        <w:pStyle w:val="ListParagraph"/>
        <w:numPr>
          <w:ilvl w:val="0"/>
          <w:numId w:val="4"/>
        </w:numPr>
      </w:pPr>
      <w:r>
        <w:rPr>
          <w:rFonts w:ascii="Figtree" w:hAnsi="Figtree"/>
          <w:b w:val="0"/>
          <w:i w:val="0"/>
          <w:sz w:val="22"/>
        </w:rPr>
        <w:t>EU data residency</w:t>
      </w:r>
    </w:p>
    <w:p>
      <w:pPr>
        <w:pStyle w:val="ListParagraph"/>
        <w:numPr>
          <w:ilvl w:val="0"/>
          <w:numId w:val="4"/>
        </w:numPr>
      </w:pPr>
      <w:r>
        <w:rPr>
          <w:rFonts w:ascii="Figtree" w:hAnsi="Figtree"/>
          <w:b w:val="0"/>
          <w:i w:val="0"/>
          <w:sz w:val="22"/>
        </w:rPr>
        <w:t>Annual audit rights</w:t>
      </w:r>
    </w:p>
    <w:p>
      <w:pPr>
        <w:pStyle w:val="ListParagraph"/>
        <w:numPr>
          <w:ilvl w:val="0"/>
          <w:numId w:val="4"/>
        </w:numPr>
      </w:pPr>
      <w:r>
        <w:rPr>
          <w:rFonts w:ascii="Figtree" w:hAnsi="Figtree"/>
          <w:b w:val="0"/>
          <w:i w:val="0"/>
          <w:sz w:val="22"/>
        </w:rPr>
        <w:t>90-day exit support</w:t>
      </w:r>
    </w:p>
    <w:p>
      <w:r>
        <w:br w:type="page"/>
      </w:r>
    </w:p>
    <w:p>
      <w:pPr>
        <w:pStyle w:val="H2"/>
        <w:numPr>
          <w:ilvl w:val="1"/>
          <w:numId w:val="1"/>
        </w:numPr>
      </w:pPr>
      <w:r>
        <w:t>Decision Summary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Factor</w:t>
            </w:r>
          </w:p>
        </w:tc>
        <w:tc>
          <w:tcPr>
            <w:tcW w:type="dxa" w:w="4873"/>
            <w:vAlign w:val="center"/>
            <w:shd w:fill="000099" w:val="clear"/>
          </w:tcPr>
          <w:p>
            <w:r>
              <w:rPr>
                <w:b/>
                <w:color w:val="FFFFFF"/>
              </w:rPr>
            </w:r>
            <w:r>
              <w:rPr>
                <w:rFonts w:ascii="Figtree" w:hAnsi="Figtree"/>
                <w:b/>
                <w:i w:val="0"/>
                <w:color w:val="FFFFFF"/>
                <w:sz w:val="22"/>
              </w:rPr>
              <w:t>Position</w:t>
            </w:r>
          </w:p>
        </w:tc>
      </w:tr>
      <w:tr>
        <w:trPr>
          <w:trHeight w:val="454" w:hRule="atLeast"/>
        </w:trPr>
        <w:tc>
          <w:tcPr>
            <w:tcW w:type="dxa" w:w="4873"/>
            <w:vAlign w:val="center"/>
          </w:tcPr>
          <w:p>
            <w:r/>
            <w:r>
              <w:rPr>
                <w:rFonts w:ascii="Figtree" w:hAnsi="Figtree"/>
                <w:b w:val="0"/>
                <w:i w:val="0"/>
                <w:sz w:val="22"/>
              </w:rPr>
              <w:t>Fund operations reference</w:t>
            </w:r>
          </w:p>
        </w:tc>
        <w:tc>
          <w:tcPr>
            <w:tcW w:type="dxa" w:w="4873"/>
            <w:vAlign w:val="center"/>
          </w:tcPr>
          <w:p>
            <w:r/>
            <w:r>
              <w:rPr>
                <w:rFonts w:ascii="Figtree" w:hAnsi="Figtree"/>
                <w:b w:val="0"/>
                <w:i w:val="0"/>
                <w:sz w:val="22"/>
              </w:rPr>
              <w:t>KBC Securities — crowdfunding lifecycle</w:t>
            </w:r>
          </w:p>
        </w:tc>
      </w:tr>
      <w:tr>
        <w:trPr>
          <w:trHeight w:val="454" w:hRule="atLeast"/>
        </w:trPr>
        <w:tc>
          <w:tcPr>
            <w:tcW w:type="dxa" w:w="4873"/>
            <w:vAlign w:val="center"/>
          </w:tcPr>
          <w:p>
            <w:r/>
            <w:r>
              <w:rPr>
                <w:rFonts w:ascii="Figtree" w:hAnsi="Figtree"/>
                <w:b w:val="0"/>
                <w:i w:val="0"/>
                <w:sz w:val="22"/>
              </w:rPr>
              <w:t>MiCA/UCITS compliance</w:t>
            </w:r>
          </w:p>
        </w:tc>
        <w:tc>
          <w:tcPr>
            <w:tcW w:type="dxa" w:w="4873"/>
            <w:vAlign w:val="center"/>
          </w:tcPr>
          <w:p>
            <w:r/>
            <w:r>
              <w:rPr>
                <w:rFonts w:ascii="Figtree" w:hAnsi="Figtree"/>
                <w:b w:val="0"/>
                <w:i w:val="0"/>
                <w:sz w:val="22"/>
              </w:rPr>
              <w:t>Embedded at smart contract level</w:t>
            </w:r>
          </w:p>
        </w:tc>
      </w:tr>
      <w:tr>
        <w:trPr>
          <w:trHeight w:val="454" w:hRule="atLeast"/>
        </w:trPr>
        <w:tc>
          <w:tcPr>
            <w:tcW w:type="dxa" w:w="4873"/>
            <w:vAlign w:val="center"/>
          </w:tcPr>
          <w:p>
            <w:r/>
            <w:r>
              <w:rPr>
                <w:rFonts w:ascii="Figtree" w:hAnsi="Figtree"/>
                <w:b w:val="0"/>
                <w:i w:val="0"/>
                <w:sz w:val="22"/>
              </w:rPr>
              <w:t>Pricing model</w:t>
            </w:r>
          </w:p>
        </w:tc>
        <w:tc>
          <w:tcPr>
            <w:tcW w:type="dxa" w:w="4873"/>
            <w:vAlign w:val="center"/>
          </w:tcPr>
          <w:p>
            <w:r/>
            <w:r>
              <w:rPr>
                <w:rFonts w:ascii="Figtree" w:hAnsi="Figtree"/>
                <w:b w:val="0"/>
                <w:i w:val="0"/>
                <w:sz w:val="22"/>
              </w:rPr>
              <w:t>Platform license — zero per-transaction fees</w:t>
            </w:r>
          </w:p>
        </w:tc>
      </w:tr>
      <w:tr>
        <w:trPr>
          <w:trHeight w:val="454" w:hRule="atLeast"/>
        </w:trPr>
        <w:tc>
          <w:tcPr>
            <w:tcW w:type="dxa" w:w="4873"/>
            <w:vAlign w:val="center"/>
          </w:tcPr>
          <w:p>
            <w:r/>
            <w:r>
              <w:rPr>
                <w:rFonts w:ascii="Figtree" w:hAnsi="Figtree"/>
                <w:b w:val="0"/>
                <w:i w:val="0"/>
                <w:sz w:val="22"/>
              </w:rPr>
              <w:t>NAV integration</w:t>
            </w:r>
          </w:p>
        </w:tc>
        <w:tc>
          <w:tcPr>
            <w:tcW w:type="dxa" w:w="4873"/>
            <w:vAlign w:val="center"/>
          </w:tcPr>
          <w:p>
            <w:r/>
            <w:r>
              <w:rPr>
                <w:rFonts w:ascii="Figtree" w:hAnsi="Figtree"/>
                <w:b w:val="0"/>
                <w:i w:val="0"/>
                <w:sz w:val="22"/>
              </w:rPr>
              <w:t>Feeds System with real-time NAV processing</w:t>
            </w:r>
          </w:p>
        </w:tc>
      </w:tr>
      <w:tr>
        <w:trPr>
          <w:trHeight w:val="454" w:hRule="atLeast"/>
        </w:trPr>
        <w:tc>
          <w:tcPr>
            <w:tcW w:type="dxa" w:w="4873"/>
            <w:vAlign w:val="center"/>
          </w:tcPr>
          <w:p>
            <w:r/>
            <w:r>
              <w:rPr>
                <w:rFonts w:ascii="Figtree" w:hAnsi="Figtree"/>
                <w:b w:val="0"/>
                <w:i w:val="0"/>
                <w:sz w:val="22"/>
              </w:rPr>
              <w:t>Certifications</w:t>
            </w:r>
          </w:p>
        </w:tc>
        <w:tc>
          <w:tcPr>
            <w:tcW w:type="dxa" w:w="4873"/>
            <w:vAlign w:val="center"/>
          </w:tcPr>
          <w:p>
            <w:r/>
            <w:r>
              <w:rPr>
                <w:rFonts w:ascii="Figtree" w:hAnsi="Figtree"/>
                <w:b w:val="0"/>
                <w:i w:val="0"/>
                <w:sz w:val="22"/>
              </w:rPr>
              <w:t>ISO 27001, SOC 2 Type II</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