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020976039"/>
        <w:docPartObj>
          <w:docPartGallery w:val="Cover Pages"/>
          <w:docPartUnique/>
        </w:docPartObj>
      </w:sdtPr>
      <w:sdtContent>
        <w:p w14:paraId="52792642" w14:textId="77777777" w:rsidR="001F6184" w:rsidRPr="000A6351" w:rsidRDefault="001F6184">
          <w:pPr>
            <w:rPr>
              <w:color w:val="0000FF"/>
            </w:rPr>
          </w:pPr>
        </w:p>
        <w:tbl>
          <w:tblPr>
            <w:tblpPr w:leftFromText="187" w:rightFromText="187" w:horzAnchor="margin" w:tblpXSpec="center" w:tblpY="2881"/>
            <w:tblW w:w="4000" w:type="pct"/>
            <w:tblBorders>
              <w:left w:val="single" w:sz="12" w:space="0" w:color="000099" w:themeColor="accent1"/>
            </w:tblBorders>
            <w:tblCellMar>
              <w:left w:w="144" w:type="dxa"/>
              <w:right w:w="115" w:type="dxa"/>
            </w:tblCellMar>
            <w:tblLook w:val="04A0" w:firstRow="1" w:lastRow="0" w:firstColumn="1" w:lastColumn="0" w:noHBand="0" w:noVBand="1"/>
          </w:tblPr>
          <w:tblGrid>
            <w:gridCol w:w="7785"/>
          </w:tblGrid>
          <w:tr w:rsidR="001F6184" w:rsidRPr="00A9690B" w14:paraId="61C01F08" w14:textId="77777777" w:rsidTr="004962CD">
            <w:sdt>
              <w:sdtPr>
                <w:rPr>
                  <w:rFonts w:ascii="Figtree" w:hAnsi="Figtree"/>
                  <w:color w:val="000072" w:themeColor="accent1" w:themeShade="BF"/>
                  <w:sz w:val="24"/>
                  <w:szCs w:val="24"/>
                </w:rPr>
                <w:alias w:val="Company"/>
                <w:id w:val="13406915"/>
                <w:placeholder>
                  <w:docPart w:val="02F3537D4C677A4AAC856F674BAF4DF3"/>
                </w:placeholder>
                <w:showingPlcHdr/>
                <w:dataBinding w:prefixMappings="xmlns:ns0='http://schemas.openxmlformats.org/officeDocument/2006/extended-properties'" w:xpath="/ns0:Properties[1]/ns0:Company[1]" w:storeItemID="{6668398D-A668-4E3E-A5EB-62B293D839F1}"/>
                <w:text/>
              </w:sdtPr>
              <w:sdtContent>
                <w:tc>
                  <w:tcPr>
                    <w:tcW w:w="7785" w:type="dxa"/>
                    <w:tcBorders>
                      <w:left w:val="single" w:sz="12" w:space="0" w:color="000099"/>
                    </w:tcBorders>
                    <w:tcMar>
                      <w:top w:w="216" w:type="dxa"/>
                      <w:left w:w="115" w:type="dxa"/>
                      <w:bottom w:w="216" w:type="dxa"/>
                      <w:right w:w="115" w:type="dxa"/>
                    </w:tcMar>
                  </w:tcPr>
                  <w:p w14:paraId="0CBDA06D" w14:textId="77777777" w:rsidR="001F6184" w:rsidRPr="00A9690B" w:rsidRDefault="001F6184">
                    <w:pPr>
                      <w:pStyle w:val="NoSpacing"/>
                      <w:rPr>
                        <w:rFonts w:ascii="Figtree" w:hAnsi="Figtree"/>
                        <w:color w:val="000072" w:themeColor="accent1" w:themeShade="BF"/>
                        <w:sz w:val="24"/>
                      </w:rPr>
                    </w:pPr>
                    <w:r w:rsidRPr="004962CD">
                      <w:rPr>
                        <w:rFonts w:ascii="Figtree" w:hAnsi="Figtree"/>
                        <w:color w:val="000099"/>
                        <w:sz w:val="24"/>
                        <w:szCs w:val="24"/>
                      </w:rPr>
                      <w:t>[Company name]</w:t>
                    </w:r>
                  </w:p>
                </w:tc>
              </w:sdtContent>
            </w:sdt>
          </w:tr>
          <w:tr w:rsidR="001F6184" w:rsidRPr="00A9690B" w14:paraId="3F596671" w14:textId="77777777" w:rsidTr="004962CD">
            <w:tc>
              <w:tcPr>
                <w:tcW w:w="7785" w:type="dxa"/>
                <w:tcBorders>
                  <w:left w:val="single" w:sz="12" w:space="0" w:color="000099"/>
                </w:tcBorders>
              </w:tcPr>
              <w:sdt>
                <w:sdtPr>
                  <w:rPr>
                    <w:rFonts w:ascii="Figtree" w:eastAsiaTheme="majorEastAsia" w:hAnsi="Figtree" w:cstheme="majorBidi"/>
                    <w:color w:val="000099" w:themeColor="accent1"/>
                    <w:sz w:val="88"/>
                    <w:szCs w:val="88"/>
                  </w:rPr>
                  <w:alias w:val="Title"/>
                  <w:id w:val="13406919"/>
                  <w:placeholder>
                    <w:docPart w:val="00F9803809315C46887E272E02859745"/>
                  </w:placeholder>
                  <w:showingPlcHdr/>
                  <w:dataBinding w:prefixMappings="xmlns:ns0='http://schemas.openxmlformats.org/package/2006/metadata/core-properties' xmlns:ns1='http://purl.org/dc/elements/1.1/'" w:xpath="/ns0:coreProperties[1]/ns1:title[1]" w:storeItemID="{6C3C8BC8-F283-45AE-878A-BAB7291924A1}"/>
                  <w:text/>
                </w:sdtPr>
                <w:sdtContent>
                  <w:p w14:paraId="227360E8" w14:textId="77777777" w:rsidR="001F6184" w:rsidRPr="00A9690B" w:rsidRDefault="001F6184">
                    <w:pPr>
                      <w:pStyle w:val="NoSpacing"/>
                      <w:spacing w:line="216" w:lineRule="auto"/>
                      <w:rPr>
                        <w:rFonts w:ascii="Figtree" w:eastAsiaTheme="majorEastAsia" w:hAnsi="Figtree" w:cstheme="majorBidi"/>
                        <w:color w:val="000099" w:themeColor="accent1"/>
                        <w:sz w:val="88"/>
                        <w:szCs w:val="88"/>
                      </w:rPr>
                    </w:pPr>
                    <w:r w:rsidRPr="000A6351">
                      <w:rPr>
                        <w:color w:val="000099"/>
                        <w:sz w:val="74"/>
                        <w:szCs w:val="420"/>
                      </w:rPr>
                      <w:t>[Document title]</w:t>
                    </w:r>
                  </w:p>
                </w:sdtContent>
              </w:sdt>
            </w:tc>
          </w:tr>
          <w:tr w:rsidR="001F6184" w:rsidRPr="00A9690B" w14:paraId="3A6BC0C4" w14:textId="77777777" w:rsidTr="004962CD">
            <w:sdt>
              <w:sdtPr>
                <w:rPr>
                  <w:rFonts w:ascii="Figtree" w:hAnsi="Figtree"/>
                  <w:color w:val="000072" w:themeColor="accent1" w:themeShade="BF"/>
                  <w:sz w:val="24"/>
                  <w:szCs w:val="24"/>
                </w:rPr>
                <w:alias w:val="Subtitle"/>
                <w:id w:val="13406923"/>
                <w:placeholder>
                  <w:docPart w:val="0D460E9532679D4283311473F5C36932"/>
                </w:placeholder>
                <w:showingPlcHdr/>
                <w:dataBinding w:prefixMappings="xmlns:ns0='http://schemas.openxmlformats.org/package/2006/metadata/core-properties' xmlns:ns1='http://purl.org/dc/elements/1.1/'" w:xpath="/ns0:coreProperties[1]/ns1:subject[1]" w:storeItemID="{6C3C8BC8-F283-45AE-878A-BAB7291924A1}"/>
                <w:text/>
              </w:sdtPr>
              <w:sdtContent>
                <w:tc>
                  <w:tcPr>
                    <w:tcW w:w="7785" w:type="dxa"/>
                    <w:tcBorders>
                      <w:left w:val="single" w:sz="12" w:space="0" w:color="000099"/>
                    </w:tcBorders>
                    <w:tcMar>
                      <w:top w:w="216" w:type="dxa"/>
                      <w:left w:w="115" w:type="dxa"/>
                      <w:bottom w:w="216" w:type="dxa"/>
                      <w:right w:w="115" w:type="dxa"/>
                    </w:tcMar>
                  </w:tcPr>
                  <w:p w14:paraId="63BBE5CC" w14:textId="77777777" w:rsidR="001F6184" w:rsidRPr="00A9690B" w:rsidRDefault="001F6184">
                    <w:pPr>
                      <w:pStyle w:val="NoSpacing"/>
                      <w:rPr>
                        <w:rFonts w:ascii="Figtree" w:hAnsi="Figtree"/>
                        <w:color w:val="000072" w:themeColor="accent1" w:themeShade="BF"/>
                        <w:sz w:val="24"/>
                      </w:rPr>
                    </w:pPr>
                    <w:r w:rsidRPr="004962CD">
                      <w:rPr>
                        <w:rFonts w:ascii="Figtree" w:hAnsi="Figtree"/>
                        <w:color w:val="000099"/>
                        <w:sz w:val="24"/>
                        <w:szCs w:val="24"/>
                      </w:rPr>
                      <w:t>[Document subtitle]</w:t>
                    </w:r>
                  </w:p>
                </w:tc>
              </w:sdtContent>
            </w:sdt>
          </w:tr>
        </w:tbl>
        <w:p w14:paraId="52CEEA21" w14:textId="77777777" w:rsidR="001F6184" w:rsidRPr="00A9690B" w:rsidRDefault="001F6184">
          <w:r w:rsidRPr="00A9690B">
            <w:br w:type="page"/>
          </w:r>
        </w:p>
      </w:sdtContent>
    </w:sdt>
    <w:p w14:paraId="66F8E667" w14:textId="77777777" w:rsidR="00E86454" w:rsidRPr="00E86454" w:rsidRDefault="00E86454" w:rsidP="00E86454">
      <w:pPr>
        <w:rPr>
          <w:b/>
          <w:bCs/>
        </w:rPr>
      </w:pPr>
      <w:r w:rsidRPr="00E86454">
        <w:rPr>
          <w:b/>
          <w:bCs/>
        </w:rPr>
        <w:lastRenderedPageBreak/>
        <w:t>Confidentiality Statement</w:t>
      </w:r>
    </w:p>
    <w:p w14:paraId="75ABE544" w14:textId="77777777" w:rsidR="00E86454" w:rsidRDefault="00E86454" w:rsidP="00E86454">
      <w:r>
        <w:t>This document contains confidential and proprietary information of SettleMint. By reading this document, you agree not to disclose the confidential information contained herein to any third party without the prior written consent of SettleMint, except to those agents, principals, representatives, or consultants who require access for the purpose of evaluating this document. You further agree to inform such persons of the confidential nature of this document and to obtain their agreement to preserve its confidentiality to the same extent as yours.</w:t>
      </w:r>
    </w:p>
    <w:p w14:paraId="5E875877" w14:textId="77777777" w:rsidR="00E86454" w:rsidRDefault="00E86454" w:rsidP="00E86454">
      <w:r>
        <w:t>This confidentiality statement shall remain binding on the parties for a period of five (5) years from the date stated on the front cover, unless superseded by confidentiality provisions detailed in a subsequent agreement.</w:t>
      </w:r>
    </w:p>
    <w:p w14:paraId="0959A354" w14:textId="77777777" w:rsidR="00E86454" w:rsidRPr="00E86454" w:rsidRDefault="00E86454" w:rsidP="00E86454">
      <w:pPr>
        <w:rPr>
          <w:b/>
          <w:bCs/>
        </w:rPr>
      </w:pPr>
      <w:r w:rsidRPr="00E86454">
        <w:rPr>
          <w:b/>
          <w:bCs/>
        </w:rPr>
        <w:t>Terms and Conditions</w:t>
      </w:r>
    </w:p>
    <w:p w14:paraId="4EDB75AD" w14:textId="77777777" w:rsidR="00E86454" w:rsidRDefault="00E86454" w:rsidP="00E86454">
      <w:r>
        <w:t>This proposal is valid until [DD Month YYYY]. In the absence of confirmation to proceed, SettleMint and [</w:t>
      </w:r>
      <w:r w:rsidRPr="00E86454">
        <w:rPr>
          <w:color w:val="FF0000"/>
        </w:rPr>
        <w:t>the Company</w:t>
      </w:r>
      <w:r>
        <w:rPr>
          <w:color w:val="FF0000"/>
        </w:rPr>
        <w:t>]</w:t>
      </w:r>
      <w:r w:rsidRPr="00E86454">
        <w:rPr>
          <w:color w:val="FF0000"/>
        </w:rPr>
        <w:t xml:space="preserve"> </w:t>
      </w:r>
      <w:r>
        <w:t>acknowledge and agree to abide by the Mutual NDA as the governing agreement.</w:t>
      </w:r>
    </w:p>
    <w:p w14:paraId="543E5579" w14:textId="77777777" w:rsidR="00E86454" w:rsidRDefault="00E86454" w:rsidP="00E86454">
      <w:r>
        <w:t>SettleMint reserves the right to vary the terms of this proposal in response to changes in specifications or information made available at a later date. Submission of this proposal does not convey any right, title, interest, or license in any intellectual property rights (including, but not limited to, patents, copyrights, trade secrets, or trademarks) contained herein.</w:t>
      </w:r>
    </w:p>
    <w:p w14:paraId="7661E4CF" w14:textId="77777777" w:rsidR="00E86454" w:rsidRDefault="00E86454" w:rsidP="00E86454">
      <w:r>
        <w:t>All rights are reserved. This proposal and the information contained within it are provided on an “as is” basis, without any warranties of any kind, express or implied.</w:t>
      </w:r>
    </w:p>
    <w:p w14:paraId="2493E1F2" w14:textId="77777777" w:rsidR="00E86454" w:rsidRDefault="00E86454" w:rsidP="00E86454">
      <w:r>
        <w:t>All contracts with SettleMint will be governed by Belgian Law and subject to the exclusive jurisdiction of Belgian courts.</w:t>
      </w:r>
    </w:p>
    <w:p w14:paraId="584FC76C" w14:textId="77777777" w:rsidR="00E86454" w:rsidRPr="008A14BF" w:rsidRDefault="00E86454" w:rsidP="00E86454">
      <w:pPr>
        <w:rPr>
          <w:b/>
          <w:bCs/>
        </w:rPr>
      </w:pPr>
      <w:r w:rsidRPr="008A14BF">
        <w:rPr>
          <w:b/>
          <w:bCs/>
        </w:rPr>
        <w:t>Contact Details</w:t>
      </w:r>
    </w:p>
    <w:p w14:paraId="07A25128" w14:textId="77777777" w:rsidR="00E86454" w:rsidRDefault="00E86454" w:rsidP="00E86454">
      <w:r>
        <w:t>For any enquiries regarding this document, please contact:</w:t>
      </w:r>
    </w:p>
    <w:p w14:paraId="7910139D" w14:textId="77777777" w:rsidR="00E86454" w:rsidRDefault="00E86454" w:rsidP="00E86454">
      <w:r>
        <w:t>[Full Name]</w:t>
      </w:r>
    </w:p>
    <w:p w14:paraId="78CD750E" w14:textId="77777777" w:rsidR="00E86454" w:rsidRDefault="00E86454" w:rsidP="00E86454">
      <w:r>
        <w:t>[Job Title]</w:t>
      </w:r>
    </w:p>
    <w:p w14:paraId="7D10800F" w14:textId="77777777" w:rsidR="00E86454" w:rsidRDefault="00E86454" w:rsidP="00E86454">
      <w:r>
        <w:t>Email: [email@example.com]</w:t>
      </w:r>
    </w:p>
    <w:p w14:paraId="7D0DC7E4" w14:textId="77777777" w:rsidR="00AD4564" w:rsidRDefault="00E86454" w:rsidP="00E86454">
      <w:r>
        <w:t>Phone: [Country Code - Number]</w:t>
      </w:r>
    </w:p>
    <w:p w14:paraId="14BA6D31" w14:textId="77777777" w:rsidR="00AD4564" w:rsidRDefault="00AD4564">
      <w:r>
        <w:br w:type="page"/>
      </w:r>
    </w:p>
    <w:p w14:paraId="4EFBB1EA" w14:textId="77777777" w:rsidR="006B6750" w:rsidRPr="00A9690B" w:rsidRDefault="006B6750"/>
    <w:sdt>
      <w:sdtPr>
        <w:rPr>
          <w:rFonts w:ascii="Figtree" w:eastAsiaTheme="minorHAnsi" w:hAnsi="Figtree" w:cstheme="minorBidi"/>
          <w:color w:val="auto"/>
          <w:kern w:val="2"/>
          <w:sz w:val="24"/>
          <w:szCs w:val="24"/>
          <w:lang w:val="en-IN"/>
          <w14:ligatures w14:val="standardContextual"/>
        </w:rPr>
        <w:id w:val="1667814546"/>
        <w:docPartObj>
          <w:docPartGallery w:val="Table of Contents"/>
          <w:docPartUnique/>
        </w:docPartObj>
      </w:sdtPr>
      <w:sdtEndPr>
        <w:rPr>
          <w:b/>
          <w:bCs/>
          <w:noProof/>
        </w:rPr>
      </w:sdtEndPr>
      <w:sdtContent>
        <w:p>
          <w:r>
            <w:t xml:space="preserve">Table of Contents</w:t>
            <w:rPr>
              <w:b/>
              <w:sz w:val="32"/>
              <w:color w:val="000099"/>
            </w:rPr>
          </w:r>
        </w:p>
        <w:p>
          <w:r>
            <w:fldChar w:fldCharType="begin"/>
            <w:instrText xml:space="preserve"> TOC \o "1-4" \h \z \u </w:instrText>
            <w:fldChar w:fldCharType="separate"/>
          </w:r>
        </w:p>
        <w:p>
          <w:pPr>
            <w:ind w:left="720"/>
          </w:pPr>
          <w:r>
            <w:t xml:space="preserve">Table of Contents</w:t>
            <w:rPr>
              <w:sz w:val="22"/>
              <w:rFonts w:ascii="Figtree" w:hAnsi="Figtree"/>
            </w:rPr>
          </w:r>
        </w:p>
        <w:p>
          <w:pPr>
            <w:ind w:left="720"/>
          </w:pPr>
          <w:r>
            <w:t xml:space="preserve">Executive Summary</w:t>
            <w:rPr>
              <w:sz w:val="22"/>
              <w:rFonts w:ascii="Figtree" w:hAnsi="Figtree"/>
            </w:rPr>
          </w:r>
        </w:p>
        <w:p>
          <w:pPr>
            <w:ind w:left="720"/>
          </w:pPr>
          <w:r>
            <w:t xml:space="preserve">Understanding the Central Bank of UAE's Programme Objectives</w:t>
            <w:rPr>
              <w:sz w:val="22"/>
              <w:rFonts w:ascii="Figtree" w:hAnsi="Figtree"/>
            </w:rPr>
          </w:r>
        </w:p>
        <w:p>
          <w:pPr>
            <w:ind w:left="1440"/>
          </w:pPr>
          <w:r>
            <w:t xml:space="preserve">The Digital Dirham Vision</w:t>
            <w:rPr>
              <w:sz w:val="22"/>
              <w:rFonts w:ascii="Figtree" w:hAnsi="Figtree"/>
            </w:rPr>
          </w:r>
        </w:p>
        <w:p>
          <w:pPr>
            <w:ind w:left="1440"/>
          </w:pPr>
          <w:r>
            <w:t xml:space="preserve">Sovereign-Grade Requirements</w:t>
            <w:rPr>
              <w:sz w:val="22"/>
              <w:rFonts w:ascii="Figtree" w:hAnsi="Figtree"/>
            </w:rPr>
          </w:r>
        </w:p>
        <w:p>
          <w:pPr>
            <w:ind w:left="720"/>
          </w:pPr>
          <w:r>
            <w:t xml:space="preserve">Technical Architecture for CBDC Operations</w:t>
            <w:rPr>
              <w:sz w:val="22"/>
              <w:rFonts w:ascii="Figtree" w:hAnsi="Figtree"/>
            </w:rPr>
          </w:r>
        </w:p>
        <w:p>
          <w:pPr>
            <w:ind w:left="1440"/>
          </w:pPr>
          <w:r>
            <w:t xml:space="preserve">Four-Layer Architecture Adapted for CBDC</w:t>
            <w:rPr>
              <w:sz w:val="22"/>
              <w:rFonts w:ascii="Figtree" w:hAnsi="Figtree"/>
            </w:rPr>
          </w:r>
        </w:p>
        <w:p>
          <w:pPr>
            <w:ind w:left="1440"/>
          </w:pPr>
          <w:r>
            <w:t xml:space="preserve">Network Architecture</w:t>
            <w:rPr>
              <w:sz w:val="22"/>
              <w:rFonts w:ascii="Figtree" w:hAnsi="Figtree"/>
            </w:rPr>
          </w:r>
        </w:p>
        <w:p>
          <w:pPr>
            <w:ind w:left="1440"/>
          </w:pPr>
          <w:r>
            <w:t xml:space="preserve">Deployment for UAE</w:t>
            <w:rPr>
              <w:sz w:val="22"/>
              <w:rFonts w:ascii="Figtree" w:hAnsi="Figtree"/>
            </w:rPr>
          </w:r>
        </w:p>
        <w:p>
          <w:pPr>
            <w:ind w:left="720"/>
          </w:pPr>
          <w:r>
            <w:t xml:space="preserve">Token Architecture for Digital Dirham</w:t>
            <w:rPr>
              <w:sz w:val="22"/>
              <w:rFonts w:ascii="Figtree" w:hAnsi="Figtree"/>
            </w:rPr>
          </w:r>
        </w:p>
        <w:p>
          <w:pPr>
            <w:ind w:left="1440"/>
          </w:pPr>
          <w:r>
            <w:t xml:space="preserve">Digital Dirham Token Design</w:t>
            <w:rPr>
              <w:sz w:val="22"/>
              <w:rFonts w:ascii="Figtree" w:hAnsi="Figtree"/>
            </w:rPr>
          </w:r>
        </w:p>
        <w:p>
          <w:pPr>
            <w:ind w:left="1440"/>
          </w:pPr>
          <w:r>
            <w:t xml:space="preserve">Two-Tier Distribution Model</w:t>
            <w:rPr>
              <w:sz w:val="22"/>
              <w:rFonts w:ascii="Figtree" w:hAnsi="Figtree"/>
            </w:rPr>
          </w:r>
        </w:p>
        <w:p>
          <w:pPr>
            <w:ind w:left="720"/>
          </w:pPr>
          <w:r>
            <w:t xml:space="preserve">Identity, Compliance, and Regulatory Controls</w:t>
            <w:rPr>
              <w:sz w:val="22"/>
              <w:rFonts w:ascii="Figtree" w:hAnsi="Figtree"/>
            </w:rPr>
          </w:r>
        </w:p>
        <w:p>
          <w:pPr>
            <w:ind w:left="1440"/>
          </w:pPr>
          <w:r>
            <w:t xml:space="preserve">Multi-Tier Identity Model</w:t>
            <w:rPr>
              <w:sz w:val="22"/>
              <w:rFonts w:ascii="Figtree" w:hAnsi="Figtree"/>
            </w:rPr>
          </w:r>
        </w:p>
        <w:p>
          <w:pPr>
            <w:ind w:left="1440"/>
          </w:pPr>
          <w:r>
            <w:t xml:space="preserve">AML/CFT Integration</w:t>
            <w:rPr>
              <w:sz w:val="22"/>
              <w:rFonts w:ascii="Figtree" w:hAnsi="Figtree"/>
            </w:rPr>
          </w:r>
        </w:p>
        <w:p>
          <w:pPr>
            <w:ind w:left="720"/>
          </w:pPr>
          <w:r>
            <w:t xml:space="preserve">Distribution, Settlement, and Interoperability</w:t>
            <w:rPr>
              <w:sz w:val="22"/>
              <w:rFonts w:ascii="Figtree" w:hAnsi="Figtree"/>
            </w:rPr>
          </w:r>
        </w:p>
        <w:p>
          <w:pPr>
            <w:ind w:left="1440"/>
          </w:pPr>
          <w:r>
            <w:t xml:space="preserve">Cross-Border Settlement</w:t>
            <w:rPr>
              <w:sz w:val="22"/>
              <w:rFonts w:ascii="Figtree" w:hAnsi="Figtree"/>
            </w:rPr>
          </w:r>
        </w:p>
        <w:p>
          <w:pPr>
            <w:ind w:left="1440"/>
          </w:pPr>
          <w:r>
            <w:t xml:space="preserve">Wholesale Settlement</w:t>
            <w:rPr>
              <w:sz w:val="22"/>
              <w:rFonts w:ascii="Figtree" w:hAnsi="Figtree"/>
            </w:rPr>
          </w:r>
        </w:p>
        <w:p>
          <w:pPr>
            <w:ind w:left="720"/>
          </w:pPr>
          <w:r>
            <w:t xml:space="preserve">Security, Resilience, and Sovereign-Grade Assurance</w:t>
            <w:rPr>
              <w:sz w:val="22"/>
              <w:rFonts w:ascii="Figtree" w:hAnsi="Figtree"/>
            </w:rPr>
          </w:r>
        </w:p>
        <w:p>
          <w:pPr>
            <w:ind w:left="1440"/>
          </w:pPr>
          <w:r>
            <w:t xml:space="preserve">Security for Sovereign Infrastructure</w:t>
            <w:rPr>
              <w:sz w:val="22"/>
              <w:rFonts w:ascii="Figtree" w:hAnsi="Figtree"/>
            </w:rPr>
          </w:r>
        </w:p>
        <w:p>
          <w:pPr>
            <w:ind w:left="1440"/>
          </w:pPr>
          <w:r>
            <w:t xml:space="preserve">Operational Resilience</w:t>
            <w:rPr>
              <w:sz w:val="22"/>
              <w:rFonts w:ascii="Figtree" w:hAnsi="Figtree"/>
            </w:rPr>
          </w:r>
        </w:p>
        <w:p>
          <w:pPr>
            <w:ind w:left="720"/>
          </w:pPr>
          <w:r>
            <w:t xml:space="preserve">Implementation Approach and Delivery Phases</w:t>
            <w:rPr>
              <w:sz w:val="22"/>
              <w:rFonts w:ascii="Figtree" w:hAnsi="Figtree"/>
            </w:rPr>
          </w:r>
        </w:p>
        <w:p>
          <w:pPr>
            <w:ind w:left="1440"/>
          </w:pPr>
          <w:r>
            <w:t xml:space="preserve">Phased Implementation</w:t>
            <w:rPr>
              <w:sz w:val="22"/>
              <w:rFonts w:ascii="Figtree" w:hAnsi="Figtree"/>
            </w:rPr>
          </w:r>
        </w:p>
        <w:p>
          <w:pPr>
            <w:ind w:left="720"/>
          </w:pPr>
          <w:r>
            <w:t xml:space="preserve">Current Coverage, Dependencies, and Qualified Gaps</w:t>
            <w:rPr>
              <w:sz w:val="22"/>
              <w:rFonts w:ascii="Figtree" w:hAnsi="Figtree"/>
            </w:rPr>
          </w:r>
        </w:p>
        <w:p>
          <w:pPr>
            <w:ind w:left="1440"/>
          </w:pPr>
          <w:r>
            <w:t xml:space="preserve">Coverage Summary</w:t>
            <w:rPr>
              <w:sz w:val="22"/>
              <w:rFonts w:ascii="Figtree" w:hAnsi="Figtree"/>
            </w:rPr>
          </w:r>
        </w:p>
        <w:p>
          <w:pPr>
            <w:ind w:left="1440"/>
          </w:pPr>
          <w:r>
            <w:t xml:space="preserve">Qualified Gaps</w:t>
            <w:rPr>
              <w:sz w:val="22"/>
              <w:rFonts w:ascii="Figtree" w:hAnsi="Figtree"/>
            </w:rPr>
          </w:r>
        </w:p>
        <w:p>
          <w:pPr>
            <w:ind w:left="720"/>
          </w:pPr>
          <w:r>
            <w:t xml:space="preserve">Relevant Delivery Evidence</w:t>
            <w:rPr>
              <w:sz w:val="22"/>
              <w:rFonts w:ascii="Figtree" w:hAnsi="Figtree"/>
            </w:rPr>
          </w:r>
        </w:p>
        <w:p>
          <w:pPr>
            <w:ind w:left="1440"/>
          </w:pPr>
          <w:r>
            <w:t xml:space="preserve">State Bank of India — CBDC at National Scale</w:t>
            <w:rPr>
              <w:sz w:val="22"/>
              <w:rFonts w:ascii="Figtree" w:hAnsi="Figtree"/>
            </w:rPr>
          </w:r>
        </w:p>
        <w:p>
          <w:pPr>
            <w:ind w:left="720"/>
          </w:pPr>
          <w:r>
            <w:t xml:space="preserve">Appendices</w:t>
            <w:rPr>
              <w:sz w:val="22"/>
              <w:rFonts w:ascii="Figtree" w:hAnsi="Figtree"/>
            </w:rPr>
          </w:r>
        </w:p>
        <w:p>
          <w:pPr>
            <w:ind w:left="1440"/>
          </w:pPr>
          <w:r>
            <w:t xml:space="preserve">Appendix A: Glossary</w:t>
            <w:rPr>
              <w:sz w:val="22"/>
              <w:rFonts w:ascii="Figtree" w:hAnsi="Figtree"/>
            </w:rPr>
          </w:r>
        </w:p>
        <w:p>
          <w:r>
            <w:fldChar w:fldCharType="end"/>
          </w:r>
        </w:p>
      </w:sdtContent>
    </w:sdt>
    <w:p w14:paraId="71724572" w14:textId="77777777" w:rsidR="006B6750" w:rsidRPr="00A9690B" w:rsidRDefault="006B6750"/>
    <w:p w14:paraId="47DF0F8A" w14:textId="77777777" w:rsidR="006B6750" w:rsidRPr="00A9690B" w:rsidRDefault="006B6750"/>
    <w:p w14:paraId="5363F4FA" w14:textId="77777777" w:rsidR="006B6750" w:rsidRPr="00A9690B" w:rsidRDefault="006B6750"/>
    <w:p w14:paraId="3CB9FE7A" w14:textId="77777777" w:rsidR="006B6750" w:rsidRPr="00A9690B" w:rsidRDefault="006B6750" w:rsidP="0018162B">
      <w:pPr>
        <w:rPr>
          <w:rFonts w:eastAsiaTheme="majorEastAsia" w:cstheme="majorBidi"/>
          <w:b/>
          <w:color w:val="0070C0"/>
          <w:sz w:val="32"/>
          <w:szCs w:val="40"/>
        </w:rPr>
      </w:pPr>
      <w:r w:rsidRPr="00A9690B">
        <w:br w:type="page"/>
      </w:r>
    </w:p>
    <w:tbl>
      <w:tblPr>
        <w:tblStyle w:val="TableGrid"/>
        <w:tblW w:type="auto" w:w="0"/>
        <w:jc w:val="center"/>
        <w:tblLook w:firstColumn="1" w:firstRow="1" w:lastColumn="0" w:lastRow="0" w:noHBand="0" w:noVBand="1" w:val="04A0"/>
      </w:tblPr>
      <w:tblGrid>
        <w:gridCol w:w="4873"/>
        <w:gridCol w:w="4873"/>
      </w:tblGrid>
      <w:tr>
        <w:trPr>
          <w:trHeight w:val="624" w:hRule="atLeast"/>
        </w:trPr>
        <w:tc>
          <w:tcPr>
            <w:tcW w:type="dxa" w:w="4873"/>
            <w:vAlign w:val="center"/>
            <w:shd w:fill="000099" w:val="clear"/>
          </w:tcPr>
          <w:p>
            <w:r>
              <w:rPr>
                <w:b/>
                <w:color w:val="FFFFFF"/>
              </w:rPr>
            </w:r>
            <w:r>
              <w:rPr>
                <w:rFonts w:ascii="Figtree" w:hAnsi="Figtree"/>
                <w:b/>
                <w:i w:val="0"/>
                <w:color w:val="FFFFFF"/>
                <w:sz w:val="22"/>
              </w:rPr>
              <w:t>Field</w:t>
            </w:r>
          </w:p>
        </w:tc>
        <w:tc>
          <w:tcPr>
            <w:tcW w:type="dxa" w:w="4873"/>
            <w:vAlign w:val="center"/>
            <w:shd w:fill="000099" w:val="clear"/>
          </w:tcPr>
          <w:p>
            <w:r>
              <w:rPr>
                <w:b/>
                <w:color w:val="FFFFFF"/>
              </w:rPr>
            </w:r>
            <w:r>
              <w:rPr>
                <w:rFonts w:ascii="Figtree" w:hAnsi="Figtree"/>
                <w:b/>
                <w:i w:val="0"/>
                <w:color w:val="FFFFFF"/>
                <w:sz w:val="22"/>
              </w:rPr>
              <w:t>Value</w:t>
            </w:r>
          </w:p>
        </w:tc>
      </w:tr>
      <w:tr>
        <w:trPr>
          <w:trHeight w:val="454" w:hRule="atLeast"/>
        </w:trPr>
        <w:tc>
          <w:tcPr>
            <w:tcW w:type="dxa" w:w="4873"/>
            <w:vAlign w:val="center"/>
          </w:tcPr>
          <w:p>
            <w:r/>
            <w:r>
              <w:rPr>
                <w:rFonts w:ascii="Figtree" w:hAnsi="Figtree"/>
                <w:b w:val="0"/>
                <w:i w:val="0"/>
                <w:sz w:val="22"/>
              </w:rPr>
              <w:t>Proposal title</w:t>
            </w:r>
          </w:p>
        </w:tc>
        <w:tc>
          <w:tcPr>
            <w:tcW w:type="dxa" w:w="4873"/>
            <w:vAlign w:val="center"/>
          </w:tcPr>
          <w:p>
            <w:r/>
            <w:r>
              <w:rPr>
                <w:rFonts w:ascii="Figtree" w:hAnsi="Figtree"/>
                <w:b w:val="0"/>
                <w:i w:val="0"/>
                <w:sz w:val="22"/>
              </w:rPr>
              <w:t>Technical Proposal — CBDC and Digital Dirham Enabling Infrastructure</w:t>
            </w:r>
          </w:p>
        </w:tc>
      </w:tr>
      <w:tr>
        <w:trPr>
          <w:trHeight w:val="454" w:hRule="atLeast"/>
        </w:trPr>
        <w:tc>
          <w:tcPr>
            <w:tcW w:type="dxa" w:w="4873"/>
            <w:vAlign w:val="center"/>
          </w:tcPr>
          <w:p>
            <w:r/>
            <w:r>
              <w:rPr>
                <w:rFonts w:ascii="Figtree" w:hAnsi="Figtree"/>
                <w:b w:val="0"/>
                <w:i w:val="0"/>
                <w:sz w:val="22"/>
              </w:rPr>
              <w:t>Client</w:t>
            </w:r>
          </w:p>
        </w:tc>
        <w:tc>
          <w:tcPr>
            <w:tcW w:type="dxa" w:w="4873"/>
            <w:vAlign w:val="center"/>
          </w:tcPr>
          <w:p>
            <w:r/>
            <w:r>
              <w:rPr>
                <w:rFonts w:ascii="Figtree" w:hAnsi="Figtree"/>
                <w:b w:val="0"/>
                <w:i w:val="0"/>
                <w:sz w:val="22"/>
              </w:rPr>
              <w:t>Central Bank of UAE</w:t>
            </w:r>
          </w:p>
        </w:tc>
      </w:tr>
      <w:tr>
        <w:trPr>
          <w:trHeight w:val="454" w:hRule="atLeast"/>
        </w:trPr>
        <w:tc>
          <w:tcPr>
            <w:tcW w:type="dxa" w:w="4873"/>
            <w:vAlign w:val="center"/>
          </w:tcPr>
          <w:p>
            <w:r/>
            <w:r>
              <w:rPr>
                <w:rFonts w:ascii="Figtree" w:hAnsi="Figtree"/>
                <w:b w:val="0"/>
                <w:i w:val="0"/>
                <w:sz w:val="22"/>
              </w:rPr>
              <w:t>Submitted by</w:t>
            </w:r>
          </w:p>
        </w:tc>
        <w:tc>
          <w:tcPr>
            <w:tcW w:type="dxa" w:w="4873"/>
            <w:vAlign w:val="center"/>
          </w:tcPr>
          <w:p>
            <w:r/>
            <w:r>
              <w:rPr>
                <w:rFonts w:ascii="Figtree" w:hAnsi="Figtree"/>
                <w:b w:val="0"/>
                <w:i w:val="0"/>
                <w:sz w:val="22"/>
              </w:rPr>
              <w:t>SettleMint NV</w:t>
            </w:r>
          </w:p>
        </w:tc>
      </w:tr>
      <w:tr>
        <w:trPr>
          <w:trHeight w:val="454" w:hRule="atLeast"/>
        </w:trPr>
        <w:tc>
          <w:tcPr>
            <w:tcW w:type="dxa" w:w="4873"/>
            <w:vAlign w:val="center"/>
          </w:tcPr>
          <w:p>
            <w:r/>
            <w:r>
              <w:rPr>
                <w:rFonts w:ascii="Figtree" w:hAnsi="Figtree"/>
                <w:b w:val="0"/>
                <w:i w:val="0"/>
                <w:sz w:val="22"/>
              </w:rPr>
              <w:t>Date</w:t>
            </w:r>
          </w:p>
        </w:tc>
        <w:tc>
          <w:tcPr>
            <w:tcW w:type="dxa" w:w="4873"/>
            <w:vAlign w:val="center"/>
          </w:tcPr>
          <w:p>
            <w:r/>
            <w:r>
              <w:rPr>
                <w:rFonts w:ascii="Figtree" w:hAnsi="Figtree"/>
                <w:b w:val="0"/>
                <w:i w:val="0"/>
                <w:sz w:val="22"/>
              </w:rPr>
              <w:t>March 2026</w:t>
            </w:r>
          </w:p>
        </w:tc>
      </w:tr>
      <w:tr>
        <w:trPr>
          <w:trHeight w:val="454" w:hRule="atLeast"/>
        </w:trPr>
        <w:tc>
          <w:tcPr>
            <w:tcW w:type="dxa" w:w="4873"/>
            <w:vAlign w:val="center"/>
          </w:tcPr>
          <w:p>
            <w:r/>
            <w:r>
              <w:rPr>
                <w:rFonts w:ascii="Figtree" w:hAnsi="Figtree"/>
                <w:b w:val="0"/>
                <w:i w:val="0"/>
                <w:sz w:val="22"/>
              </w:rPr>
              <w:t>Version</w:t>
            </w:r>
          </w:p>
        </w:tc>
        <w:tc>
          <w:tcPr>
            <w:tcW w:type="dxa" w:w="4873"/>
            <w:vAlign w:val="center"/>
          </w:tcPr>
          <w:p>
            <w:r/>
            <w:r>
              <w:rPr>
                <w:rFonts w:ascii="Figtree" w:hAnsi="Figtree"/>
                <w:b w:val="0"/>
                <w:i w:val="0"/>
                <w:sz w:val="22"/>
              </w:rPr>
              <w:t>v1.0</w:t>
            </w:r>
          </w:p>
        </w:tc>
      </w:tr>
      <w:tr>
        <w:trPr>
          <w:trHeight w:val="454" w:hRule="atLeast"/>
        </w:trPr>
        <w:tc>
          <w:tcPr>
            <w:tcW w:type="dxa" w:w="4873"/>
            <w:vAlign w:val="center"/>
          </w:tcPr>
          <w:p>
            <w:r/>
            <w:r>
              <w:rPr>
                <w:rFonts w:ascii="Figtree" w:hAnsi="Figtree"/>
                <w:b w:val="0"/>
                <w:i w:val="0"/>
                <w:sz w:val="22"/>
              </w:rPr>
              <w:t>Confidentiality</w:t>
            </w:r>
          </w:p>
        </w:tc>
        <w:tc>
          <w:tcPr>
            <w:tcW w:type="dxa" w:w="4873"/>
            <w:vAlign w:val="center"/>
          </w:tcPr>
          <w:p>
            <w:r/>
            <w:r>
              <w:rPr>
                <w:rFonts w:ascii="Figtree" w:hAnsi="Figtree"/>
                <w:b w:val="0"/>
                <w:i w:val="0"/>
                <w:sz w:val="22"/>
              </w:rPr>
              <w:t>Restricted</w:t>
            </w:r>
          </w:p>
        </w:tc>
      </w:tr>
      <w:tr>
        <w:trPr>
          <w:trHeight w:val="454" w:hRule="atLeast"/>
        </w:trPr>
        <w:tc>
          <w:tcPr>
            <w:tcW w:type="dxa" w:w="4873"/>
            <w:vAlign w:val="center"/>
          </w:tcPr>
          <w:p>
            <w:r/>
            <w:r>
              <w:rPr>
                <w:rFonts w:ascii="Figtree" w:hAnsi="Figtree"/>
                <w:b w:val="0"/>
                <w:i w:val="0"/>
                <w:sz w:val="22"/>
              </w:rPr>
              <w:t>RFP Reference</w:t>
            </w:r>
          </w:p>
        </w:tc>
        <w:tc>
          <w:tcPr>
            <w:tcW w:type="dxa" w:w="4873"/>
            <w:vAlign w:val="center"/>
          </w:tcPr>
          <w:p>
            <w:r/>
            <w:r>
              <w:rPr>
                <w:rFonts w:ascii="Figtree" w:hAnsi="Figtree"/>
                <w:b w:val="0"/>
                <w:i w:val="0"/>
                <w:sz w:val="22"/>
              </w:rPr>
              <w:t>CENTRAL-BANK-OF-UAE-RFP-CBDC-DIGITAL-DIRHAM-INFRASTRUCTURE-202603</w:t>
            </w:r>
          </w:p>
        </w:tc>
      </w:tr>
      <w:tr>
        <w:trPr>
          <w:trHeight w:val="454" w:hRule="atLeast"/>
        </w:trPr>
        <w:tc>
          <w:tcPr>
            <w:tcW w:type="dxa" w:w="4873"/>
            <w:vAlign w:val="center"/>
          </w:tcPr>
          <w:p>
            <w:r/>
            <w:r>
              <w:rPr>
                <w:rFonts w:ascii="Figtree" w:hAnsi="Figtree"/>
                <w:b w:val="0"/>
                <w:i w:val="0"/>
                <w:sz w:val="22"/>
              </w:rPr>
              <w:t>Primary contact</w:t>
            </w:r>
          </w:p>
        </w:tc>
        <w:tc>
          <w:tcPr>
            <w:tcW w:type="dxa" w:w="4873"/>
            <w:vAlign w:val="center"/>
          </w:tcPr>
          <w:p>
            <w:r/>
            <w:r>
              <w:rPr>
                <w:rFonts w:ascii="Figtree" w:hAnsi="Figtree"/>
                <w:b w:val="0"/>
                <w:i w:val="0"/>
                <w:sz w:val="22"/>
              </w:rPr>
              <w:t>Adam Popat, CEO</w:t>
            </w:r>
          </w:p>
        </w:tc>
      </w:tr>
    </w:tbl>
    <w:p>
      <w:r>
        <w:br w:type="page"/>
      </w:r>
    </w:p>
    <w:p>
      <w:pPr>
        <w:pStyle w:val="H2"/>
        <w:numPr>
          <w:ilvl w:val="1"/>
          <w:numId w:val="1"/>
        </w:numPr>
      </w:pPr>
      <w:r>
        <w:t>Table of Contents</w:t>
      </w:r>
    </w:p>
    <w:p>
      <w:pPr>
        <w:pStyle w:val="ListParagraph"/>
        <w:numPr>
          <w:ilvl w:val="0"/>
          <w:numId w:val="4"/>
        </w:numPr>
      </w:pPr>
      <w:r>
        <w:rPr>
          <w:rFonts w:ascii="Figtree" w:hAnsi="Figtree"/>
          <w:b w:val="0"/>
          <w:i w:val="0"/>
          <w:sz w:val="22"/>
        </w:rPr>
        <w:t>Executive Summary</w:t>
      </w:r>
    </w:p>
    <w:p>
      <w:pPr>
        <w:pStyle w:val="ListParagraph"/>
        <w:numPr>
          <w:ilvl w:val="0"/>
          <w:numId w:val="4"/>
        </w:numPr>
      </w:pPr>
      <w:r>
        <w:rPr>
          <w:rFonts w:ascii="Figtree" w:hAnsi="Figtree"/>
          <w:b w:val="0"/>
          <w:i w:val="0"/>
          <w:sz w:val="22"/>
        </w:rPr>
        <w:t>Understanding the Central Bank of UAE's Programme Objectives</w:t>
      </w:r>
    </w:p>
    <w:p>
      <w:pPr>
        <w:pStyle w:val="ListParagraph"/>
        <w:numPr>
          <w:ilvl w:val="0"/>
          <w:numId w:val="4"/>
        </w:numPr>
      </w:pPr>
      <w:r>
        <w:rPr>
          <w:rFonts w:ascii="Figtree" w:hAnsi="Figtree"/>
          <w:b w:val="0"/>
          <w:i w:val="0"/>
          <w:sz w:val="22"/>
        </w:rPr>
        <w:t>Proposed DALP Operating Model for Digital Dirham Infrastructure</w:t>
      </w:r>
    </w:p>
    <w:p>
      <w:pPr>
        <w:pStyle w:val="ListParagraph"/>
        <w:numPr>
          <w:ilvl w:val="0"/>
          <w:numId w:val="4"/>
        </w:numPr>
      </w:pPr>
      <w:r>
        <w:rPr>
          <w:rFonts w:ascii="Figtree" w:hAnsi="Figtree"/>
          <w:b w:val="0"/>
          <w:i w:val="0"/>
          <w:sz w:val="22"/>
        </w:rPr>
        <w:t>Technical Architecture for CBDC Operations</w:t>
      </w:r>
    </w:p>
    <w:p>
      <w:pPr>
        <w:pStyle w:val="ListParagraph"/>
        <w:numPr>
          <w:ilvl w:val="0"/>
          <w:numId w:val="4"/>
        </w:numPr>
      </w:pPr>
      <w:r>
        <w:rPr>
          <w:rFonts w:ascii="Figtree" w:hAnsi="Figtree"/>
          <w:b w:val="0"/>
          <w:i w:val="0"/>
          <w:sz w:val="22"/>
        </w:rPr>
        <w:t>Token Architecture for Digital Dirham</w:t>
      </w:r>
    </w:p>
    <w:p>
      <w:pPr>
        <w:pStyle w:val="ListParagraph"/>
        <w:numPr>
          <w:ilvl w:val="0"/>
          <w:numId w:val="4"/>
        </w:numPr>
      </w:pPr>
      <w:r>
        <w:rPr>
          <w:rFonts w:ascii="Figtree" w:hAnsi="Figtree"/>
          <w:b w:val="0"/>
          <w:i w:val="0"/>
          <w:sz w:val="22"/>
        </w:rPr>
        <w:t>Identity, Compliance, and Regulatory Controls</w:t>
      </w:r>
    </w:p>
    <w:p>
      <w:pPr>
        <w:pStyle w:val="ListParagraph"/>
        <w:numPr>
          <w:ilvl w:val="0"/>
          <w:numId w:val="4"/>
        </w:numPr>
      </w:pPr>
      <w:r>
        <w:rPr>
          <w:rFonts w:ascii="Figtree" w:hAnsi="Figtree"/>
          <w:b w:val="0"/>
          <w:i w:val="0"/>
          <w:sz w:val="22"/>
        </w:rPr>
        <w:t>Distribution, Settlement, and Interoperability</w:t>
      </w:r>
    </w:p>
    <w:p>
      <w:pPr>
        <w:pStyle w:val="ListParagraph"/>
        <w:numPr>
          <w:ilvl w:val="0"/>
          <w:numId w:val="4"/>
        </w:numPr>
      </w:pPr>
      <w:r>
        <w:rPr>
          <w:rFonts w:ascii="Figtree" w:hAnsi="Figtree"/>
          <w:b w:val="0"/>
          <w:i w:val="0"/>
          <w:sz w:val="22"/>
        </w:rPr>
        <w:t>Security, Resilience, and Sovereign-Grade Assurance</w:t>
      </w:r>
    </w:p>
    <w:p>
      <w:pPr>
        <w:pStyle w:val="ListParagraph"/>
        <w:numPr>
          <w:ilvl w:val="0"/>
          <w:numId w:val="4"/>
        </w:numPr>
      </w:pPr>
      <w:r>
        <w:rPr>
          <w:rFonts w:ascii="Figtree" w:hAnsi="Figtree"/>
          <w:b w:val="0"/>
          <w:i w:val="0"/>
          <w:sz w:val="22"/>
        </w:rPr>
        <w:t>Implementation Approach and Delivery Phases</w:t>
      </w:r>
    </w:p>
    <w:p>
      <w:pPr>
        <w:pStyle w:val="ListParagraph"/>
        <w:numPr>
          <w:ilvl w:val="0"/>
          <w:numId w:val="4"/>
        </w:numPr>
      </w:pPr>
      <w:r>
        <w:rPr>
          <w:rFonts w:ascii="Figtree" w:hAnsi="Figtree"/>
          <w:b w:val="0"/>
          <w:i w:val="0"/>
          <w:sz w:val="22"/>
        </w:rPr>
        <w:t>Current Coverage, Dependencies, and Qualified Gaps</w:t>
      </w:r>
    </w:p>
    <w:p>
      <w:pPr>
        <w:pStyle w:val="ListParagraph"/>
        <w:numPr>
          <w:ilvl w:val="0"/>
          <w:numId w:val="4"/>
        </w:numPr>
      </w:pPr>
      <w:r>
        <w:rPr>
          <w:rFonts w:ascii="Figtree" w:hAnsi="Figtree"/>
          <w:b w:val="0"/>
          <w:i w:val="0"/>
          <w:sz w:val="22"/>
        </w:rPr>
        <w:t>Relevant Delivery Evidence</w:t>
      </w:r>
    </w:p>
    <w:p>
      <w:pPr>
        <w:pStyle w:val="ListParagraph"/>
        <w:numPr>
          <w:ilvl w:val="0"/>
          <w:numId w:val="4"/>
        </w:numPr>
      </w:pPr>
      <w:r>
        <w:rPr>
          <w:rFonts w:ascii="Figtree" w:hAnsi="Figtree"/>
          <w:b w:val="0"/>
          <w:i w:val="0"/>
          <w:sz w:val="22"/>
        </w:rPr>
        <w:t>Appendices</w:t>
      </w:r>
    </w:p>
    <w:p>
      <w:r>
        <w:br w:type="page"/>
      </w:r>
    </w:p>
    <w:p>
      <w:pPr>
        <w:pStyle w:val="H2"/>
        <w:numPr>
          <w:ilvl w:val="1"/>
          <w:numId w:val="1"/>
        </w:numPr>
      </w:pPr>
      <w:r>
        <w:t>Executive Summary</w:t>
      </w:r>
    </w:p>
    <w:p>
      <w:r>
        <w:rPr>
          <w:rFonts w:ascii="Figtree" w:hAnsi="Figtree"/>
          <w:b w:val="0"/>
          <w:i w:val="0"/>
          <w:sz w:val="22"/>
        </w:rPr>
        <w:t>The Central Bank of UAE (CBUAE) has identified CBDC and Digital Dirham enabling infrastructure as a sovereign-critical capability. This procurement will determine whether the market can supply a platform and implementation model capable of supporting a national digital currency at the transaction volumes, security requirements, and governance standards expected of sovereign monetary infrastructure.</w:t>
      </w:r>
    </w:p>
    <w:p>
      <w:r>
        <w:rPr>
          <w:rFonts w:ascii="Figtree" w:hAnsi="Figtree"/>
          <w:b w:val="0"/>
          <w:i w:val="0"/>
          <w:sz w:val="22"/>
        </w:rPr>
        <w:t>SettleMint's Digital Asset Lifecycle Platform (DALP) directly addresses this requirement. DALP provides the token issuance, distribution, compliance enforcement, and lifecycle management infrastructure required for a production-grade CBDC — with the identity controls, regulatory transparency, and operational resilience that sovereign implementations demand.</w:t>
      </w:r>
    </w:p>
    <w:p>
      <w:r>
        <w:rPr>
          <w:rFonts w:ascii="Figtree" w:hAnsi="Figtree"/>
          <w:b/>
          <w:i w:val="0"/>
          <w:sz w:val="22"/>
        </w:rPr>
        <w:t>Why DALP is suited for the Digital Dirham programme:</w:t>
      </w:r>
    </w:p>
    <w:p>
      <w:pPr>
        <w:pStyle w:val="ListParagraph"/>
        <w:numPr>
          <w:ilvl w:val="0"/>
          <w:numId w:val="4"/>
        </w:numPr>
      </w:pPr>
      <w:r>
        <w:rPr>
          <w:rFonts w:ascii="Figtree" w:hAnsi="Figtree"/>
          <w:b/>
          <w:i w:val="0"/>
          <w:sz w:val="22"/>
        </w:rPr>
        <w:t>Proven CBDC delivery.</w:t>
      </w:r>
      <w:r>
        <w:rPr>
          <w:rFonts w:ascii="Figtree" w:hAnsi="Figtree"/>
          <w:b w:val="0"/>
          <w:i w:val="0"/>
          <w:sz w:val="22"/>
        </w:rPr>
        <w:t xml:space="preserve"> DALP powers the State Bank of India's e-Rupee (eR) CBDC infrastructure — designed for over one billion projected daily transactions. The pilot phase is complete and production deployment is underway. This is the most directly relevant reference for the CBUAE's Digital Dirham programme.</w:t>
      </w:r>
    </w:p>
    <w:p>
      <w:pPr>
        <w:pStyle w:val="ListParagraph"/>
        <w:numPr>
          <w:ilvl w:val="0"/>
          <w:numId w:val="4"/>
        </w:numPr>
      </w:pPr>
      <w:r>
        <w:rPr>
          <w:rFonts w:ascii="Figtree" w:hAnsi="Figtree"/>
          <w:b/>
          <w:i w:val="0"/>
          <w:sz w:val="22"/>
        </w:rPr>
        <w:t>Sovereign-scale architecture.</w:t>
      </w:r>
      <w:r>
        <w:rPr>
          <w:rFonts w:ascii="Figtree" w:hAnsi="Figtree"/>
          <w:b w:val="0"/>
          <w:i w:val="0"/>
          <w:sz w:val="22"/>
        </w:rPr>
        <w:t xml:space="preserve"> DALP's four-layer architecture separates the token logic, compliance enforcement, middleware orchestration, and application interfaces into independently scalable layers. The platform has been deployed at country scale for Saudi Arabia's Real Estate Registry, processing live production transactions since January 2026.</w:t>
      </w:r>
    </w:p>
    <w:p>
      <w:pPr>
        <w:pStyle w:val="ListParagraph"/>
        <w:numPr>
          <w:ilvl w:val="0"/>
          <w:numId w:val="4"/>
        </w:numPr>
      </w:pPr>
      <w:r>
        <w:rPr>
          <w:rFonts w:ascii="Figtree" w:hAnsi="Figtree"/>
          <w:b/>
          <w:i w:val="0"/>
          <w:sz w:val="22"/>
        </w:rPr>
        <w:t>Compliance-embedded design.</w:t>
      </w:r>
      <w:r>
        <w:rPr>
          <w:rFonts w:ascii="Figtree" w:hAnsi="Figtree"/>
          <w:b w:val="0"/>
          <w:i w:val="0"/>
          <w:sz w:val="22"/>
        </w:rPr>
        <w:t xml:space="preserve"> DALP's compliance engine enforces KYC/AML verification, jurisdiction controls, transaction limits, and regulatory reporting at the smart contract level. For a CBDC, this means every digital dirham transaction carries its compliance context — identity verification, sanctions screening integration, and transaction monitoring hooks — as structural properties of the currency, not application-layer overlays.</w:t>
      </w:r>
    </w:p>
    <w:p>
      <w:pPr>
        <w:pStyle w:val="ListParagraph"/>
        <w:numPr>
          <w:ilvl w:val="0"/>
          <w:numId w:val="4"/>
        </w:numPr>
      </w:pPr>
      <w:r>
        <w:rPr>
          <w:rFonts w:ascii="Figtree" w:hAnsi="Figtree"/>
          <w:b/>
          <w:i w:val="0"/>
          <w:sz w:val="22"/>
        </w:rPr>
        <w:t>Cross-border interoperability.</w:t>
      </w:r>
      <w:r>
        <w:rPr>
          <w:rFonts w:ascii="Figtree" w:hAnsi="Figtree"/>
          <w:b w:val="0"/>
          <w:i w:val="0"/>
          <w:sz w:val="22"/>
        </w:rPr>
        <w:t xml:space="preserve"> DALP supports multi-network deployment and cross-chain settlement. For the CBUAE's cross-border ambitions — building on Project Aber with Saudi Arabia and mBridge with HKMA, BIS, and others — the platform provides the interoperability layer required for cross-border CBDC settlement.</w:t>
      </w:r>
    </w:p>
    <w:p>
      <w:pPr>
        <w:jc w:val="center"/>
      </w:pPr>
      <w:r>
        <w:drawing>
          <wp:inline xmlns:a="http://schemas.openxmlformats.org/drawingml/2006/main" xmlns:pic="http://schemas.openxmlformats.org/drawingml/2006/picture">
            <wp:extent cx="5486400" cy="3477986"/>
            <wp:docPr id="1" name="Picture 1"/>
            <wp:cNvGraphicFramePr>
              <a:graphicFrameLocks noChangeAspect="1"/>
            </wp:cNvGraphicFramePr>
            <a:graphic>
              <a:graphicData uri="http://schemas.openxmlformats.org/drawingml/2006/picture">
                <pic:pic>
                  <pic:nvPicPr>
                    <pic:cNvPr id="0" name="_diagram-001.png"/>
                    <pic:cNvPicPr/>
                  </pic:nvPicPr>
                  <pic:blipFill>
                    <a:blip r:embed="rId13"/>
                    <a:stretch>
                      <a:fillRect/>
                    </a:stretch>
                  </pic:blipFill>
                  <pic:spPr>
                    <a:xfrm>
                      <a:off x="0" y="0"/>
                      <a:ext cx="5486400" cy="3477986"/>
                    </a:xfrm>
                    <a:prstGeom prst="rect"/>
                  </pic:spPr>
                </pic:pic>
              </a:graphicData>
            </a:graphic>
          </wp:inline>
        </w:drawing>
      </w:r>
    </w:p>
    <w:p>
      <w:r>
        <w:br w:type="page"/>
      </w:r>
    </w:p>
    <w:p>
      <w:pPr>
        <w:pStyle w:val="H2"/>
        <w:numPr>
          <w:ilvl w:val="1"/>
          <w:numId w:val="1"/>
        </w:numPr>
      </w:pPr>
      <w:r>
        <w:t>Understanding the Central Bank of UAE's Programme Objectives</w:t>
      </w:r>
    </w:p>
    <w:p>
      <w:pPr>
        <w:pStyle w:val="H3"/>
        <w:numPr>
          <w:ilvl w:val="2"/>
          <w:numId w:val="1"/>
        </w:numPr>
      </w:pPr>
      <w:r>
        <w:t>The Digital Dirham Vision</w:t>
      </w:r>
    </w:p>
    <w:p>
      <w:r>
        <w:rPr>
          <w:rFonts w:ascii="Figtree" w:hAnsi="Figtree"/>
          <w:b w:val="0"/>
          <w:i w:val="0"/>
          <w:sz w:val="22"/>
        </w:rPr>
        <w:t>The CBUAE's Digital Dirham programme represents the UAE's commitment to sovereign digital currency infrastructure. Building on Project Aber (cross-border CBDC with Saudi Arabia) and participation in mBridge (multi-CBDC platform with HKMA, Bank of Thailand, and People's Bank of China via BIS), the CBUAE requires infrastructure that supports:</w:t>
      </w:r>
    </w:p>
    <w:p>
      <w:pPr>
        <w:pStyle w:val="ListParagraph"/>
        <w:numPr>
          <w:ilvl w:val="0"/>
          <w:numId w:val="6"/>
        </w:numPr>
      </w:pPr>
      <w:r>
        <w:rPr>
          <w:rFonts w:ascii="Figtree" w:hAnsi="Figtree"/>
          <w:b/>
          <w:i w:val="0"/>
          <w:sz w:val="22"/>
        </w:rPr>
        <w:t>Wholesale CBDC</w:t>
      </w:r>
      <w:r>
        <w:rPr>
          <w:rFonts w:ascii="Figtree" w:hAnsi="Figtree"/>
          <w:b w:val="0"/>
          <w:i w:val="0"/>
          <w:sz w:val="22"/>
        </w:rPr>
        <w:t xml:space="preserve"> for interbank settlement with deterministic finality</w:t>
      </w:r>
    </w:p>
    <w:p>
      <w:pPr>
        <w:pStyle w:val="ListParagraph"/>
        <w:numPr>
          <w:ilvl w:val="0"/>
          <w:numId w:val="6"/>
        </w:numPr>
      </w:pPr>
      <w:r>
        <w:rPr>
          <w:rFonts w:ascii="Figtree" w:hAnsi="Figtree"/>
          <w:b/>
          <w:i w:val="0"/>
          <w:sz w:val="22"/>
        </w:rPr>
        <w:t>Retail CBDC</w:t>
      </w:r>
      <w:r>
        <w:rPr>
          <w:rFonts w:ascii="Figtree" w:hAnsi="Figtree"/>
          <w:b w:val="0"/>
          <w:i w:val="0"/>
          <w:sz w:val="22"/>
        </w:rPr>
        <w:t xml:space="preserve"> for consumer and merchant payments with offline capability considerations</w:t>
      </w:r>
    </w:p>
    <w:p>
      <w:pPr>
        <w:pStyle w:val="ListParagraph"/>
        <w:numPr>
          <w:ilvl w:val="0"/>
          <w:numId w:val="6"/>
        </w:numPr>
      </w:pPr>
      <w:r>
        <w:rPr>
          <w:rFonts w:ascii="Figtree" w:hAnsi="Figtree"/>
          <w:b/>
          <w:i w:val="0"/>
          <w:sz w:val="22"/>
        </w:rPr>
        <w:t>Cross-border settlement</w:t>
      </w:r>
      <w:r>
        <w:rPr>
          <w:rFonts w:ascii="Figtree" w:hAnsi="Figtree"/>
          <w:b w:val="0"/>
          <w:i w:val="0"/>
          <w:sz w:val="22"/>
        </w:rPr>
        <w:t xml:space="preserve"> building on Project Aber and mBridge architecture</w:t>
      </w:r>
    </w:p>
    <w:p>
      <w:pPr>
        <w:pStyle w:val="ListParagraph"/>
        <w:numPr>
          <w:ilvl w:val="0"/>
          <w:numId w:val="6"/>
        </w:numPr>
      </w:pPr>
      <w:r>
        <w:rPr>
          <w:rFonts w:ascii="Figtree" w:hAnsi="Figtree"/>
          <w:b/>
          <w:i w:val="0"/>
          <w:sz w:val="22"/>
        </w:rPr>
        <w:t>Programmable money</w:t>
      </w:r>
      <w:r>
        <w:rPr>
          <w:rFonts w:ascii="Figtree" w:hAnsi="Figtree"/>
          <w:b w:val="0"/>
          <w:i w:val="0"/>
          <w:sz w:val="22"/>
        </w:rPr>
        <w:t xml:space="preserve"> for government disbursements, subsidy distribution, and conditional payments</w:t>
      </w:r>
    </w:p>
    <w:p>
      <w:pPr>
        <w:pStyle w:val="H3"/>
        <w:numPr>
          <w:ilvl w:val="2"/>
          <w:numId w:val="1"/>
        </w:numPr>
      </w:pPr>
      <w:r>
        <w:t>Sovereign-Grade Requirements</w:t>
      </w:r>
    </w:p>
    <w:p>
      <w:r>
        <w:rPr>
          <w:rFonts w:ascii="Figtree" w:hAnsi="Figtree"/>
          <w:b w:val="0"/>
          <w:i w:val="0"/>
          <w:sz w:val="22"/>
        </w:rPr>
        <w:t>A CBDC platform for the CBUAE must meet requirements fundamentally different from commercial tokenization:</w:t>
      </w:r>
    </w:p>
    <w:p>
      <w:pPr>
        <w:pStyle w:val="ListParagraph"/>
        <w:numPr>
          <w:ilvl w:val="0"/>
          <w:numId w:val="4"/>
        </w:numPr>
      </w:pPr>
      <w:r>
        <w:rPr>
          <w:rFonts w:ascii="Figtree" w:hAnsi="Figtree"/>
          <w:b/>
          <w:i w:val="0"/>
          <w:sz w:val="22"/>
        </w:rPr>
        <w:t>Monetary sovereignty:</w:t>
      </w:r>
      <w:r>
        <w:rPr>
          <w:rFonts w:ascii="Figtree" w:hAnsi="Figtree"/>
          <w:b w:val="0"/>
          <w:i w:val="0"/>
          <w:sz w:val="22"/>
        </w:rPr>
        <w:t xml:space="preserve"> The CBUAE must retain absolute control over issuance, supply management, and monetary policy enforcement</w:t>
      </w:r>
    </w:p>
    <w:p>
      <w:pPr>
        <w:pStyle w:val="ListParagraph"/>
        <w:numPr>
          <w:ilvl w:val="0"/>
          <w:numId w:val="4"/>
        </w:numPr>
      </w:pPr>
      <w:r>
        <w:rPr>
          <w:rFonts w:ascii="Figtree" w:hAnsi="Figtree"/>
          <w:b/>
          <w:i w:val="0"/>
          <w:sz w:val="22"/>
        </w:rPr>
        <w:t>Universal accessibility:</w:t>
      </w:r>
      <w:r>
        <w:rPr>
          <w:rFonts w:ascii="Figtree" w:hAnsi="Figtree"/>
          <w:b w:val="0"/>
          <w:i w:val="0"/>
          <w:sz w:val="22"/>
        </w:rPr>
        <w:t xml:space="preserve"> The infrastructure must support the entire UAE financial ecosystem — banks, payment providers, merchants, and consumers</w:t>
      </w:r>
    </w:p>
    <w:p>
      <w:pPr>
        <w:pStyle w:val="ListParagraph"/>
        <w:numPr>
          <w:ilvl w:val="0"/>
          <w:numId w:val="4"/>
        </w:numPr>
      </w:pPr>
      <w:r>
        <w:rPr>
          <w:rFonts w:ascii="Figtree" w:hAnsi="Figtree"/>
          <w:b/>
          <w:i w:val="0"/>
          <w:sz w:val="22"/>
        </w:rPr>
        <w:t>Regulatory transparency:</w:t>
      </w:r>
      <w:r>
        <w:rPr>
          <w:rFonts w:ascii="Figtree" w:hAnsi="Figtree"/>
          <w:b w:val="0"/>
          <w:i w:val="0"/>
          <w:sz w:val="22"/>
        </w:rPr>
        <w:t xml:space="preserve"> Every transaction must be available for regulatory review while preserving appropriate privacy boundaries</w:t>
      </w:r>
    </w:p>
    <w:p>
      <w:pPr>
        <w:pStyle w:val="ListParagraph"/>
        <w:numPr>
          <w:ilvl w:val="0"/>
          <w:numId w:val="4"/>
        </w:numPr>
      </w:pPr>
      <w:r>
        <w:rPr>
          <w:rFonts w:ascii="Figtree" w:hAnsi="Figtree"/>
          <w:b/>
          <w:i w:val="0"/>
          <w:sz w:val="22"/>
        </w:rPr>
        <w:t>Resilience at national scale:</w:t>
      </w:r>
      <w:r>
        <w:rPr>
          <w:rFonts w:ascii="Figtree" w:hAnsi="Figtree"/>
          <w:b w:val="0"/>
          <w:i w:val="0"/>
          <w:sz w:val="22"/>
        </w:rPr>
        <w:t xml:space="preserve"> The platform must operate with the same availability expectations as core national payment infrastructure</w:t>
      </w:r>
    </w:p>
    <w:p>
      <w:pPr>
        <w:jc w:val="center"/>
      </w:pPr>
      <w:r>
        <w:drawing>
          <wp:inline xmlns:a="http://schemas.openxmlformats.org/drawingml/2006/main" xmlns:pic="http://schemas.openxmlformats.org/drawingml/2006/picture">
            <wp:extent cx="5486400" cy="2778190"/>
            <wp:docPr id="2" name="Picture 2"/>
            <wp:cNvGraphicFramePr>
              <a:graphicFrameLocks noChangeAspect="1"/>
            </wp:cNvGraphicFramePr>
            <a:graphic>
              <a:graphicData uri="http://schemas.openxmlformats.org/drawingml/2006/picture">
                <pic:pic>
                  <pic:nvPicPr>
                    <pic:cNvPr id="0" name="_diagram-002.png"/>
                    <pic:cNvPicPr/>
                  </pic:nvPicPr>
                  <pic:blipFill>
                    <a:blip r:embed="rId14"/>
                    <a:stretch>
                      <a:fillRect/>
                    </a:stretch>
                  </pic:blipFill>
                  <pic:spPr>
                    <a:xfrm>
                      <a:off x="0" y="0"/>
                      <a:ext cx="5486400" cy="2778190"/>
                    </a:xfrm>
                    <a:prstGeom prst="rect"/>
                  </pic:spPr>
                </pic:pic>
              </a:graphicData>
            </a:graphic>
          </wp:inline>
        </w:drawing>
      </w:r>
    </w:p>
    <w:p>
      <w:r>
        <w:br w:type="page"/>
      </w:r>
    </w:p>
    <w:p>
      <w:pPr>
        <w:pStyle w:val="H2"/>
        <w:numPr>
          <w:ilvl w:val="1"/>
          <w:numId w:val="1"/>
        </w:numPr>
      </w:pPr>
      <w:r>
        <w:t>Technical Architecture for CBDC Operations</w:t>
      </w:r>
    </w:p>
    <w:p>
      <w:pPr>
        <w:pStyle w:val="H3"/>
        <w:numPr>
          <w:ilvl w:val="2"/>
          <w:numId w:val="1"/>
        </w:numPr>
      </w:pPr>
      <w:r>
        <w:t>Four-Layer Architecture Adapted for CBDC</w:t>
      </w:r>
    </w:p>
    <w:p>
      <w:r>
        <w:rPr>
          <w:rFonts w:ascii="Figtree" w:hAnsi="Figtree"/>
          <w:b w:val="0"/>
          <w:i w:val="0"/>
          <w:sz w:val="22"/>
        </w:rPr>
        <w:t>DALP's architecture is adapted for CBDC requirements with emphasis on sovereign control, high-throughput transaction processing, and multi-tier distribution:</w:t>
      </w:r>
    </w:p>
    <w:p>
      <w:pPr>
        <w:jc w:val="center"/>
      </w:pPr>
      <w:r>
        <w:drawing>
          <wp:inline xmlns:a="http://schemas.openxmlformats.org/drawingml/2006/main" xmlns:pic="http://schemas.openxmlformats.org/drawingml/2006/picture">
            <wp:extent cx="5486400" cy="5682343"/>
            <wp:docPr id="3" name="Picture 3"/>
            <wp:cNvGraphicFramePr>
              <a:graphicFrameLocks noChangeAspect="1"/>
            </wp:cNvGraphicFramePr>
            <a:graphic>
              <a:graphicData uri="http://schemas.openxmlformats.org/drawingml/2006/picture">
                <pic:pic>
                  <pic:nvPicPr>
                    <pic:cNvPr id="0" name="_diagram-003.png"/>
                    <pic:cNvPicPr/>
                  </pic:nvPicPr>
                  <pic:blipFill>
                    <a:blip r:embed="rId15"/>
                    <a:stretch>
                      <a:fillRect/>
                    </a:stretch>
                  </pic:blipFill>
                  <pic:spPr>
                    <a:xfrm>
                      <a:off x="0" y="0"/>
                      <a:ext cx="5486400" cy="5682343"/>
                    </a:xfrm>
                    <a:prstGeom prst="rect"/>
                  </pic:spPr>
                </pic:pic>
              </a:graphicData>
            </a:graphic>
          </wp:inline>
        </w:drawing>
      </w:r>
    </w:p>
    <w:p>
      <w:pPr>
        <w:pStyle w:val="H3"/>
        <w:numPr>
          <w:ilvl w:val="2"/>
          <w:numId w:val="1"/>
        </w:numPr>
      </w:pPr>
      <w:r>
        <w:t>Network Architecture</w:t>
      </w:r>
    </w:p>
    <w:p>
      <w:r>
        <w:rPr>
          <w:rFonts w:ascii="Figtree" w:hAnsi="Figtree"/>
          <w:b w:val="0"/>
          <w:i w:val="0"/>
          <w:sz w:val="22"/>
        </w:rPr>
        <w:t xml:space="preserve">For the CBUAE, we recommend a </w:t>
      </w:r>
      <w:r>
        <w:rPr>
          <w:rFonts w:ascii="Figtree" w:hAnsi="Figtree"/>
          <w:b/>
          <w:i w:val="0"/>
          <w:sz w:val="22"/>
        </w:rPr>
        <w:t>permissioned Hyperledger Besu network</w:t>
      </w:r>
      <w:r>
        <w:rPr>
          <w:rFonts w:ascii="Figtree" w:hAnsi="Figtree"/>
          <w:b w:val="0"/>
          <w:i w:val="0"/>
          <w:sz w:val="22"/>
        </w:rPr>
        <w:t xml:space="preserve"> with IBFT 2.0 consensus:</w:t>
      </w:r>
    </w:p>
    <w:tbl>
      <w:tblPr>
        <w:tblStyle w:val="TableGrid"/>
        <w:tblW w:type="auto" w:w="0"/>
        <w:jc w:val="center"/>
        <w:tblLook w:firstColumn="1" w:firstRow="1" w:lastColumn="0" w:lastRow="0" w:noHBand="0" w:noVBand="1" w:val="04A0"/>
      </w:tblPr>
      <w:tblGrid>
        <w:gridCol w:w="3249"/>
        <w:gridCol w:w="3249"/>
        <w:gridCol w:w="3249"/>
      </w:tblGrid>
      <w:tr>
        <w:trPr>
          <w:trHeight w:val="624" w:hRule="atLeast"/>
        </w:trPr>
        <w:tc>
          <w:tcPr>
            <w:tcW w:type="dxa" w:w="3249"/>
            <w:vAlign w:val="center"/>
            <w:shd w:fill="000099" w:val="clear"/>
          </w:tcPr>
          <w:p>
            <w:r>
              <w:rPr>
                <w:b/>
                <w:color w:val="FFFFFF"/>
              </w:rPr>
            </w:r>
            <w:r>
              <w:rPr>
                <w:rFonts w:ascii="Figtree" w:hAnsi="Figtree"/>
                <w:b/>
                <w:i w:val="0"/>
                <w:color w:val="FFFFFF"/>
                <w:sz w:val="22"/>
              </w:rPr>
              <w:t>Component</w:t>
            </w:r>
          </w:p>
        </w:tc>
        <w:tc>
          <w:tcPr>
            <w:tcW w:type="dxa" w:w="3249"/>
            <w:vAlign w:val="center"/>
            <w:shd w:fill="000099" w:val="clear"/>
          </w:tcPr>
          <w:p>
            <w:r>
              <w:rPr>
                <w:b/>
                <w:color w:val="FFFFFF"/>
              </w:rPr>
            </w:r>
            <w:r>
              <w:rPr>
                <w:rFonts w:ascii="Figtree" w:hAnsi="Figtree"/>
                <w:b/>
                <w:i w:val="0"/>
                <w:color w:val="FFFFFF"/>
                <w:sz w:val="22"/>
              </w:rPr>
              <w:t>Configuration</w:t>
            </w:r>
          </w:p>
        </w:tc>
        <w:tc>
          <w:tcPr>
            <w:tcW w:type="dxa" w:w="3249"/>
            <w:vAlign w:val="center"/>
            <w:shd w:fill="000099" w:val="clear"/>
          </w:tcPr>
          <w:p>
            <w:r>
              <w:rPr>
                <w:b/>
                <w:color w:val="FFFFFF"/>
              </w:rPr>
            </w:r>
            <w:r>
              <w:rPr>
                <w:rFonts w:ascii="Figtree" w:hAnsi="Figtree"/>
                <w:b/>
                <w:i w:val="0"/>
                <w:color w:val="FFFFFF"/>
                <w:sz w:val="22"/>
              </w:rPr>
              <w:t>Rationale</w:t>
            </w:r>
          </w:p>
        </w:tc>
      </w:tr>
      <w:tr>
        <w:trPr>
          <w:trHeight w:val="454" w:hRule="atLeast"/>
        </w:trPr>
        <w:tc>
          <w:tcPr>
            <w:tcW w:type="dxa" w:w="3249"/>
            <w:vAlign w:val="center"/>
          </w:tcPr>
          <w:p>
            <w:r/>
            <w:r>
              <w:rPr>
                <w:rFonts w:ascii="Figtree" w:hAnsi="Figtree"/>
                <w:b w:val="0"/>
                <w:i w:val="0"/>
                <w:sz w:val="22"/>
              </w:rPr>
              <w:t>Consensus</w:t>
            </w:r>
          </w:p>
        </w:tc>
        <w:tc>
          <w:tcPr>
            <w:tcW w:type="dxa" w:w="3249"/>
            <w:vAlign w:val="center"/>
          </w:tcPr>
          <w:p>
            <w:r/>
            <w:r>
              <w:rPr>
                <w:rFonts w:ascii="Figtree" w:hAnsi="Figtree"/>
                <w:b w:val="0"/>
                <w:i w:val="0"/>
                <w:sz w:val="22"/>
              </w:rPr>
              <w:t>IBFT 2.0 (Istanbul BFT)</w:t>
            </w:r>
          </w:p>
        </w:tc>
        <w:tc>
          <w:tcPr>
            <w:tcW w:type="dxa" w:w="3249"/>
            <w:vAlign w:val="center"/>
          </w:tcPr>
          <w:p>
            <w:r/>
            <w:r>
              <w:rPr>
                <w:rFonts w:ascii="Figtree" w:hAnsi="Figtree"/>
                <w:b w:val="0"/>
                <w:i w:val="0"/>
                <w:sz w:val="22"/>
              </w:rPr>
              <w:t>Deterministic finality, regulatory-compliant</w:t>
            </w:r>
          </w:p>
        </w:tc>
      </w:tr>
      <w:tr>
        <w:trPr>
          <w:trHeight w:val="454" w:hRule="atLeast"/>
        </w:trPr>
        <w:tc>
          <w:tcPr>
            <w:tcW w:type="dxa" w:w="3249"/>
            <w:vAlign w:val="center"/>
          </w:tcPr>
          <w:p>
            <w:r/>
            <w:r>
              <w:rPr>
                <w:rFonts w:ascii="Figtree" w:hAnsi="Figtree"/>
                <w:b w:val="0"/>
                <w:i w:val="0"/>
                <w:sz w:val="22"/>
              </w:rPr>
              <w:t>Validator nodes</w:t>
            </w:r>
          </w:p>
        </w:tc>
        <w:tc>
          <w:tcPr>
            <w:tcW w:type="dxa" w:w="3249"/>
            <w:vAlign w:val="center"/>
          </w:tcPr>
          <w:p>
            <w:r/>
            <w:r>
              <w:rPr>
                <w:rFonts w:ascii="Figtree" w:hAnsi="Figtree"/>
                <w:b w:val="0"/>
                <w:i w:val="0"/>
                <w:sz w:val="22"/>
              </w:rPr>
              <w:t>Operated by CBUAE + selected licensed banks</w:t>
            </w:r>
          </w:p>
        </w:tc>
        <w:tc>
          <w:tcPr>
            <w:tcW w:type="dxa" w:w="3249"/>
            <w:vAlign w:val="center"/>
          </w:tcPr>
          <w:p>
            <w:r/>
            <w:r>
              <w:rPr>
                <w:rFonts w:ascii="Figtree" w:hAnsi="Figtree"/>
                <w:b w:val="0"/>
                <w:i w:val="0"/>
                <w:sz w:val="22"/>
              </w:rPr>
              <w:t>Sovereign control over network governance</w:t>
            </w:r>
          </w:p>
        </w:tc>
      </w:tr>
      <w:tr>
        <w:trPr>
          <w:trHeight w:val="454" w:hRule="atLeast"/>
        </w:trPr>
        <w:tc>
          <w:tcPr>
            <w:tcW w:type="dxa" w:w="3249"/>
            <w:vAlign w:val="center"/>
          </w:tcPr>
          <w:p>
            <w:r/>
            <w:r>
              <w:rPr>
                <w:rFonts w:ascii="Figtree" w:hAnsi="Figtree"/>
                <w:b w:val="0"/>
                <w:i w:val="0"/>
                <w:sz w:val="22"/>
              </w:rPr>
              <w:t>Transaction privacy</w:t>
            </w:r>
          </w:p>
        </w:tc>
        <w:tc>
          <w:tcPr>
            <w:tcW w:type="dxa" w:w="3249"/>
            <w:vAlign w:val="center"/>
          </w:tcPr>
          <w:p>
            <w:r/>
            <w:r>
              <w:rPr>
                <w:rFonts w:ascii="Figtree" w:hAnsi="Figtree"/>
                <w:b w:val="0"/>
                <w:i w:val="0"/>
                <w:sz w:val="22"/>
              </w:rPr>
              <w:t>Private transaction groups per Besu privacy</w:t>
            </w:r>
          </w:p>
        </w:tc>
        <w:tc>
          <w:tcPr>
            <w:tcW w:type="dxa" w:w="3249"/>
            <w:vAlign w:val="center"/>
          </w:tcPr>
          <w:p>
            <w:r/>
            <w:r>
              <w:rPr>
                <w:rFonts w:ascii="Figtree" w:hAnsi="Figtree"/>
                <w:b w:val="0"/>
                <w:i w:val="0"/>
                <w:sz w:val="22"/>
              </w:rPr>
              <w:t>Selective disclosure for regulatory vs. commercial data</w:t>
            </w:r>
          </w:p>
        </w:tc>
      </w:tr>
      <w:tr>
        <w:trPr>
          <w:trHeight w:val="454" w:hRule="atLeast"/>
        </w:trPr>
        <w:tc>
          <w:tcPr>
            <w:tcW w:type="dxa" w:w="3249"/>
            <w:vAlign w:val="center"/>
          </w:tcPr>
          <w:p>
            <w:r/>
            <w:r>
              <w:rPr>
                <w:rFonts w:ascii="Figtree" w:hAnsi="Figtree"/>
                <w:b w:val="0"/>
                <w:i w:val="0"/>
                <w:sz w:val="22"/>
              </w:rPr>
              <w:t>Network throughput</w:t>
            </w:r>
          </w:p>
        </w:tc>
        <w:tc>
          <w:tcPr>
            <w:tcW w:type="dxa" w:w="3249"/>
            <w:vAlign w:val="center"/>
          </w:tcPr>
          <w:p>
            <w:r/>
            <w:r>
              <w:rPr>
                <w:rFonts w:ascii="Figtree" w:hAnsi="Figtree"/>
                <w:b w:val="0"/>
                <w:i w:val="0"/>
                <w:sz w:val="22"/>
              </w:rPr>
              <w:t>Tested at 500+ concurrent settlement instructions</w:t>
            </w:r>
          </w:p>
        </w:tc>
        <w:tc>
          <w:tcPr>
            <w:tcW w:type="dxa" w:w="3249"/>
            <w:vAlign w:val="center"/>
          </w:tcPr>
          <w:p>
            <w:r/>
            <w:r>
              <w:rPr>
                <w:rFonts w:ascii="Figtree" w:hAnsi="Figtree"/>
                <w:b w:val="0"/>
                <w:i w:val="0"/>
                <w:sz w:val="22"/>
              </w:rPr>
              <w:t>Scalable to CBDC transaction volumes</w:t>
            </w:r>
          </w:p>
        </w:tc>
      </w:tr>
      <w:tr>
        <w:trPr>
          <w:trHeight w:val="454" w:hRule="atLeast"/>
        </w:trPr>
        <w:tc>
          <w:tcPr>
            <w:tcW w:type="dxa" w:w="3249"/>
            <w:vAlign w:val="center"/>
          </w:tcPr>
          <w:p>
            <w:r/>
            <w:r>
              <w:rPr>
                <w:rFonts w:ascii="Figtree" w:hAnsi="Figtree"/>
                <w:b w:val="0"/>
                <w:i w:val="0"/>
                <w:sz w:val="22"/>
              </w:rPr>
              <w:t>Finality</w:t>
            </w:r>
          </w:p>
        </w:tc>
        <w:tc>
          <w:tcPr>
            <w:tcW w:type="dxa" w:w="3249"/>
            <w:vAlign w:val="center"/>
          </w:tcPr>
          <w:p>
            <w:r/>
            <w:r>
              <w:rPr>
                <w:rFonts w:ascii="Figtree" w:hAnsi="Figtree"/>
                <w:b w:val="0"/>
                <w:i w:val="0"/>
                <w:sz w:val="22"/>
              </w:rPr>
              <w:t>Under 3 seconds median, 4.1 seconds P99</w:t>
            </w:r>
          </w:p>
        </w:tc>
        <w:tc>
          <w:tcPr>
            <w:tcW w:type="dxa" w:w="3249"/>
            <w:vAlign w:val="center"/>
          </w:tcPr>
          <w:p>
            <w:r/>
            <w:r>
              <w:rPr>
                <w:rFonts w:ascii="Figtree" w:hAnsi="Figtree"/>
                <w:b w:val="0"/>
                <w:i w:val="0"/>
                <w:sz w:val="22"/>
              </w:rPr>
              <w:t>Deterministic, not probabilistic</w:t>
            </w:r>
          </w:p>
        </w:tc>
      </w:tr>
    </w:tbl>
    <w:p>
      <w:pPr>
        <w:pStyle w:val="H3"/>
        <w:numPr>
          <w:ilvl w:val="2"/>
          <w:numId w:val="1"/>
        </w:numPr>
      </w:pPr>
      <w:r>
        <w:t>Deployment for UAE</w:t>
      </w:r>
    </w:p>
    <w:tbl>
      <w:tblPr>
        <w:tblStyle w:val="TableGrid"/>
        <w:tblW w:type="auto" w:w="0"/>
        <w:jc w:val="center"/>
        <w:tblLook w:firstColumn="1" w:firstRow="1" w:lastColumn="0" w:lastRow="0" w:noHBand="0" w:noVBand="1" w:val="04A0"/>
      </w:tblPr>
      <w:tblGrid>
        <w:gridCol w:w="4873"/>
        <w:gridCol w:w="4873"/>
      </w:tblGrid>
      <w:tr>
        <w:trPr>
          <w:trHeight w:val="624" w:hRule="atLeast"/>
        </w:trPr>
        <w:tc>
          <w:tcPr>
            <w:tcW w:type="dxa" w:w="4873"/>
            <w:vAlign w:val="center"/>
            <w:shd w:fill="000099" w:val="clear"/>
          </w:tcPr>
          <w:p>
            <w:r>
              <w:rPr>
                <w:b/>
                <w:color w:val="FFFFFF"/>
              </w:rPr>
            </w:r>
            <w:r>
              <w:rPr>
                <w:rFonts w:ascii="Figtree" w:hAnsi="Figtree"/>
                <w:b/>
                <w:i w:val="0"/>
                <w:color w:val="FFFFFF"/>
                <w:sz w:val="22"/>
              </w:rPr>
              <w:t>Environment</w:t>
            </w:r>
          </w:p>
        </w:tc>
        <w:tc>
          <w:tcPr>
            <w:tcW w:type="dxa" w:w="4873"/>
            <w:vAlign w:val="center"/>
            <w:shd w:fill="000099" w:val="clear"/>
          </w:tcPr>
          <w:p>
            <w:r>
              <w:rPr>
                <w:b/>
                <w:color w:val="FFFFFF"/>
              </w:rPr>
            </w:r>
            <w:r>
              <w:rPr>
                <w:rFonts w:ascii="Figtree" w:hAnsi="Figtree"/>
                <w:b/>
                <w:i w:val="0"/>
                <w:color w:val="FFFFFF"/>
                <w:sz w:val="22"/>
              </w:rPr>
              <w:t>Purpose</w:t>
            </w:r>
          </w:p>
        </w:tc>
      </w:tr>
      <w:tr>
        <w:trPr>
          <w:trHeight w:val="454" w:hRule="atLeast"/>
        </w:trPr>
        <w:tc>
          <w:tcPr>
            <w:tcW w:type="dxa" w:w="4873"/>
            <w:vAlign w:val="center"/>
          </w:tcPr>
          <w:p>
            <w:r/>
            <w:r>
              <w:rPr>
                <w:rFonts w:ascii="Figtree" w:hAnsi="Figtree"/>
                <w:b w:val="0"/>
                <w:i w:val="0"/>
                <w:sz w:val="22"/>
              </w:rPr>
              <w:t>Development</w:t>
            </w:r>
          </w:p>
        </w:tc>
        <w:tc>
          <w:tcPr>
            <w:tcW w:type="dxa" w:w="4873"/>
            <w:vAlign w:val="center"/>
          </w:tcPr>
          <w:p>
            <w:r/>
            <w:r>
              <w:rPr>
                <w:rFonts w:ascii="Figtree" w:hAnsi="Figtree"/>
                <w:b w:val="0"/>
                <w:i w:val="0"/>
                <w:sz w:val="22"/>
              </w:rPr>
              <w:t>Feature development, API integration testing</w:t>
            </w:r>
          </w:p>
        </w:tc>
      </w:tr>
      <w:tr>
        <w:trPr>
          <w:trHeight w:val="454" w:hRule="atLeast"/>
        </w:trPr>
        <w:tc>
          <w:tcPr>
            <w:tcW w:type="dxa" w:w="4873"/>
            <w:vAlign w:val="center"/>
          </w:tcPr>
          <w:p>
            <w:r/>
            <w:r>
              <w:rPr>
                <w:rFonts w:ascii="Figtree" w:hAnsi="Figtree"/>
                <w:b w:val="0"/>
                <w:i w:val="0"/>
                <w:sz w:val="22"/>
              </w:rPr>
              <w:t>UAT / Staging</w:t>
            </w:r>
          </w:p>
        </w:tc>
        <w:tc>
          <w:tcPr>
            <w:tcW w:type="dxa" w:w="4873"/>
            <w:vAlign w:val="center"/>
          </w:tcPr>
          <w:p>
            <w:r/>
            <w:r>
              <w:rPr>
                <w:rFonts w:ascii="Figtree" w:hAnsi="Figtree"/>
                <w:b w:val="0"/>
                <w:i w:val="0"/>
                <w:sz w:val="22"/>
              </w:rPr>
              <w:t>Bank integration testing, regulatory review</w:t>
            </w:r>
          </w:p>
        </w:tc>
      </w:tr>
      <w:tr>
        <w:trPr>
          <w:trHeight w:val="454" w:hRule="atLeast"/>
        </w:trPr>
        <w:tc>
          <w:tcPr>
            <w:tcW w:type="dxa" w:w="4873"/>
            <w:vAlign w:val="center"/>
          </w:tcPr>
          <w:p>
            <w:r/>
            <w:r>
              <w:rPr>
                <w:rFonts w:ascii="Figtree" w:hAnsi="Figtree"/>
                <w:b w:val="0"/>
                <w:i w:val="0"/>
                <w:sz w:val="22"/>
              </w:rPr>
              <w:t>Disaster Recovery</w:t>
            </w:r>
          </w:p>
        </w:tc>
        <w:tc>
          <w:tcPr>
            <w:tcW w:type="dxa" w:w="4873"/>
            <w:vAlign w:val="center"/>
          </w:tcPr>
          <w:p>
            <w:r/>
            <w:r>
              <w:rPr>
                <w:rFonts w:ascii="Figtree" w:hAnsi="Figtree"/>
                <w:b w:val="0"/>
                <w:i w:val="0"/>
                <w:sz w:val="22"/>
              </w:rPr>
              <w:t>Geo-separated within UAE</w:t>
            </w:r>
          </w:p>
        </w:tc>
      </w:tr>
      <w:tr>
        <w:trPr>
          <w:trHeight w:val="454" w:hRule="atLeast"/>
        </w:trPr>
        <w:tc>
          <w:tcPr>
            <w:tcW w:type="dxa" w:w="4873"/>
            <w:vAlign w:val="center"/>
          </w:tcPr>
          <w:p>
            <w:r/>
            <w:r>
              <w:rPr>
                <w:rFonts w:ascii="Figtree" w:hAnsi="Figtree"/>
                <w:b w:val="0"/>
                <w:i w:val="0"/>
                <w:sz w:val="22"/>
              </w:rPr>
              <w:t>Production</w:t>
            </w:r>
          </w:p>
        </w:tc>
        <w:tc>
          <w:tcPr>
            <w:tcW w:type="dxa" w:w="4873"/>
            <w:vAlign w:val="center"/>
          </w:tcPr>
          <w:p>
            <w:r/>
            <w:r>
              <w:rPr>
                <w:rFonts w:ascii="Figtree" w:hAnsi="Figtree"/>
                <w:b w:val="0"/>
                <w:i w:val="0"/>
                <w:sz w:val="22"/>
              </w:rPr>
              <w:t>Full HA configuration, UAE-resident data centers</w:t>
            </w:r>
          </w:p>
        </w:tc>
      </w:tr>
      <w:tr>
        <w:trPr>
          <w:trHeight w:val="454" w:hRule="atLeast"/>
        </w:trPr>
        <w:tc>
          <w:tcPr>
            <w:tcW w:type="dxa" w:w="4873"/>
            <w:vAlign w:val="center"/>
          </w:tcPr>
          <w:p>
            <w:r/>
            <w:r>
              <w:rPr>
                <w:rFonts w:ascii="Figtree" w:hAnsi="Figtree"/>
                <w:b w:val="0"/>
                <w:i w:val="0"/>
                <w:sz w:val="22"/>
              </w:rPr>
              <w:t>Sandbox</w:t>
            </w:r>
          </w:p>
        </w:tc>
        <w:tc>
          <w:tcPr>
            <w:tcW w:type="dxa" w:w="4873"/>
            <w:vAlign w:val="center"/>
          </w:tcPr>
          <w:p>
            <w:r/>
            <w:r>
              <w:rPr>
                <w:rFonts w:ascii="Figtree" w:hAnsi="Figtree"/>
                <w:b w:val="0"/>
                <w:i w:val="0"/>
                <w:sz w:val="22"/>
              </w:rPr>
              <w:t>External developer testing environment</w:t>
            </w:r>
          </w:p>
        </w:tc>
      </w:tr>
    </w:tbl>
    <w:p>
      <w:r>
        <w:br w:type="page"/>
      </w:r>
    </w:p>
    <w:p>
      <w:pPr>
        <w:pStyle w:val="H2"/>
        <w:numPr>
          <w:ilvl w:val="1"/>
          <w:numId w:val="1"/>
        </w:numPr>
      </w:pPr>
      <w:r>
        <w:t>Token Architecture for Digital Dirham</w:t>
      </w:r>
    </w:p>
    <w:p>
      <w:pPr>
        <w:pStyle w:val="H3"/>
        <w:numPr>
          <w:ilvl w:val="2"/>
          <w:numId w:val="1"/>
        </w:numPr>
      </w:pPr>
      <w:r>
        <w:t>Digital Dirham Token Design</w:t>
      </w:r>
    </w:p>
    <w:p>
      <w:r>
        <w:rPr>
          <w:rFonts w:ascii="Figtree" w:hAnsi="Figtree"/>
          <w:b w:val="0"/>
          <w:i w:val="0"/>
          <w:sz w:val="22"/>
        </w:rPr>
        <w:t>The Digital Dirham is configured as a DALPAsset with CBDC-specific features:</w:t>
      </w:r>
    </w:p>
    <w:tbl>
      <w:tblPr>
        <w:tblStyle w:val="TableGrid"/>
        <w:tblW w:type="auto" w:w="0"/>
        <w:jc w:val="center"/>
        <w:tblLook w:firstColumn="1" w:firstRow="1" w:lastColumn="0" w:lastRow="0" w:noHBand="0" w:noVBand="1" w:val="04A0"/>
      </w:tblPr>
      <w:tblGrid>
        <w:gridCol w:w="3249"/>
        <w:gridCol w:w="3249"/>
        <w:gridCol w:w="3249"/>
      </w:tblGrid>
      <w:tr>
        <w:trPr>
          <w:trHeight w:val="624" w:hRule="atLeast"/>
        </w:trPr>
        <w:tc>
          <w:tcPr>
            <w:tcW w:type="dxa" w:w="3249"/>
            <w:vAlign w:val="center"/>
            <w:shd w:fill="000099" w:val="clear"/>
          </w:tcPr>
          <w:p>
            <w:r>
              <w:rPr>
                <w:b/>
                <w:color w:val="FFFFFF"/>
              </w:rPr>
            </w:r>
            <w:r>
              <w:rPr>
                <w:rFonts w:ascii="Figtree" w:hAnsi="Figtree"/>
                <w:b/>
                <w:i w:val="0"/>
                <w:color w:val="FFFFFF"/>
                <w:sz w:val="22"/>
              </w:rPr>
              <w:t>Feature</w:t>
            </w:r>
          </w:p>
        </w:tc>
        <w:tc>
          <w:tcPr>
            <w:tcW w:type="dxa" w:w="3249"/>
            <w:vAlign w:val="center"/>
            <w:shd w:fill="000099" w:val="clear"/>
          </w:tcPr>
          <w:p>
            <w:r>
              <w:rPr>
                <w:b/>
                <w:color w:val="FFFFFF"/>
              </w:rPr>
            </w:r>
            <w:r>
              <w:rPr>
                <w:rFonts w:ascii="Figtree" w:hAnsi="Figtree"/>
                <w:b/>
                <w:i w:val="0"/>
                <w:color w:val="FFFFFF"/>
                <w:sz w:val="22"/>
              </w:rPr>
              <w:t>Configuration</w:t>
            </w:r>
          </w:p>
        </w:tc>
        <w:tc>
          <w:tcPr>
            <w:tcW w:type="dxa" w:w="3249"/>
            <w:vAlign w:val="center"/>
            <w:shd w:fill="000099" w:val="clear"/>
          </w:tcPr>
          <w:p>
            <w:r>
              <w:rPr>
                <w:b/>
                <w:color w:val="FFFFFF"/>
              </w:rPr>
            </w:r>
            <w:r>
              <w:rPr>
                <w:rFonts w:ascii="Figtree" w:hAnsi="Figtree"/>
                <w:b/>
                <w:i w:val="0"/>
                <w:color w:val="FFFFFF"/>
                <w:sz w:val="22"/>
              </w:rPr>
              <w:t>Purpose</w:t>
            </w:r>
          </w:p>
        </w:tc>
      </w:tr>
      <w:tr>
        <w:trPr>
          <w:trHeight w:val="454" w:hRule="atLeast"/>
        </w:trPr>
        <w:tc>
          <w:tcPr>
            <w:tcW w:type="dxa" w:w="3249"/>
            <w:vAlign w:val="center"/>
          </w:tcPr>
          <w:p>
            <w:r/>
            <w:r>
              <w:rPr>
                <w:rFonts w:ascii="Figtree" w:hAnsi="Figtree"/>
                <w:b w:val="0"/>
                <w:i w:val="0"/>
                <w:sz w:val="22"/>
              </w:rPr>
              <w:t>Supply management</w:t>
            </w:r>
          </w:p>
        </w:tc>
        <w:tc>
          <w:tcPr>
            <w:tcW w:type="dxa" w:w="3249"/>
            <w:vAlign w:val="center"/>
          </w:tcPr>
          <w:p>
            <w:r/>
            <w:r>
              <w:rPr>
                <w:rFonts w:ascii="Figtree" w:hAnsi="Figtree"/>
                <w:b w:val="0"/>
                <w:i w:val="0"/>
                <w:sz w:val="22"/>
              </w:rPr>
              <w:t>Central bank-exclusive minting/burning authority</w:t>
            </w:r>
          </w:p>
        </w:tc>
        <w:tc>
          <w:tcPr>
            <w:tcW w:type="dxa" w:w="3249"/>
            <w:vAlign w:val="center"/>
          </w:tcPr>
          <w:p>
            <w:r/>
            <w:r>
              <w:rPr>
                <w:rFonts w:ascii="Figtree" w:hAnsi="Figtree"/>
                <w:b w:val="0"/>
                <w:i w:val="0"/>
                <w:sz w:val="22"/>
              </w:rPr>
              <w:t>Monetary sovereignty</w:t>
            </w:r>
          </w:p>
        </w:tc>
      </w:tr>
      <w:tr>
        <w:trPr>
          <w:trHeight w:val="454" w:hRule="atLeast"/>
        </w:trPr>
        <w:tc>
          <w:tcPr>
            <w:tcW w:type="dxa" w:w="3249"/>
            <w:vAlign w:val="center"/>
          </w:tcPr>
          <w:p>
            <w:r/>
            <w:r>
              <w:rPr>
                <w:rFonts w:ascii="Figtree" w:hAnsi="Figtree"/>
                <w:b w:val="0"/>
                <w:i w:val="0"/>
                <w:sz w:val="22"/>
              </w:rPr>
              <w:t>Transaction limits</w:t>
            </w:r>
          </w:p>
        </w:tc>
        <w:tc>
          <w:tcPr>
            <w:tcW w:type="dxa" w:w="3249"/>
            <w:vAlign w:val="center"/>
          </w:tcPr>
          <w:p>
            <w:r/>
            <w:r>
              <w:rPr>
                <w:rFonts w:ascii="Figtree" w:hAnsi="Figtree"/>
                <w:b w:val="0"/>
                <w:i w:val="0"/>
                <w:sz w:val="22"/>
              </w:rPr>
              <w:t>Configurable per wallet tier (individual, merchant, bank)</w:t>
            </w:r>
          </w:p>
        </w:tc>
        <w:tc>
          <w:tcPr>
            <w:tcW w:type="dxa" w:w="3249"/>
            <w:vAlign w:val="center"/>
          </w:tcPr>
          <w:p>
            <w:r/>
            <w:r>
              <w:rPr>
                <w:rFonts w:ascii="Figtree" w:hAnsi="Figtree"/>
                <w:b w:val="0"/>
                <w:i w:val="0"/>
                <w:sz w:val="22"/>
              </w:rPr>
              <w:t>AML/CFT and monetary policy</w:t>
            </w:r>
          </w:p>
        </w:tc>
      </w:tr>
      <w:tr>
        <w:trPr>
          <w:trHeight w:val="454" w:hRule="atLeast"/>
        </w:trPr>
        <w:tc>
          <w:tcPr>
            <w:tcW w:type="dxa" w:w="3249"/>
            <w:vAlign w:val="center"/>
          </w:tcPr>
          <w:p>
            <w:r/>
            <w:r>
              <w:rPr>
                <w:rFonts w:ascii="Figtree" w:hAnsi="Figtree"/>
                <w:b w:val="0"/>
                <w:i w:val="0"/>
                <w:sz w:val="22"/>
              </w:rPr>
              <w:t>Identity verification</w:t>
            </w:r>
          </w:p>
        </w:tc>
        <w:tc>
          <w:tcPr>
            <w:tcW w:type="dxa" w:w="3249"/>
            <w:vAlign w:val="center"/>
          </w:tcPr>
          <w:p>
            <w:r/>
            <w:r>
              <w:rPr>
                <w:rFonts w:ascii="Figtree" w:hAnsi="Figtree"/>
                <w:b w:val="0"/>
                <w:i w:val="0"/>
                <w:sz w:val="22"/>
              </w:rPr>
              <w:t>Mandatory OnchainID for all wallet holders</w:t>
            </w:r>
          </w:p>
        </w:tc>
        <w:tc>
          <w:tcPr>
            <w:tcW w:type="dxa" w:w="3249"/>
            <w:vAlign w:val="center"/>
          </w:tcPr>
          <w:p>
            <w:r/>
            <w:r>
              <w:rPr>
                <w:rFonts w:ascii="Figtree" w:hAnsi="Figtree"/>
                <w:b w:val="0"/>
                <w:i w:val="0"/>
                <w:sz w:val="22"/>
              </w:rPr>
              <w:t>KYC/AML compliance</w:t>
            </w:r>
          </w:p>
        </w:tc>
      </w:tr>
      <w:tr>
        <w:trPr>
          <w:trHeight w:val="454" w:hRule="atLeast"/>
        </w:trPr>
        <w:tc>
          <w:tcPr>
            <w:tcW w:type="dxa" w:w="3249"/>
            <w:vAlign w:val="center"/>
          </w:tcPr>
          <w:p>
            <w:r/>
            <w:r>
              <w:rPr>
                <w:rFonts w:ascii="Figtree" w:hAnsi="Figtree"/>
                <w:b w:val="0"/>
                <w:i w:val="0"/>
                <w:sz w:val="22"/>
              </w:rPr>
              <w:t>Country restrictions</w:t>
            </w:r>
          </w:p>
        </w:tc>
        <w:tc>
          <w:tcPr>
            <w:tcW w:type="dxa" w:w="3249"/>
            <w:vAlign w:val="center"/>
          </w:tcPr>
          <w:p>
            <w:r/>
            <w:r>
              <w:rPr>
                <w:rFonts w:ascii="Figtree" w:hAnsi="Figtree"/>
                <w:b w:val="0"/>
                <w:i w:val="0"/>
                <w:sz w:val="22"/>
              </w:rPr>
              <w:t>UAE-resident wallets, with cross-border corridors</w:t>
            </w:r>
          </w:p>
        </w:tc>
        <w:tc>
          <w:tcPr>
            <w:tcW w:type="dxa" w:w="3249"/>
            <w:vAlign w:val="center"/>
          </w:tcPr>
          <w:p>
            <w:r/>
            <w:r>
              <w:rPr>
                <w:rFonts w:ascii="Figtree" w:hAnsi="Figtree"/>
                <w:b w:val="0"/>
                <w:i w:val="0"/>
                <w:sz w:val="22"/>
              </w:rPr>
              <w:t>Jurisdictional control</w:t>
            </w:r>
          </w:p>
        </w:tc>
      </w:tr>
      <w:tr>
        <w:trPr>
          <w:trHeight w:val="454" w:hRule="atLeast"/>
        </w:trPr>
        <w:tc>
          <w:tcPr>
            <w:tcW w:type="dxa" w:w="3249"/>
            <w:vAlign w:val="center"/>
          </w:tcPr>
          <w:p>
            <w:r/>
            <w:r>
              <w:rPr>
                <w:rFonts w:ascii="Figtree" w:hAnsi="Figtree"/>
                <w:b w:val="0"/>
                <w:i w:val="0"/>
                <w:sz w:val="22"/>
              </w:rPr>
              <w:t>Programmable conditions</w:t>
            </w:r>
          </w:p>
        </w:tc>
        <w:tc>
          <w:tcPr>
            <w:tcW w:type="dxa" w:w="3249"/>
            <w:vAlign w:val="center"/>
          </w:tcPr>
          <w:p>
            <w:r/>
            <w:r>
              <w:rPr>
                <w:rFonts w:ascii="Figtree" w:hAnsi="Figtree"/>
                <w:b w:val="0"/>
                <w:i w:val="0"/>
                <w:sz w:val="22"/>
              </w:rPr>
              <w:t>Conditional transfers for government disbursements</w:t>
            </w:r>
          </w:p>
        </w:tc>
        <w:tc>
          <w:tcPr>
            <w:tcW w:type="dxa" w:w="3249"/>
            <w:vAlign w:val="center"/>
          </w:tcPr>
          <w:p>
            <w:r/>
            <w:r>
              <w:rPr>
                <w:rFonts w:ascii="Figtree" w:hAnsi="Figtree"/>
                <w:b w:val="0"/>
                <w:i w:val="0"/>
                <w:sz w:val="22"/>
              </w:rPr>
              <w:t>Targeted monetary policy</w:t>
            </w:r>
          </w:p>
        </w:tc>
      </w:tr>
      <w:tr>
        <w:trPr>
          <w:trHeight w:val="454" w:hRule="atLeast"/>
        </w:trPr>
        <w:tc>
          <w:tcPr>
            <w:tcW w:type="dxa" w:w="3249"/>
            <w:vAlign w:val="center"/>
          </w:tcPr>
          <w:p>
            <w:r/>
            <w:r>
              <w:rPr>
                <w:rFonts w:ascii="Figtree" w:hAnsi="Figtree"/>
                <w:b w:val="0"/>
                <w:i w:val="0"/>
                <w:sz w:val="22"/>
              </w:rPr>
              <w:t>Historical balances</w:t>
            </w:r>
          </w:p>
        </w:tc>
        <w:tc>
          <w:tcPr>
            <w:tcW w:type="dxa" w:w="3249"/>
            <w:vAlign w:val="center"/>
          </w:tcPr>
          <w:p>
            <w:r/>
            <w:r>
              <w:rPr>
                <w:rFonts w:ascii="Figtree" w:hAnsi="Figtree"/>
                <w:b w:val="0"/>
                <w:i w:val="0"/>
                <w:sz w:val="22"/>
              </w:rPr>
              <w:t>Snapshot-based audit trail</w:t>
            </w:r>
          </w:p>
        </w:tc>
        <w:tc>
          <w:tcPr>
            <w:tcW w:type="dxa" w:w="3249"/>
            <w:vAlign w:val="center"/>
          </w:tcPr>
          <w:p>
            <w:r/>
            <w:r>
              <w:rPr>
                <w:rFonts w:ascii="Figtree" w:hAnsi="Figtree"/>
                <w:b w:val="0"/>
                <w:i w:val="0"/>
                <w:sz w:val="22"/>
              </w:rPr>
              <w:t>Regulatory examination</w:t>
            </w:r>
          </w:p>
        </w:tc>
      </w:tr>
    </w:tbl>
    <w:p>
      <w:pPr>
        <w:pStyle w:val="H3"/>
        <w:numPr>
          <w:ilvl w:val="2"/>
          <w:numId w:val="1"/>
        </w:numPr>
      </w:pPr>
      <w:r>
        <w:t>Two-Tier Distribution Model</w:t>
      </w:r>
    </w:p>
    <w:p>
      <w:pPr>
        <w:jc w:val="center"/>
      </w:pPr>
      <w:r>
        <w:drawing>
          <wp:inline xmlns:a="http://schemas.openxmlformats.org/drawingml/2006/main" xmlns:pic="http://schemas.openxmlformats.org/drawingml/2006/picture">
            <wp:extent cx="5486400" cy="4058816"/>
            <wp:docPr id="4" name="Picture 4"/>
            <wp:cNvGraphicFramePr>
              <a:graphicFrameLocks noChangeAspect="1"/>
            </wp:cNvGraphicFramePr>
            <a:graphic>
              <a:graphicData uri="http://schemas.openxmlformats.org/drawingml/2006/picture">
                <pic:pic>
                  <pic:nvPicPr>
                    <pic:cNvPr id="0" name="_diagram-004.png"/>
                    <pic:cNvPicPr/>
                  </pic:nvPicPr>
                  <pic:blipFill>
                    <a:blip r:embed="rId16"/>
                    <a:stretch>
                      <a:fillRect/>
                    </a:stretch>
                  </pic:blipFill>
                  <pic:spPr>
                    <a:xfrm>
                      <a:off x="0" y="0"/>
                      <a:ext cx="5486400" cy="4058816"/>
                    </a:xfrm>
                    <a:prstGeom prst="rect"/>
                  </pic:spPr>
                </pic:pic>
              </a:graphicData>
            </a:graphic>
          </wp:inline>
        </w:drawing>
      </w:r>
    </w:p>
    <w:p>
      <w:r>
        <w:br w:type="page"/>
      </w:r>
    </w:p>
    <w:p>
      <w:pPr>
        <w:pStyle w:val="H2"/>
        <w:numPr>
          <w:ilvl w:val="1"/>
          <w:numId w:val="1"/>
        </w:numPr>
      </w:pPr>
      <w:r>
        <w:t>Identity, Compliance, and Regulatory Controls</w:t>
      </w:r>
    </w:p>
    <w:p>
      <w:pPr>
        <w:pStyle w:val="H3"/>
        <w:numPr>
          <w:ilvl w:val="2"/>
          <w:numId w:val="1"/>
        </w:numPr>
      </w:pPr>
      <w:r>
        <w:t>Multi-Tier Identity Model</w:t>
      </w:r>
    </w:p>
    <w:tbl>
      <w:tblPr>
        <w:tblStyle w:val="TableGrid"/>
        <w:tblW w:type="auto" w:w="0"/>
        <w:jc w:val="center"/>
        <w:tblLook w:firstColumn="1" w:firstRow="1" w:lastColumn="0" w:lastRow="0" w:noHBand="0" w:noVBand="1" w:val="04A0"/>
      </w:tblPr>
      <w:tblGrid>
        <w:gridCol w:w="1949"/>
        <w:gridCol w:w="1949"/>
        <w:gridCol w:w="1949"/>
        <w:gridCol w:w="1949"/>
        <w:gridCol w:w="1949"/>
      </w:tblGrid>
      <w:tr>
        <w:trPr>
          <w:trHeight w:val="624" w:hRule="atLeast"/>
        </w:trPr>
        <w:tc>
          <w:tcPr>
            <w:tcW w:type="dxa" w:w="1949"/>
            <w:vAlign w:val="center"/>
            <w:shd w:fill="000099" w:val="clear"/>
          </w:tcPr>
          <w:p>
            <w:r>
              <w:rPr>
                <w:b/>
                <w:color w:val="FFFFFF"/>
              </w:rPr>
            </w:r>
            <w:r>
              <w:rPr>
                <w:rFonts w:ascii="Figtree" w:hAnsi="Figtree"/>
                <w:b/>
                <w:i w:val="0"/>
                <w:color w:val="FFFFFF"/>
                <w:sz w:val="22"/>
              </w:rPr>
              <w:t>Tier</w:t>
            </w:r>
          </w:p>
        </w:tc>
        <w:tc>
          <w:tcPr>
            <w:tcW w:type="dxa" w:w="1949"/>
            <w:vAlign w:val="center"/>
            <w:shd w:fill="000099" w:val="clear"/>
          </w:tcPr>
          <w:p>
            <w:r>
              <w:rPr>
                <w:b/>
                <w:color w:val="FFFFFF"/>
              </w:rPr>
            </w:r>
            <w:r>
              <w:rPr>
                <w:rFonts w:ascii="Figtree" w:hAnsi="Figtree"/>
                <w:b/>
                <w:i w:val="0"/>
                <w:color w:val="FFFFFF"/>
                <w:sz w:val="22"/>
              </w:rPr>
              <w:t>Wallet Type</w:t>
            </w:r>
          </w:p>
        </w:tc>
        <w:tc>
          <w:tcPr>
            <w:tcW w:type="dxa" w:w="1949"/>
            <w:vAlign w:val="center"/>
            <w:shd w:fill="000099" w:val="clear"/>
          </w:tcPr>
          <w:p>
            <w:r>
              <w:rPr>
                <w:b/>
                <w:color w:val="FFFFFF"/>
              </w:rPr>
            </w:r>
            <w:r>
              <w:rPr>
                <w:rFonts w:ascii="Figtree" w:hAnsi="Figtree"/>
                <w:b/>
                <w:i w:val="0"/>
                <w:color w:val="FFFFFF"/>
                <w:sz w:val="22"/>
              </w:rPr>
              <w:t>KYC Level</w:t>
            </w:r>
          </w:p>
        </w:tc>
        <w:tc>
          <w:tcPr>
            <w:tcW w:type="dxa" w:w="1949"/>
            <w:vAlign w:val="center"/>
            <w:shd w:fill="000099" w:val="clear"/>
          </w:tcPr>
          <w:p>
            <w:r>
              <w:rPr>
                <w:b/>
                <w:color w:val="FFFFFF"/>
              </w:rPr>
            </w:r>
            <w:r>
              <w:rPr>
                <w:rFonts w:ascii="Figtree" w:hAnsi="Figtree"/>
                <w:b/>
                <w:i w:val="0"/>
                <w:color w:val="FFFFFF"/>
                <w:sz w:val="22"/>
              </w:rPr>
              <w:t>Transaction Limits</w:t>
            </w:r>
          </w:p>
        </w:tc>
        <w:tc>
          <w:tcPr>
            <w:tcW w:type="dxa" w:w="1949"/>
            <w:vAlign w:val="center"/>
            <w:shd w:fill="000099" w:val="clear"/>
          </w:tcPr>
          <w:p>
            <w:r>
              <w:rPr>
                <w:b/>
                <w:color w:val="FFFFFF"/>
              </w:rPr>
            </w:r>
            <w:r>
              <w:rPr>
                <w:rFonts w:ascii="Figtree" w:hAnsi="Figtree"/>
                <w:b/>
                <w:i w:val="0"/>
                <w:color w:val="FFFFFF"/>
                <w:sz w:val="22"/>
              </w:rPr>
              <w:t>Identity Method</w:t>
            </w:r>
          </w:p>
        </w:tc>
      </w:tr>
      <w:tr>
        <w:trPr>
          <w:trHeight w:val="454" w:hRule="atLeast"/>
        </w:trPr>
        <w:tc>
          <w:tcPr>
            <w:tcW w:type="dxa" w:w="1949"/>
            <w:vAlign w:val="center"/>
          </w:tcPr>
          <w:p>
            <w:r/>
            <w:r>
              <w:rPr>
                <w:rFonts w:ascii="Figtree" w:hAnsi="Figtree"/>
                <w:b w:val="0"/>
                <w:i w:val="0"/>
                <w:sz w:val="22"/>
              </w:rPr>
              <w:t>Tier 0</w:t>
            </w:r>
          </w:p>
        </w:tc>
        <w:tc>
          <w:tcPr>
            <w:tcW w:type="dxa" w:w="1949"/>
            <w:vAlign w:val="center"/>
          </w:tcPr>
          <w:p>
            <w:r/>
            <w:r>
              <w:rPr>
                <w:rFonts w:ascii="Figtree" w:hAnsi="Figtree"/>
                <w:b w:val="0"/>
                <w:i w:val="0"/>
                <w:sz w:val="22"/>
              </w:rPr>
              <w:t>Interbank (wholesale)</w:t>
            </w:r>
          </w:p>
        </w:tc>
        <w:tc>
          <w:tcPr>
            <w:tcW w:type="dxa" w:w="1949"/>
            <w:vAlign w:val="center"/>
          </w:tcPr>
          <w:p>
            <w:r/>
            <w:r>
              <w:rPr>
                <w:rFonts w:ascii="Figtree" w:hAnsi="Figtree"/>
                <w:b w:val="0"/>
                <w:i w:val="0"/>
                <w:sz w:val="22"/>
              </w:rPr>
              <w:t>Full institutional KYC</w:t>
            </w:r>
          </w:p>
        </w:tc>
        <w:tc>
          <w:tcPr>
            <w:tcW w:type="dxa" w:w="1949"/>
            <w:vAlign w:val="center"/>
          </w:tcPr>
          <w:p>
            <w:r/>
            <w:r>
              <w:rPr>
                <w:rFonts w:ascii="Figtree" w:hAnsi="Figtree"/>
                <w:b w:val="0"/>
                <w:i w:val="0"/>
                <w:sz w:val="22"/>
              </w:rPr>
              <w:t>Unlimited</w:t>
            </w:r>
          </w:p>
        </w:tc>
        <w:tc>
          <w:tcPr>
            <w:tcW w:type="dxa" w:w="1949"/>
            <w:vAlign w:val="center"/>
          </w:tcPr>
          <w:p>
            <w:r/>
            <w:r>
              <w:rPr>
                <w:rFonts w:ascii="Figtree" w:hAnsi="Figtree"/>
                <w:b w:val="0"/>
                <w:i w:val="0"/>
                <w:sz w:val="22"/>
              </w:rPr>
              <w:t>Institutional OnchainID</w:t>
            </w:r>
          </w:p>
        </w:tc>
      </w:tr>
      <w:tr>
        <w:trPr>
          <w:trHeight w:val="454" w:hRule="atLeast"/>
        </w:trPr>
        <w:tc>
          <w:tcPr>
            <w:tcW w:type="dxa" w:w="1949"/>
            <w:vAlign w:val="center"/>
          </w:tcPr>
          <w:p>
            <w:r/>
            <w:r>
              <w:rPr>
                <w:rFonts w:ascii="Figtree" w:hAnsi="Figtree"/>
                <w:b w:val="0"/>
                <w:i w:val="0"/>
                <w:sz w:val="22"/>
              </w:rPr>
              <w:t>Tier 1</w:t>
            </w:r>
          </w:p>
        </w:tc>
        <w:tc>
          <w:tcPr>
            <w:tcW w:type="dxa" w:w="1949"/>
            <w:vAlign w:val="center"/>
          </w:tcPr>
          <w:p>
            <w:r/>
            <w:r>
              <w:rPr>
                <w:rFonts w:ascii="Figtree" w:hAnsi="Figtree"/>
                <w:b w:val="0"/>
                <w:i w:val="0"/>
                <w:sz w:val="22"/>
              </w:rPr>
              <w:t>Licensed bank</w:t>
            </w:r>
          </w:p>
        </w:tc>
        <w:tc>
          <w:tcPr>
            <w:tcW w:type="dxa" w:w="1949"/>
            <w:vAlign w:val="center"/>
          </w:tcPr>
          <w:p>
            <w:r/>
            <w:r>
              <w:rPr>
                <w:rFonts w:ascii="Figtree" w:hAnsi="Figtree"/>
                <w:b w:val="0"/>
                <w:i w:val="0"/>
                <w:sz w:val="22"/>
              </w:rPr>
              <w:t>Full institutional KYC</w:t>
            </w:r>
          </w:p>
        </w:tc>
        <w:tc>
          <w:tcPr>
            <w:tcW w:type="dxa" w:w="1949"/>
            <w:vAlign w:val="center"/>
          </w:tcPr>
          <w:p>
            <w:r/>
            <w:r>
              <w:rPr>
                <w:rFonts w:ascii="Figtree" w:hAnsi="Figtree"/>
                <w:b w:val="0"/>
                <w:i w:val="0"/>
                <w:sz w:val="22"/>
              </w:rPr>
              <w:t>Per monetary policy</w:t>
            </w:r>
          </w:p>
        </w:tc>
        <w:tc>
          <w:tcPr>
            <w:tcW w:type="dxa" w:w="1949"/>
            <w:vAlign w:val="center"/>
          </w:tcPr>
          <w:p>
            <w:r/>
            <w:r>
              <w:rPr>
                <w:rFonts w:ascii="Figtree" w:hAnsi="Figtree"/>
                <w:b w:val="0"/>
                <w:i w:val="0"/>
                <w:sz w:val="22"/>
              </w:rPr>
              <w:t>Institutional OnchainID</w:t>
            </w:r>
          </w:p>
        </w:tc>
      </w:tr>
      <w:tr>
        <w:trPr>
          <w:trHeight w:val="454" w:hRule="atLeast"/>
        </w:trPr>
        <w:tc>
          <w:tcPr>
            <w:tcW w:type="dxa" w:w="1949"/>
            <w:vAlign w:val="center"/>
          </w:tcPr>
          <w:p>
            <w:r/>
            <w:r>
              <w:rPr>
                <w:rFonts w:ascii="Figtree" w:hAnsi="Figtree"/>
                <w:b w:val="0"/>
                <w:i w:val="0"/>
                <w:sz w:val="22"/>
              </w:rPr>
              <w:t>Tier 2</w:t>
            </w:r>
          </w:p>
        </w:tc>
        <w:tc>
          <w:tcPr>
            <w:tcW w:type="dxa" w:w="1949"/>
            <w:vAlign w:val="center"/>
          </w:tcPr>
          <w:p>
            <w:r/>
            <w:r>
              <w:rPr>
                <w:rFonts w:ascii="Figtree" w:hAnsi="Figtree"/>
                <w:b w:val="0"/>
                <w:i w:val="0"/>
                <w:sz w:val="22"/>
              </w:rPr>
              <w:t>Corporate</w:t>
            </w:r>
          </w:p>
        </w:tc>
        <w:tc>
          <w:tcPr>
            <w:tcW w:type="dxa" w:w="1949"/>
            <w:vAlign w:val="center"/>
          </w:tcPr>
          <w:p>
            <w:r/>
            <w:r>
              <w:rPr>
                <w:rFonts w:ascii="Figtree" w:hAnsi="Figtree"/>
                <w:b w:val="0"/>
                <w:i w:val="0"/>
                <w:sz w:val="22"/>
              </w:rPr>
              <w:t>Enhanced KYC</w:t>
            </w:r>
          </w:p>
        </w:tc>
        <w:tc>
          <w:tcPr>
            <w:tcW w:type="dxa" w:w="1949"/>
            <w:vAlign w:val="center"/>
          </w:tcPr>
          <w:p>
            <w:r/>
            <w:r>
              <w:rPr>
                <w:rFonts w:ascii="Figtree" w:hAnsi="Figtree"/>
                <w:b w:val="0"/>
                <w:i w:val="0"/>
                <w:sz w:val="22"/>
              </w:rPr>
              <w:t>Per regulatory limits</w:t>
            </w:r>
          </w:p>
        </w:tc>
        <w:tc>
          <w:tcPr>
            <w:tcW w:type="dxa" w:w="1949"/>
            <w:vAlign w:val="center"/>
          </w:tcPr>
          <w:p>
            <w:r/>
            <w:r>
              <w:rPr>
                <w:rFonts w:ascii="Figtree" w:hAnsi="Figtree"/>
                <w:b w:val="0"/>
                <w:i w:val="0"/>
                <w:sz w:val="22"/>
              </w:rPr>
              <w:t>Corporate OnchainID</w:t>
            </w:r>
          </w:p>
        </w:tc>
      </w:tr>
      <w:tr>
        <w:trPr>
          <w:trHeight w:val="454" w:hRule="atLeast"/>
        </w:trPr>
        <w:tc>
          <w:tcPr>
            <w:tcW w:type="dxa" w:w="1949"/>
            <w:vAlign w:val="center"/>
          </w:tcPr>
          <w:p>
            <w:r/>
            <w:r>
              <w:rPr>
                <w:rFonts w:ascii="Figtree" w:hAnsi="Figtree"/>
                <w:b w:val="0"/>
                <w:i w:val="0"/>
                <w:sz w:val="22"/>
              </w:rPr>
              <w:t>Tier 3</w:t>
            </w:r>
          </w:p>
        </w:tc>
        <w:tc>
          <w:tcPr>
            <w:tcW w:type="dxa" w:w="1949"/>
            <w:vAlign w:val="center"/>
          </w:tcPr>
          <w:p>
            <w:r/>
            <w:r>
              <w:rPr>
                <w:rFonts w:ascii="Figtree" w:hAnsi="Figtree"/>
                <w:b w:val="0"/>
                <w:i w:val="0"/>
                <w:sz w:val="22"/>
              </w:rPr>
              <w:t>Individual (verified)</w:t>
            </w:r>
          </w:p>
        </w:tc>
        <w:tc>
          <w:tcPr>
            <w:tcW w:type="dxa" w:w="1949"/>
            <w:vAlign w:val="center"/>
          </w:tcPr>
          <w:p>
            <w:r/>
            <w:r>
              <w:rPr>
                <w:rFonts w:ascii="Figtree" w:hAnsi="Figtree"/>
                <w:b w:val="0"/>
                <w:i w:val="0"/>
                <w:sz w:val="22"/>
              </w:rPr>
              <w:t>Standard KYC</w:t>
            </w:r>
          </w:p>
        </w:tc>
        <w:tc>
          <w:tcPr>
            <w:tcW w:type="dxa" w:w="1949"/>
            <w:vAlign w:val="center"/>
          </w:tcPr>
          <w:p>
            <w:r/>
            <w:r>
              <w:rPr>
                <w:rFonts w:ascii="Figtree" w:hAnsi="Figtree"/>
                <w:b w:val="0"/>
                <w:i w:val="0"/>
                <w:sz w:val="22"/>
              </w:rPr>
              <w:t>Per individual limits</w:t>
            </w:r>
          </w:p>
        </w:tc>
        <w:tc>
          <w:tcPr>
            <w:tcW w:type="dxa" w:w="1949"/>
            <w:vAlign w:val="center"/>
          </w:tcPr>
          <w:p>
            <w:r/>
            <w:r>
              <w:rPr>
                <w:rFonts w:ascii="Figtree" w:hAnsi="Figtree"/>
                <w:b w:val="0"/>
                <w:i w:val="0"/>
                <w:sz w:val="22"/>
              </w:rPr>
              <w:t>Personal OnchainID</w:t>
            </w:r>
          </w:p>
        </w:tc>
      </w:tr>
      <w:tr>
        <w:trPr>
          <w:trHeight w:val="454" w:hRule="atLeast"/>
        </w:trPr>
        <w:tc>
          <w:tcPr>
            <w:tcW w:type="dxa" w:w="1949"/>
            <w:vAlign w:val="center"/>
          </w:tcPr>
          <w:p>
            <w:r/>
            <w:r>
              <w:rPr>
                <w:rFonts w:ascii="Figtree" w:hAnsi="Figtree"/>
                <w:b w:val="0"/>
                <w:i w:val="0"/>
                <w:sz w:val="22"/>
              </w:rPr>
              <w:t>Tier 4</w:t>
            </w:r>
          </w:p>
        </w:tc>
        <w:tc>
          <w:tcPr>
            <w:tcW w:type="dxa" w:w="1949"/>
            <w:vAlign w:val="center"/>
          </w:tcPr>
          <w:p>
            <w:r/>
            <w:r>
              <w:rPr>
                <w:rFonts w:ascii="Figtree" w:hAnsi="Figtree"/>
                <w:b w:val="0"/>
                <w:i w:val="0"/>
                <w:sz w:val="22"/>
              </w:rPr>
              <w:t>Individual (basic)</w:t>
            </w:r>
          </w:p>
        </w:tc>
        <w:tc>
          <w:tcPr>
            <w:tcW w:type="dxa" w:w="1949"/>
            <w:vAlign w:val="center"/>
          </w:tcPr>
          <w:p>
            <w:r/>
            <w:r>
              <w:rPr>
                <w:rFonts w:ascii="Figtree" w:hAnsi="Figtree"/>
                <w:b w:val="0"/>
                <w:i w:val="0"/>
                <w:sz w:val="22"/>
              </w:rPr>
              <w:t>Simplified KYC</w:t>
            </w:r>
          </w:p>
        </w:tc>
        <w:tc>
          <w:tcPr>
            <w:tcW w:type="dxa" w:w="1949"/>
            <w:vAlign w:val="center"/>
          </w:tcPr>
          <w:p>
            <w:r/>
            <w:r>
              <w:rPr>
                <w:rFonts w:ascii="Figtree" w:hAnsi="Figtree"/>
                <w:b w:val="0"/>
                <w:i w:val="0"/>
                <w:sz w:val="22"/>
              </w:rPr>
              <w:t>Low-value limits</w:t>
            </w:r>
          </w:p>
        </w:tc>
        <w:tc>
          <w:tcPr>
            <w:tcW w:type="dxa" w:w="1949"/>
            <w:vAlign w:val="center"/>
          </w:tcPr>
          <w:p>
            <w:r/>
            <w:r>
              <w:rPr>
                <w:rFonts w:ascii="Figtree" w:hAnsi="Figtree"/>
                <w:b w:val="0"/>
                <w:i w:val="0"/>
                <w:sz w:val="22"/>
              </w:rPr>
              <w:t>Simplified OnchainID</w:t>
            </w:r>
          </w:p>
        </w:tc>
      </w:tr>
    </w:tbl>
    <w:p>
      <w:pPr>
        <w:pStyle w:val="H3"/>
        <w:numPr>
          <w:ilvl w:val="2"/>
          <w:numId w:val="1"/>
        </w:numPr>
      </w:pPr>
      <w:r>
        <w:t>AML/CFT Integration</w:t>
      </w:r>
    </w:p>
    <w:p>
      <w:r>
        <w:rPr>
          <w:rFonts w:ascii="Figtree" w:hAnsi="Figtree"/>
          <w:b w:val="0"/>
          <w:i w:val="0"/>
          <w:sz w:val="22"/>
        </w:rPr>
        <w:t>DALP integrates with the CBUAE's Financial Intelligence Unit through:</w:t>
      </w:r>
    </w:p>
    <w:p>
      <w:pPr>
        <w:pStyle w:val="ListParagraph"/>
        <w:numPr>
          <w:ilvl w:val="0"/>
          <w:numId w:val="4"/>
        </w:numPr>
      </w:pPr>
      <w:r>
        <w:rPr>
          <w:rFonts w:ascii="Figtree" w:hAnsi="Figtree"/>
          <w:b w:val="0"/>
          <w:i w:val="0"/>
          <w:sz w:val="22"/>
        </w:rPr>
        <w:t>Real-time transaction monitoring webhook events</w:t>
      </w:r>
    </w:p>
    <w:p>
      <w:pPr>
        <w:pStyle w:val="ListParagraph"/>
        <w:numPr>
          <w:ilvl w:val="0"/>
          <w:numId w:val="4"/>
        </w:numPr>
      </w:pPr>
      <w:r>
        <w:rPr>
          <w:rFonts w:ascii="Figtree" w:hAnsi="Figtree"/>
          <w:b w:val="0"/>
          <w:i w:val="0"/>
          <w:sz w:val="22"/>
        </w:rPr>
        <w:t>Suspicious transaction report (STR) data extracts</w:t>
      </w:r>
    </w:p>
    <w:p>
      <w:pPr>
        <w:pStyle w:val="ListParagraph"/>
        <w:numPr>
          <w:ilvl w:val="0"/>
          <w:numId w:val="4"/>
        </w:numPr>
      </w:pPr>
      <w:r>
        <w:rPr>
          <w:rFonts w:ascii="Figtree" w:hAnsi="Figtree"/>
          <w:b w:val="0"/>
          <w:i w:val="0"/>
          <w:sz w:val="22"/>
        </w:rPr>
        <w:t>Sanctions screening integration via API</w:t>
      </w:r>
    </w:p>
    <w:p>
      <w:pPr>
        <w:pStyle w:val="ListParagraph"/>
        <w:numPr>
          <w:ilvl w:val="0"/>
          <w:numId w:val="4"/>
        </w:numPr>
      </w:pPr>
      <w:r>
        <w:rPr>
          <w:rFonts w:ascii="Figtree" w:hAnsi="Figtree"/>
          <w:b w:val="0"/>
          <w:i w:val="0"/>
          <w:sz w:val="22"/>
        </w:rPr>
        <w:t>Transaction pattern analytics via the observability stack</w:t>
      </w:r>
    </w:p>
    <w:p>
      <w:pPr>
        <w:pStyle w:val="ListParagraph"/>
        <w:numPr>
          <w:ilvl w:val="0"/>
          <w:numId w:val="4"/>
        </w:numPr>
      </w:pPr>
      <w:r>
        <w:rPr>
          <w:rFonts w:ascii="Figtree" w:hAnsi="Figtree"/>
          <w:b w:val="0"/>
          <w:i w:val="0"/>
          <w:sz w:val="22"/>
        </w:rPr>
        <w:t>Complete audit trail for regulatory examination</w:t>
      </w:r>
    </w:p>
    <w:p>
      <w:r>
        <w:br w:type="page"/>
      </w:r>
    </w:p>
    <w:p>
      <w:pPr>
        <w:pStyle w:val="H2"/>
        <w:numPr>
          <w:ilvl w:val="1"/>
          <w:numId w:val="1"/>
        </w:numPr>
      </w:pPr>
      <w:r>
        <w:t>Distribution, Settlement, and Interoperability</w:t>
      </w:r>
    </w:p>
    <w:p>
      <w:pPr>
        <w:pStyle w:val="H3"/>
        <w:numPr>
          <w:ilvl w:val="2"/>
          <w:numId w:val="1"/>
        </w:numPr>
      </w:pPr>
      <w:r>
        <w:t>Cross-Border Settlement</w:t>
      </w:r>
    </w:p>
    <w:p>
      <w:r>
        <w:rPr>
          <w:rFonts w:ascii="Figtree" w:hAnsi="Figtree"/>
          <w:b w:val="0"/>
          <w:i w:val="0"/>
          <w:sz w:val="22"/>
        </w:rPr>
        <w:t>Building on Project Aber and mBridge architecture, DALP supports cross-border CBDC settlement through:</w:t>
      </w:r>
    </w:p>
    <w:p>
      <w:pPr>
        <w:pStyle w:val="ListParagraph"/>
        <w:numPr>
          <w:ilvl w:val="0"/>
          <w:numId w:val="4"/>
        </w:numPr>
      </w:pPr>
      <w:r>
        <w:rPr>
          <w:rFonts w:ascii="Figtree" w:hAnsi="Figtree"/>
          <w:b w:val="0"/>
          <w:i w:val="0"/>
          <w:sz w:val="22"/>
        </w:rPr>
        <w:t>Multi-network deployment capability — separate chains per jurisdiction</w:t>
      </w:r>
    </w:p>
    <w:p>
      <w:pPr>
        <w:pStyle w:val="ListParagraph"/>
        <w:numPr>
          <w:ilvl w:val="0"/>
          <w:numId w:val="4"/>
        </w:numPr>
      </w:pPr>
      <w:r>
        <w:rPr>
          <w:rFonts w:ascii="Figtree" w:hAnsi="Figtree"/>
          <w:b w:val="0"/>
          <w:i w:val="0"/>
          <w:sz w:val="22"/>
        </w:rPr>
        <w:t>Atomic cross-chain settlement via bridge contracts</w:t>
      </w:r>
    </w:p>
    <w:p>
      <w:pPr>
        <w:pStyle w:val="ListParagraph"/>
        <w:numPr>
          <w:ilvl w:val="0"/>
          <w:numId w:val="4"/>
        </w:numPr>
      </w:pPr>
      <w:r>
        <w:rPr>
          <w:rFonts w:ascii="Figtree" w:hAnsi="Figtree"/>
          <w:b w:val="0"/>
          <w:i w:val="0"/>
          <w:sz w:val="22"/>
        </w:rPr>
        <w:t>Exchange rate feed integration for multi-currency settlement</w:t>
      </w:r>
    </w:p>
    <w:p>
      <w:pPr>
        <w:pStyle w:val="ListParagraph"/>
        <w:numPr>
          <w:ilvl w:val="0"/>
          <w:numId w:val="4"/>
        </w:numPr>
      </w:pPr>
      <w:r>
        <w:rPr>
          <w:rFonts w:ascii="Figtree" w:hAnsi="Figtree"/>
          <w:b w:val="0"/>
          <w:i w:val="0"/>
          <w:sz w:val="22"/>
        </w:rPr>
        <w:t>Regulatory reporting per jurisdiction</w:t>
      </w:r>
    </w:p>
    <w:p>
      <w:pPr>
        <w:pStyle w:val="H3"/>
        <w:numPr>
          <w:ilvl w:val="2"/>
          <w:numId w:val="1"/>
        </w:numPr>
      </w:pPr>
      <w:r>
        <w:t>Wholesale Settlement</w:t>
      </w:r>
    </w:p>
    <w:p>
      <w:r>
        <w:rPr>
          <w:rFonts w:ascii="Figtree" w:hAnsi="Figtree"/>
          <w:b w:val="0"/>
          <w:i w:val="0"/>
          <w:sz w:val="22"/>
        </w:rPr>
        <w:t>For interbank settlement, DALP provides:</w:t>
      </w:r>
    </w:p>
    <w:p>
      <w:pPr>
        <w:pStyle w:val="ListParagraph"/>
        <w:numPr>
          <w:ilvl w:val="0"/>
          <w:numId w:val="4"/>
        </w:numPr>
      </w:pPr>
      <w:r>
        <w:rPr>
          <w:rFonts w:ascii="Figtree" w:hAnsi="Figtree"/>
          <w:b w:val="0"/>
          <w:i w:val="0"/>
          <w:sz w:val="22"/>
        </w:rPr>
        <w:t>Deterministic finality in under 3 seconds (IBFT 2.0 consensus)</w:t>
      </w:r>
    </w:p>
    <w:p>
      <w:pPr>
        <w:pStyle w:val="ListParagraph"/>
        <w:numPr>
          <w:ilvl w:val="0"/>
          <w:numId w:val="4"/>
        </w:numPr>
      </w:pPr>
      <w:r>
        <w:rPr>
          <w:rFonts w:ascii="Figtree" w:hAnsi="Figtree"/>
          <w:b w:val="0"/>
          <w:i w:val="0"/>
          <w:sz w:val="22"/>
        </w:rPr>
        <w:t>Atomic DvP via XvP Settlement addon</w:t>
      </w:r>
    </w:p>
    <w:p>
      <w:pPr>
        <w:pStyle w:val="ListParagraph"/>
        <w:numPr>
          <w:ilvl w:val="0"/>
          <w:numId w:val="4"/>
        </w:numPr>
      </w:pPr>
      <w:r>
        <w:rPr>
          <w:rFonts w:ascii="Figtree" w:hAnsi="Figtree"/>
          <w:b w:val="0"/>
          <w:i w:val="0"/>
          <w:sz w:val="22"/>
        </w:rPr>
        <w:t>Real-time gross settlement (RTGS) compatibility through API integration</w:t>
      </w:r>
    </w:p>
    <w:p>
      <w:pPr>
        <w:pStyle w:val="ListParagraph"/>
        <w:numPr>
          <w:ilvl w:val="0"/>
          <w:numId w:val="4"/>
        </w:numPr>
      </w:pPr>
      <w:r>
        <w:rPr>
          <w:rFonts w:ascii="Figtree" w:hAnsi="Figtree"/>
          <w:b w:val="0"/>
          <w:i w:val="0"/>
          <w:sz w:val="22"/>
        </w:rPr>
        <w:t>Netting and batch settlement support</w:t>
      </w:r>
    </w:p>
    <w:p>
      <w:r>
        <w:br w:type="page"/>
      </w:r>
    </w:p>
    <w:p>
      <w:pPr>
        <w:pStyle w:val="H2"/>
        <w:numPr>
          <w:ilvl w:val="1"/>
          <w:numId w:val="1"/>
        </w:numPr>
      </w:pPr>
      <w:r>
        <w:t>Security, Resilience, and Sovereign-Grade Assurance</w:t>
      </w:r>
    </w:p>
    <w:p>
      <w:pPr>
        <w:pStyle w:val="H3"/>
        <w:numPr>
          <w:ilvl w:val="2"/>
          <w:numId w:val="1"/>
        </w:numPr>
      </w:pPr>
      <w:r>
        <w:t>Security for Sovereign Infrastructure</w:t>
      </w:r>
    </w:p>
    <w:tbl>
      <w:tblPr>
        <w:tblStyle w:val="TableGrid"/>
        <w:tblW w:type="auto" w:w="0"/>
        <w:jc w:val="center"/>
        <w:tblLook w:firstColumn="1" w:firstRow="1" w:lastColumn="0" w:lastRow="0" w:noHBand="0" w:noVBand="1" w:val="04A0"/>
      </w:tblPr>
      <w:tblGrid>
        <w:gridCol w:w="4873"/>
        <w:gridCol w:w="4873"/>
      </w:tblGrid>
      <w:tr>
        <w:trPr>
          <w:trHeight w:val="624" w:hRule="atLeast"/>
        </w:trPr>
        <w:tc>
          <w:tcPr>
            <w:tcW w:type="dxa" w:w="4873"/>
            <w:vAlign w:val="center"/>
            <w:shd w:fill="000099" w:val="clear"/>
          </w:tcPr>
          <w:p>
            <w:r>
              <w:rPr>
                <w:b/>
                <w:color w:val="FFFFFF"/>
              </w:rPr>
            </w:r>
            <w:r>
              <w:rPr>
                <w:rFonts w:ascii="Figtree" w:hAnsi="Figtree"/>
                <w:b/>
                <w:i w:val="0"/>
                <w:color w:val="FFFFFF"/>
                <w:sz w:val="22"/>
              </w:rPr>
              <w:t>Control</w:t>
            </w:r>
          </w:p>
        </w:tc>
        <w:tc>
          <w:tcPr>
            <w:tcW w:type="dxa" w:w="4873"/>
            <w:vAlign w:val="center"/>
            <w:shd w:fill="000099" w:val="clear"/>
          </w:tcPr>
          <w:p>
            <w:r>
              <w:rPr>
                <w:b/>
                <w:color w:val="FFFFFF"/>
              </w:rPr>
            </w:r>
            <w:r>
              <w:rPr>
                <w:rFonts w:ascii="Figtree" w:hAnsi="Figtree"/>
                <w:b/>
                <w:i w:val="0"/>
                <w:color w:val="FFFFFF"/>
                <w:sz w:val="22"/>
              </w:rPr>
              <w:t>Implementation</w:t>
            </w:r>
          </w:p>
        </w:tc>
      </w:tr>
      <w:tr>
        <w:trPr>
          <w:trHeight w:val="454" w:hRule="atLeast"/>
        </w:trPr>
        <w:tc>
          <w:tcPr>
            <w:tcW w:type="dxa" w:w="4873"/>
            <w:vAlign w:val="center"/>
          </w:tcPr>
          <w:p>
            <w:r/>
            <w:r>
              <w:rPr>
                <w:rFonts w:ascii="Figtree" w:hAnsi="Figtree"/>
                <w:b w:val="0"/>
                <w:i w:val="0"/>
                <w:sz w:val="22"/>
              </w:rPr>
              <w:t>Key management</w:t>
            </w:r>
          </w:p>
        </w:tc>
        <w:tc>
          <w:tcPr>
            <w:tcW w:type="dxa" w:w="4873"/>
            <w:vAlign w:val="center"/>
          </w:tcPr>
          <w:p>
            <w:r/>
            <w:r>
              <w:rPr>
                <w:rFonts w:ascii="Figtree" w:hAnsi="Figtree"/>
                <w:b w:val="0"/>
                <w:i w:val="0"/>
                <w:sz w:val="22"/>
              </w:rPr>
              <w:t>HSM integration for central bank signing keys</w:t>
            </w:r>
          </w:p>
        </w:tc>
      </w:tr>
      <w:tr>
        <w:trPr>
          <w:trHeight w:val="454" w:hRule="atLeast"/>
        </w:trPr>
        <w:tc>
          <w:tcPr>
            <w:tcW w:type="dxa" w:w="4873"/>
            <w:vAlign w:val="center"/>
          </w:tcPr>
          <w:p>
            <w:r/>
            <w:r>
              <w:rPr>
                <w:rFonts w:ascii="Figtree" w:hAnsi="Figtree"/>
                <w:b w:val="0"/>
                <w:i w:val="0"/>
                <w:sz w:val="22"/>
              </w:rPr>
              <w:t>Network security</w:t>
            </w:r>
          </w:p>
        </w:tc>
        <w:tc>
          <w:tcPr>
            <w:tcW w:type="dxa" w:w="4873"/>
            <w:vAlign w:val="center"/>
          </w:tcPr>
          <w:p>
            <w:r/>
            <w:r>
              <w:rPr>
                <w:rFonts w:ascii="Figtree" w:hAnsi="Figtree"/>
                <w:b w:val="0"/>
                <w:i w:val="0"/>
                <w:sz w:val="22"/>
              </w:rPr>
              <w:t>Permissioned network — no public access to validator layer</w:t>
            </w:r>
          </w:p>
        </w:tc>
      </w:tr>
      <w:tr>
        <w:trPr>
          <w:trHeight w:val="454" w:hRule="atLeast"/>
        </w:trPr>
        <w:tc>
          <w:tcPr>
            <w:tcW w:type="dxa" w:w="4873"/>
            <w:vAlign w:val="center"/>
          </w:tcPr>
          <w:p>
            <w:r/>
            <w:r>
              <w:rPr>
                <w:rFonts w:ascii="Figtree" w:hAnsi="Figtree"/>
                <w:b w:val="0"/>
                <w:i w:val="0"/>
                <w:sz w:val="22"/>
              </w:rPr>
              <w:t>Encryption</w:t>
            </w:r>
          </w:p>
        </w:tc>
        <w:tc>
          <w:tcPr>
            <w:tcW w:type="dxa" w:w="4873"/>
            <w:vAlign w:val="center"/>
          </w:tcPr>
          <w:p>
            <w:r/>
            <w:r>
              <w:rPr>
                <w:rFonts w:ascii="Figtree" w:hAnsi="Figtree"/>
                <w:b w:val="0"/>
                <w:i w:val="0"/>
                <w:sz w:val="22"/>
              </w:rPr>
              <w:t>AES-256 at rest, TLS 1.3 in transit</w:t>
            </w:r>
          </w:p>
        </w:tc>
      </w:tr>
      <w:tr>
        <w:trPr>
          <w:trHeight w:val="454" w:hRule="atLeast"/>
        </w:trPr>
        <w:tc>
          <w:tcPr>
            <w:tcW w:type="dxa" w:w="4873"/>
            <w:vAlign w:val="center"/>
          </w:tcPr>
          <w:p>
            <w:r/>
            <w:r>
              <w:rPr>
                <w:rFonts w:ascii="Figtree" w:hAnsi="Figtree"/>
                <w:b w:val="0"/>
                <w:i w:val="0"/>
                <w:sz w:val="22"/>
              </w:rPr>
              <w:t>Access control</w:t>
            </w:r>
          </w:p>
        </w:tc>
        <w:tc>
          <w:tcPr>
            <w:tcW w:type="dxa" w:w="4873"/>
            <w:vAlign w:val="center"/>
          </w:tcPr>
          <w:p>
            <w:r/>
            <w:r>
              <w:rPr>
                <w:rFonts w:ascii="Figtree" w:hAnsi="Figtree"/>
                <w:b w:val="0"/>
                <w:i w:val="0"/>
                <w:sz w:val="22"/>
              </w:rPr>
              <w:t>Multi-factor authentication, hardware security keys</w:t>
            </w:r>
          </w:p>
        </w:tc>
      </w:tr>
      <w:tr>
        <w:trPr>
          <w:trHeight w:val="454" w:hRule="atLeast"/>
        </w:trPr>
        <w:tc>
          <w:tcPr>
            <w:tcW w:type="dxa" w:w="4873"/>
            <w:vAlign w:val="center"/>
          </w:tcPr>
          <w:p>
            <w:r/>
            <w:r>
              <w:rPr>
                <w:rFonts w:ascii="Figtree" w:hAnsi="Figtree"/>
                <w:b w:val="0"/>
                <w:i w:val="0"/>
                <w:sz w:val="22"/>
              </w:rPr>
              <w:t>Audit</w:t>
            </w:r>
          </w:p>
        </w:tc>
        <w:tc>
          <w:tcPr>
            <w:tcW w:type="dxa" w:w="4873"/>
            <w:vAlign w:val="center"/>
          </w:tcPr>
          <w:p>
            <w:r/>
            <w:r>
              <w:rPr>
                <w:rFonts w:ascii="Figtree" w:hAnsi="Figtree"/>
                <w:b w:val="0"/>
                <w:i w:val="0"/>
                <w:sz w:val="22"/>
              </w:rPr>
              <w:t>Complete immutable transaction log, queryable API</w:t>
            </w:r>
          </w:p>
        </w:tc>
      </w:tr>
      <w:tr>
        <w:trPr>
          <w:trHeight w:val="454" w:hRule="atLeast"/>
        </w:trPr>
        <w:tc>
          <w:tcPr>
            <w:tcW w:type="dxa" w:w="4873"/>
            <w:vAlign w:val="center"/>
          </w:tcPr>
          <w:p>
            <w:r/>
            <w:r>
              <w:rPr>
                <w:rFonts w:ascii="Figtree" w:hAnsi="Figtree"/>
                <w:b w:val="0"/>
                <w:i w:val="0"/>
                <w:sz w:val="22"/>
              </w:rPr>
              <w:t>Certifications</w:t>
            </w:r>
          </w:p>
        </w:tc>
        <w:tc>
          <w:tcPr>
            <w:tcW w:type="dxa" w:w="4873"/>
            <w:vAlign w:val="center"/>
          </w:tcPr>
          <w:p>
            <w:r/>
            <w:r>
              <w:rPr>
                <w:rFonts w:ascii="Figtree" w:hAnsi="Figtree"/>
                <w:b w:val="0"/>
                <w:i w:val="0"/>
                <w:sz w:val="22"/>
              </w:rPr>
              <w:t>ISO 27001, SOC 2 Type II</w:t>
            </w:r>
          </w:p>
        </w:tc>
      </w:tr>
    </w:tbl>
    <w:p>
      <w:pPr>
        <w:pStyle w:val="H3"/>
        <w:numPr>
          <w:ilvl w:val="2"/>
          <w:numId w:val="1"/>
        </w:numPr>
      </w:pPr>
      <w:r>
        <w:t>Operational Resilience</w:t>
      </w:r>
    </w:p>
    <w:tbl>
      <w:tblPr>
        <w:tblStyle w:val="TableGrid"/>
        <w:tblW w:type="auto" w:w="0"/>
        <w:jc w:val="center"/>
        <w:tblLook w:firstColumn="1" w:firstRow="1" w:lastColumn="0" w:lastRow="0" w:noHBand="0" w:noVBand="1" w:val="04A0"/>
      </w:tblPr>
      <w:tblGrid>
        <w:gridCol w:w="4873"/>
        <w:gridCol w:w="4873"/>
      </w:tblGrid>
      <w:tr>
        <w:trPr>
          <w:trHeight w:val="624" w:hRule="atLeast"/>
        </w:trPr>
        <w:tc>
          <w:tcPr>
            <w:tcW w:type="dxa" w:w="4873"/>
            <w:vAlign w:val="center"/>
            <w:shd w:fill="000099" w:val="clear"/>
          </w:tcPr>
          <w:p>
            <w:r>
              <w:rPr>
                <w:b/>
                <w:color w:val="FFFFFF"/>
              </w:rPr>
            </w:r>
            <w:r>
              <w:rPr>
                <w:rFonts w:ascii="Figtree" w:hAnsi="Figtree"/>
                <w:b/>
                <w:i w:val="0"/>
                <w:color w:val="FFFFFF"/>
                <w:sz w:val="22"/>
              </w:rPr>
              <w:t>Target</w:t>
            </w:r>
          </w:p>
        </w:tc>
        <w:tc>
          <w:tcPr>
            <w:tcW w:type="dxa" w:w="4873"/>
            <w:vAlign w:val="center"/>
            <w:shd w:fill="000099" w:val="clear"/>
          </w:tcPr>
          <w:p>
            <w:r>
              <w:rPr>
                <w:b/>
                <w:color w:val="FFFFFF"/>
              </w:rPr>
            </w:r>
            <w:r>
              <w:rPr>
                <w:rFonts w:ascii="Figtree" w:hAnsi="Figtree"/>
                <w:b/>
                <w:i w:val="0"/>
                <w:color w:val="FFFFFF"/>
                <w:sz w:val="22"/>
              </w:rPr>
              <w:t>Value</w:t>
            </w:r>
          </w:p>
        </w:tc>
      </w:tr>
      <w:tr>
        <w:trPr>
          <w:trHeight w:val="454" w:hRule="atLeast"/>
        </w:trPr>
        <w:tc>
          <w:tcPr>
            <w:tcW w:type="dxa" w:w="4873"/>
            <w:vAlign w:val="center"/>
          </w:tcPr>
          <w:p>
            <w:r/>
            <w:r>
              <w:rPr>
                <w:rFonts w:ascii="Figtree" w:hAnsi="Figtree"/>
                <w:b w:val="0"/>
                <w:i w:val="0"/>
                <w:sz w:val="22"/>
              </w:rPr>
              <w:t>Availability</w:t>
            </w:r>
          </w:p>
        </w:tc>
        <w:tc>
          <w:tcPr>
            <w:tcW w:type="dxa" w:w="4873"/>
            <w:vAlign w:val="center"/>
          </w:tcPr>
          <w:p>
            <w:r/>
            <w:r>
              <w:rPr>
                <w:rFonts w:ascii="Figtree" w:hAnsi="Figtree"/>
                <w:b w:val="0"/>
                <w:i w:val="0"/>
                <w:sz w:val="22"/>
              </w:rPr>
              <w:t>99.99% (sovereign-grade)</w:t>
            </w:r>
          </w:p>
        </w:tc>
      </w:tr>
      <w:tr>
        <w:trPr>
          <w:trHeight w:val="454" w:hRule="atLeast"/>
        </w:trPr>
        <w:tc>
          <w:tcPr>
            <w:tcW w:type="dxa" w:w="4873"/>
            <w:vAlign w:val="center"/>
          </w:tcPr>
          <w:p>
            <w:r/>
            <w:r>
              <w:rPr>
                <w:rFonts w:ascii="Figtree" w:hAnsi="Figtree"/>
                <w:b w:val="0"/>
                <w:i w:val="0"/>
                <w:sz w:val="22"/>
              </w:rPr>
              <w:t>RPO</w:t>
            </w:r>
          </w:p>
        </w:tc>
        <w:tc>
          <w:tcPr>
            <w:tcW w:type="dxa" w:w="4873"/>
            <w:vAlign w:val="center"/>
          </w:tcPr>
          <w:p>
            <w:r/>
            <w:r>
              <w:rPr>
                <w:rFonts w:ascii="Figtree" w:hAnsi="Figtree"/>
                <w:b w:val="0"/>
                <w:i w:val="0"/>
                <w:sz w:val="22"/>
              </w:rPr>
              <w:t>&lt; 15 minutes</w:t>
            </w:r>
          </w:p>
        </w:tc>
      </w:tr>
      <w:tr>
        <w:trPr>
          <w:trHeight w:val="454" w:hRule="atLeast"/>
        </w:trPr>
        <w:tc>
          <w:tcPr>
            <w:tcW w:type="dxa" w:w="4873"/>
            <w:vAlign w:val="center"/>
          </w:tcPr>
          <w:p>
            <w:r/>
            <w:r>
              <w:rPr>
                <w:rFonts w:ascii="Figtree" w:hAnsi="Figtree"/>
                <w:b w:val="0"/>
                <w:i w:val="0"/>
                <w:sz w:val="22"/>
              </w:rPr>
              <w:t>RTO</w:t>
            </w:r>
          </w:p>
        </w:tc>
        <w:tc>
          <w:tcPr>
            <w:tcW w:type="dxa" w:w="4873"/>
            <w:vAlign w:val="center"/>
          </w:tcPr>
          <w:p>
            <w:r/>
            <w:r>
              <w:rPr>
                <w:rFonts w:ascii="Figtree" w:hAnsi="Figtree"/>
                <w:b w:val="0"/>
                <w:i w:val="0"/>
                <w:sz w:val="22"/>
              </w:rPr>
              <w:t>&lt; 1 hour</w:t>
            </w:r>
          </w:p>
        </w:tc>
      </w:tr>
      <w:tr>
        <w:trPr>
          <w:trHeight w:val="454" w:hRule="atLeast"/>
        </w:trPr>
        <w:tc>
          <w:tcPr>
            <w:tcW w:type="dxa" w:w="4873"/>
            <w:vAlign w:val="center"/>
          </w:tcPr>
          <w:p>
            <w:r/>
            <w:r>
              <w:rPr>
                <w:rFonts w:ascii="Figtree" w:hAnsi="Figtree"/>
                <w:b w:val="0"/>
                <w:i w:val="0"/>
                <w:sz w:val="22"/>
              </w:rPr>
              <w:t>DR testing</w:t>
            </w:r>
          </w:p>
        </w:tc>
        <w:tc>
          <w:tcPr>
            <w:tcW w:type="dxa" w:w="4873"/>
            <w:vAlign w:val="center"/>
          </w:tcPr>
          <w:p>
            <w:r/>
            <w:r>
              <w:rPr>
                <w:rFonts w:ascii="Figtree" w:hAnsi="Figtree"/>
                <w:b w:val="0"/>
                <w:i w:val="0"/>
                <w:sz w:val="22"/>
              </w:rPr>
              <w:t>Quarterly with documented results</w:t>
            </w:r>
          </w:p>
        </w:tc>
      </w:tr>
      <w:tr>
        <w:trPr>
          <w:trHeight w:val="454" w:hRule="atLeast"/>
        </w:trPr>
        <w:tc>
          <w:tcPr>
            <w:tcW w:type="dxa" w:w="4873"/>
            <w:vAlign w:val="center"/>
          </w:tcPr>
          <w:p>
            <w:r/>
            <w:r>
              <w:rPr>
                <w:rFonts w:ascii="Figtree" w:hAnsi="Figtree"/>
                <w:b w:val="0"/>
                <w:i w:val="0"/>
                <w:sz w:val="22"/>
              </w:rPr>
              <w:t>Incident response</w:t>
            </w:r>
          </w:p>
        </w:tc>
        <w:tc>
          <w:tcPr>
            <w:tcW w:type="dxa" w:w="4873"/>
            <w:vAlign w:val="center"/>
          </w:tcPr>
          <w:p>
            <w:r/>
            <w:r>
              <w:rPr>
                <w:rFonts w:ascii="Figtree" w:hAnsi="Figtree"/>
                <w:b w:val="0"/>
                <w:i w:val="0"/>
                <w:sz w:val="22"/>
              </w:rPr>
              <w:t>24×7 for P1 events</w:t>
            </w:r>
          </w:p>
        </w:tc>
      </w:tr>
    </w:tbl>
    <w:p>
      <w:r>
        <w:br w:type="page"/>
      </w:r>
    </w:p>
    <w:p>
      <w:pPr>
        <w:pStyle w:val="H2"/>
        <w:numPr>
          <w:ilvl w:val="1"/>
          <w:numId w:val="1"/>
        </w:numPr>
      </w:pPr>
      <w:r>
        <w:t>Implementation Approach and Delivery Phases</w:t>
      </w:r>
    </w:p>
    <w:p>
      <w:pPr>
        <w:pStyle w:val="H3"/>
        <w:numPr>
          <w:ilvl w:val="2"/>
          <w:numId w:val="1"/>
        </w:numPr>
      </w:pPr>
      <w:r>
        <w:t>Phased Implementation</w:t>
      </w:r>
    </w:p>
    <w:p>
      <w:r>
        <w:rPr>
          <w:rFonts w:ascii="Figtree" w:hAnsi="Figtree"/>
          <w:b w:val="0"/>
          <w:i w:val="0"/>
          <w:sz w:val="22"/>
        </w:rPr>
        <w:t>Given the sovereign nature of CBDC infrastructure, we recommend a phased approach:</w:t>
      </w:r>
    </w:p>
    <w:p>
      <w:r>
        <w:rPr>
          <w:rFonts w:ascii="Figtree" w:hAnsi="Figtree"/>
          <w:b/>
          <w:i w:val="0"/>
          <w:sz w:val="22"/>
        </w:rPr>
        <w:t>Phase A: Wholesale CBDC (Months 1–6)</w:t>
      </w:r>
    </w:p>
    <w:p>
      <w:pPr>
        <w:pStyle w:val="ListParagraph"/>
        <w:numPr>
          <w:ilvl w:val="0"/>
          <w:numId w:val="4"/>
        </w:numPr>
      </w:pPr>
      <w:r>
        <w:rPr>
          <w:rFonts w:ascii="Figtree" w:hAnsi="Figtree"/>
          <w:b w:val="0"/>
          <w:i w:val="0"/>
          <w:sz w:val="22"/>
        </w:rPr>
        <w:t>Interbank settlement infrastructure</w:t>
      </w:r>
    </w:p>
    <w:p>
      <w:pPr>
        <w:pStyle w:val="ListParagraph"/>
        <w:numPr>
          <w:ilvl w:val="0"/>
          <w:numId w:val="4"/>
        </w:numPr>
      </w:pPr>
      <w:r>
        <w:rPr>
          <w:rFonts w:ascii="Figtree" w:hAnsi="Figtree"/>
          <w:b w:val="0"/>
          <w:i w:val="0"/>
          <w:sz w:val="22"/>
        </w:rPr>
        <w:t>Central bank operations console</w:t>
      </w:r>
    </w:p>
    <w:p>
      <w:pPr>
        <w:pStyle w:val="ListParagraph"/>
        <w:numPr>
          <w:ilvl w:val="0"/>
          <w:numId w:val="4"/>
        </w:numPr>
      </w:pPr>
      <w:r>
        <w:rPr>
          <w:rFonts w:ascii="Figtree" w:hAnsi="Figtree"/>
          <w:b w:val="0"/>
          <w:i w:val="0"/>
          <w:sz w:val="22"/>
        </w:rPr>
        <w:t>Integration with existing RTGS and payment systems</w:t>
      </w:r>
    </w:p>
    <w:p>
      <w:pPr>
        <w:pStyle w:val="ListParagraph"/>
        <w:numPr>
          <w:ilvl w:val="0"/>
          <w:numId w:val="4"/>
        </w:numPr>
      </w:pPr>
      <w:r>
        <w:rPr>
          <w:rFonts w:ascii="Figtree" w:hAnsi="Figtree"/>
          <w:b w:val="0"/>
          <w:i w:val="0"/>
          <w:sz w:val="22"/>
        </w:rPr>
        <w:t>Validator network setup with CBUAE and selected banks</w:t>
      </w:r>
    </w:p>
    <w:p>
      <w:r>
        <w:rPr>
          <w:rFonts w:ascii="Figtree" w:hAnsi="Figtree"/>
          <w:b/>
          <w:i w:val="0"/>
          <w:sz w:val="22"/>
        </w:rPr>
        <w:t>Phase B: Retail CBDC Pilot (Months 7–12)</w:t>
      </w:r>
    </w:p>
    <w:p>
      <w:pPr>
        <w:pStyle w:val="ListParagraph"/>
        <w:numPr>
          <w:ilvl w:val="0"/>
          <w:numId w:val="4"/>
        </w:numPr>
      </w:pPr>
      <w:r>
        <w:rPr>
          <w:rFonts w:ascii="Figtree" w:hAnsi="Figtree"/>
          <w:b w:val="0"/>
          <w:i w:val="0"/>
          <w:sz w:val="22"/>
        </w:rPr>
        <w:t>Two-tier distribution model</w:t>
      </w:r>
    </w:p>
    <w:p>
      <w:pPr>
        <w:pStyle w:val="ListParagraph"/>
        <w:numPr>
          <w:ilvl w:val="0"/>
          <w:numId w:val="4"/>
        </w:numPr>
      </w:pPr>
      <w:r>
        <w:rPr>
          <w:rFonts w:ascii="Figtree" w:hAnsi="Figtree"/>
          <w:b w:val="0"/>
          <w:i w:val="0"/>
          <w:sz w:val="22"/>
        </w:rPr>
        <w:t>Bank distribution portal</w:t>
      </w:r>
    </w:p>
    <w:p>
      <w:pPr>
        <w:pStyle w:val="ListParagraph"/>
        <w:numPr>
          <w:ilvl w:val="0"/>
          <w:numId w:val="4"/>
        </w:numPr>
      </w:pPr>
      <w:r>
        <w:rPr>
          <w:rFonts w:ascii="Figtree" w:hAnsi="Figtree"/>
          <w:b w:val="0"/>
          <w:i w:val="0"/>
          <w:sz w:val="22"/>
        </w:rPr>
        <w:t>Consumer wallet infrastructure</w:t>
      </w:r>
    </w:p>
    <w:p>
      <w:pPr>
        <w:pStyle w:val="ListParagraph"/>
        <w:numPr>
          <w:ilvl w:val="0"/>
          <w:numId w:val="4"/>
        </w:numPr>
      </w:pPr>
      <w:r>
        <w:rPr>
          <w:rFonts w:ascii="Figtree" w:hAnsi="Figtree"/>
          <w:b w:val="0"/>
          <w:i w:val="0"/>
          <w:sz w:val="22"/>
        </w:rPr>
        <w:t>Limited geographic/participant pilot</w:t>
      </w:r>
    </w:p>
    <w:p>
      <w:r>
        <w:rPr>
          <w:rFonts w:ascii="Figtree" w:hAnsi="Figtree"/>
          <w:b/>
          <w:i w:val="0"/>
          <w:sz w:val="22"/>
        </w:rPr>
        <w:t>Phase C: Full Retail Deployment (Months 13–18)</w:t>
      </w:r>
    </w:p>
    <w:p>
      <w:pPr>
        <w:pStyle w:val="ListParagraph"/>
        <w:numPr>
          <w:ilvl w:val="0"/>
          <w:numId w:val="4"/>
        </w:numPr>
      </w:pPr>
      <w:r>
        <w:rPr>
          <w:rFonts w:ascii="Figtree" w:hAnsi="Figtree"/>
          <w:b w:val="0"/>
          <w:i w:val="0"/>
          <w:sz w:val="22"/>
        </w:rPr>
        <w:t>Nationwide rollout</w:t>
      </w:r>
    </w:p>
    <w:p>
      <w:pPr>
        <w:pStyle w:val="ListParagraph"/>
        <w:numPr>
          <w:ilvl w:val="0"/>
          <w:numId w:val="4"/>
        </w:numPr>
      </w:pPr>
      <w:r>
        <w:rPr>
          <w:rFonts w:ascii="Figtree" w:hAnsi="Figtree"/>
          <w:b w:val="0"/>
          <w:i w:val="0"/>
          <w:sz w:val="22"/>
        </w:rPr>
        <w:t>Merchant payment integration</w:t>
      </w:r>
    </w:p>
    <w:p>
      <w:pPr>
        <w:pStyle w:val="ListParagraph"/>
        <w:numPr>
          <w:ilvl w:val="0"/>
          <w:numId w:val="4"/>
        </w:numPr>
      </w:pPr>
      <w:r>
        <w:rPr>
          <w:rFonts w:ascii="Figtree" w:hAnsi="Figtree"/>
          <w:b w:val="0"/>
          <w:i w:val="0"/>
          <w:sz w:val="22"/>
        </w:rPr>
        <w:t>Government disbursement channels</w:t>
      </w:r>
    </w:p>
    <w:p>
      <w:pPr>
        <w:pStyle w:val="ListParagraph"/>
        <w:numPr>
          <w:ilvl w:val="0"/>
          <w:numId w:val="4"/>
        </w:numPr>
      </w:pPr>
      <w:r>
        <w:rPr>
          <w:rFonts w:ascii="Figtree" w:hAnsi="Figtree"/>
          <w:b w:val="0"/>
          <w:i w:val="0"/>
          <w:sz w:val="22"/>
        </w:rPr>
        <w:t>Cross-border corridors (building on Project Aber/mBridge)</w:t>
      </w:r>
    </w:p>
    <w:p>
      <w:pPr>
        <w:jc w:val="center"/>
      </w:pPr>
      <w:r>
        <w:drawing>
          <wp:inline xmlns:a="http://schemas.openxmlformats.org/drawingml/2006/main" xmlns:pic="http://schemas.openxmlformats.org/drawingml/2006/picture">
            <wp:extent cx="5486400" cy="2211355"/>
            <wp:docPr id="5" name="Picture 5"/>
            <wp:cNvGraphicFramePr>
              <a:graphicFrameLocks noChangeAspect="1"/>
            </wp:cNvGraphicFramePr>
            <a:graphic>
              <a:graphicData uri="http://schemas.openxmlformats.org/drawingml/2006/picture">
                <pic:pic>
                  <pic:nvPicPr>
                    <pic:cNvPr id="0" name="_diagram-005.png"/>
                    <pic:cNvPicPr/>
                  </pic:nvPicPr>
                  <pic:blipFill>
                    <a:blip r:embed="rId17"/>
                    <a:stretch>
                      <a:fillRect/>
                    </a:stretch>
                  </pic:blipFill>
                  <pic:spPr>
                    <a:xfrm>
                      <a:off x="0" y="0"/>
                      <a:ext cx="5486400" cy="2211355"/>
                    </a:xfrm>
                    <a:prstGeom prst="rect"/>
                  </pic:spPr>
                </pic:pic>
              </a:graphicData>
            </a:graphic>
          </wp:inline>
        </w:drawing>
      </w:r>
    </w:p>
    <w:p>
      <w:r>
        <w:br w:type="page"/>
      </w:r>
    </w:p>
    <w:p>
      <w:pPr>
        <w:pStyle w:val="H2"/>
        <w:numPr>
          <w:ilvl w:val="1"/>
          <w:numId w:val="1"/>
        </w:numPr>
      </w:pPr>
      <w:r>
        <w:t>Current Coverage, Dependencies, and Qualified Gaps</w:t>
      </w:r>
    </w:p>
    <w:p>
      <w:pPr>
        <w:pStyle w:val="H3"/>
        <w:numPr>
          <w:ilvl w:val="2"/>
          <w:numId w:val="1"/>
        </w:numPr>
      </w:pPr>
      <w:r>
        <w:t>Coverage Summary</w:t>
      </w:r>
    </w:p>
    <w:tbl>
      <w:tblPr>
        <w:tblStyle w:val="TableGrid"/>
        <w:tblW w:type="auto" w:w="0"/>
        <w:jc w:val="center"/>
        <w:tblLook w:firstColumn="1" w:firstRow="1" w:lastColumn="0" w:lastRow="0" w:noHBand="0" w:noVBand="1" w:val="04A0"/>
      </w:tblPr>
      <w:tblGrid>
        <w:gridCol w:w="3249"/>
        <w:gridCol w:w="3249"/>
        <w:gridCol w:w="3249"/>
      </w:tblGrid>
      <w:tr>
        <w:trPr>
          <w:trHeight w:val="624" w:hRule="atLeast"/>
        </w:trPr>
        <w:tc>
          <w:tcPr>
            <w:tcW w:type="dxa" w:w="3249"/>
            <w:vAlign w:val="center"/>
            <w:shd w:fill="000099" w:val="clear"/>
          </w:tcPr>
          <w:p>
            <w:r>
              <w:rPr>
                <w:b/>
                <w:color w:val="FFFFFF"/>
              </w:rPr>
            </w:r>
            <w:r>
              <w:rPr>
                <w:rFonts w:ascii="Figtree" w:hAnsi="Figtree"/>
                <w:b/>
                <w:i w:val="0"/>
                <w:color w:val="FFFFFF"/>
                <w:sz w:val="22"/>
              </w:rPr>
              <w:t>Requirement Area</w:t>
            </w:r>
          </w:p>
        </w:tc>
        <w:tc>
          <w:tcPr>
            <w:tcW w:type="dxa" w:w="3249"/>
            <w:vAlign w:val="center"/>
            <w:shd w:fill="000099" w:val="clear"/>
          </w:tcPr>
          <w:p>
            <w:r>
              <w:rPr>
                <w:b/>
                <w:color w:val="FFFFFF"/>
              </w:rPr>
            </w:r>
            <w:r>
              <w:rPr>
                <w:rFonts w:ascii="Figtree" w:hAnsi="Figtree"/>
                <w:b/>
                <w:i w:val="0"/>
                <w:color w:val="FFFFFF"/>
                <w:sz w:val="22"/>
              </w:rPr>
              <w:t>Status</w:t>
            </w:r>
          </w:p>
        </w:tc>
        <w:tc>
          <w:tcPr>
            <w:tcW w:type="dxa" w:w="3249"/>
            <w:vAlign w:val="center"/>
            <w:shd w:fill="000099" w:val="clear"/>
          </w:tcPr>
          <w:p>
            <w:r>
              <w:rPr>
                <w:b/>
                <w:color w:val="FFFFFF"/>
              </w:rPr>
            </w:r>
            <w:r>
              <w:rPr>
                <w:rFonts w:ascii="Figtree" w:hAnsi="Figtree"/>
                <w:b/>
                <w:i w:val="0"/>
                <w:color w:val="FFFFFF"/>
                <w:sz w:val="22"/>
              </w:rPr>
              <w:t>Notes</w:t>
            </w:r>
          </w:p>
        </w:tc>
      </w:tr>
      <w:tr>
        <w:trPr>
          <w:trHeight w:val="454" w:hRule="atLeast"/>
        </w:trPr>
        <w:tc>
          <w:tcPr>
            <w:tcW w:type="dxa" w:w="3249"/>
            <w:vAlign w:val="center"/>
          </w:tcPr>
          <w:p>
            <w:r/>
            <w:r>
              <w:rPr>
                <w:rFonts w:ascii="Figtree" w:hAnsi="Figtree"/>
                <w:b w:val="0"/>
                <w:i w:val="0"/>
                <w:sz w:val="22"/>
              </w:rPr>
              <w:t>Token issuance &amp; supply management</w:t>
            </w:r>
          </w:p>
        </w:tc>
        <w:tc>
          <w:tcPr>
            <w:tcW w:type="dxa" w:w="3249"/>
            <w:vAlign w:val="center"/>
          </w:tcPr>
          <w:p>
            <w:r/>
            <w:r>
              <w:rPr>
                <w:rFonts w:ascii="Figtree" w:hAnsi="Figtree"/>
                <w:b/>
                <w:i w:val="0"/>
                <w:sz w:val="22"/>
              </w:rPr>
              <w:t>Full</w:t>
            </w:r>
          </w:p>
        </w:tc>
        <w:tc>
          <w:tcPr>
            <w:tcW w:type="dxa" w:w="3249"/>
            <w:vAlign w:val="center"/>
          </w:tcPr>
          <w:p>
            <w:r/>
            <w:r>
              <w:rPr>
                <w:rFonts w:ascii="Figtree" w:hAnsi="Figtree"/>
                <w:b w:val="0"/>
                <w:i w:val="0"/>
                <w:sz w:val="22"/>
              </w:rPr>
              <w:t>Central bank-exclusive minting/burning</w:t>
            </w:r>
          </w:p>
        </w:tc>
      </w:tr>
      <w:tr>
        <w:trPr>
          <w:trHeight w:val="454" w:hRule="atLeast"/>
        </w:trPr>
        <w:tc>
          <w:tcPr>
            <w:tcW w:type="dxa" w:w="3249"/>
            <w:vAlign w:val="center"/>
          </w:tcPr>
          <w:p>
            <w:r/>
            <w:r>
              <w:rPr>
                <w:rFonts w:ascii="Figtree" w:hAnsi="Figtree"/>
                <w:b w:val="0"/>
                <w:i w:val="0"/>
                <w:sz w:val="22"/>
              </w:rPr>
              <w:t>Two-tier distribution</w:t>
            </w:r>
          </w:p>
        </w:tc>
        <w:tc>
          <w:tcPr>
            <w:tcW w:type="dxa" w:w="3249"/>
            <w:vAlign w:val="center"/>
          </w:tcPr>
          <w:p>
            <w:r/>
            <w:r>
              <w:rPr>
                <w:rFonts w:ascii="Figtree" w:hAnsi="Figtree"/>
                <w:b/>
                <w:i w:val="0"/>
                <w:sz w:val="22"/>
              </w:rPr>
              <w:t>Full</w:t>
            </w:r>
          </w:p>
        </w:tc>
        <w:tc>
          <w:tcPr>
            <w:tcW w:type="dxa" w:w="3249"/>
            <w:vAlign w:val="center"/>
          </w:tcPr>
          <w:p>
            <w:r/>
            <w:r>
              <w:rPr>
                <w:rFonts w:ascii="Figtree" w:hAnsi="Figtree"/>
                <w:b w:val="0"/>
                <w:i w:val="0"/>
                <w:sz w:val="22"/>
              </w:rPr>
              <w:t>Configurable distribution contracts</w:t>
            </w:r>
          </w:p>
        </w:tc>
      </w:tr>
      <w:tr>
        <w:trPr>
          <w:trHeight w:val="454" w:hRule="atLeast"/>
        </w:trPr>
        <w:tc>
          <w:tcPr>
            <w:tcW w:type="dxa" w:w="3249"/>
            <w:vAlign w:val="center"/>
          </w:tcPr>
          <w:p>
            <w:r/>
            <w:r>
              <w:rPr>
                <w:rFonts w:ascii="Figtree" w:hAnsi="Figtree"/>
                <w:b w:val="0"/>
                <w:i w:val="0"/>
                <w:sz w:val="22"/>
              </w:rPr>
              <w:t>AML/CFT integration</w:t>
            </w:r>
          </w:p>
        </w:tc>
        <w:tc>
          <w:tcPr>
            <w:tcW w:type="dxa" w:w="3249"/>
            <w:vAlign w:val="center"/>
          </w:tcPr>
          <w:p>
            <w:r/>
            <w:r>
              <w:rPr>
                <w:rFonts w:ascii="Figtree" w:hAnsi="Figtree"/>
                <w:b/>
                <w:i w:val="0"/>
                <w:sz w:val="22"/>
              </w:rPr>
              <w:t>Full</w:t>
            </w:r>
          </w:p>
        </w:tc>
        <w:tc>
          <w:tcPr>
            <w:tcW w:type="dxa" w:w="3249"/>
            <w:vAlign w:val="center"/>
          </w:tcPr>
          <w:p>
            <w:r/>
            <w:r>
              <w:rPr>
                <w:rFonts w:ascii="Figtree" w:hAnsi="Figtree"/>
                <w:b w:val="0"/>
                <w:i w:val="0"/>
                <w:sz w:val="22"/>
              </w:rPr>
              <w:t>Webhook events, API integration</w:t>
            </w:r>
          </w:p>
        </w:tc>
      </w:tr>
      <w:tr>
        <w:trPr>
          <w:trHeight w:val="454" w:hRule="atLeast"/>
        </w:trPr>
        <w:tc>
          <w:tcPr>
            <w:tcW w:type="dxa" w:w="3249"/>
            <w:vAlign w:val="center"/>
          </w:tcPr>
          <w:p>
            <w:r/>
            <w:r>
              <w:rPr>
                <w:rFonts w:ascii="Figtree" w:hAnsi="Figtree"/>
                <w:b w:val="0"/>
                <w:i w:val="0"/>
                <w:sz w:val="22"/>
              </w:rPr>
              <w:t>Transaction limits</w:t>
            </w:r>
          </w:p>
        </w:tc>
        <w:tc>
          <w:tcPr>
            <w:tcW w:type="dxa" w:w="3249"/>
            <w:vAlign w:val="center"/>
          </w:tcPr>
          <w:p>
            <w:r/>
            <w:r>
              <w:rPr>
                <w:rFonts w:ascii="Figtree" w:hAnsi="Figtree"/>
                <w:b/>
                <w:i w:val="0"/>
                <w:sz w:val="22"/>
              </w:rPr>
              <w:t>Full</w:t>
            </w:r>
          </w:p>
        </w:tc>
        <w:tc>
          <w:tcPr>
            <w:tcW w:type="dxa" w:w="3249"/>
            <w:vAlign w:val="center"/>
          </w:tcPr>
          <w:p>
            <w:r/>
            <w:r>
              <w:rPr>
                <w:rFonts w:ascii="Figtree" w:hAnsi="Figtree"/>
                <w:b w:val="0"/>
                <w:i w:val="0"/>
                <w:sz w:val="22"/>
              </w:rPr>
              <w:t>Per-tier configurable limits</w:t>
            </w:r>
          </w:p>
        </w:tc>
      </w:tr>
      <w:tr>
        <w:trPr>
          <w:trHeight w:val="454" w:hRule="atLeast"/>
        </w:trPr>
        <w:tc>
          <w:tcPr>
            <w:tcW w:type="dxa" w:w="3249"/>
            <w:vAlign w:val="center"/>
          </w:tcPr>
          <w:p>
            <w:r/>
            <w:r>
              <w:rPr>
                <w:rFonts w:ascii="Figtree" w:hAnsi="Figtree"/>
                <w:b w:val="0"/>
                <w:i w:val="0"/>
                <w:sz w:val="22"/>
              </w:rPr>
              <w:t>Audit trail</w:t>
            </w:r>
          </w:p>
        </w:tc>
        <w:tc>
          <w:tcPr>
            <w:tcW w:type="dxa" w:w="3249"/>
            <w:vAlign w:val="center"/>
          </w:tcPr>
          <w:p>
            <w:r/>
            <w:r>
              <w:rPr>
                <w:rFonts w:ascii="Figtree" w:hAnsi="Figtree"/>
                <w:b/>
                <w:i w:val="0"/>
                <w:sz w:val="22"/>
              </w:rPr>
              <w:t>Full</w:t>
            </w:r>
          </w:p>
        </w:tc>
        <w:tc>
          <w:tcPr>
            <w:tcW w:type="dxa" w:w="3249"/>
            <w:vAlign w:val="center"/>
          </w:tcPr>
          <w:p>
            <w:r/>
            <w:r>
              <w:rPr>
                <w:rFonts w:ascii="Figtree" w:hAnsi="Figtree"/>
                <w:b w:val="0"/>
                <w:i w:val="0"/>
                <w:sz w:val="22"/>
              </w:rPr>
              <w:t>Complete immutable log</w:t>
            </w:r>
          </w:p>
        </w:tc>
      </w:tr>
      <w:tr>
        <w:trPr>
          <w:trHeight w:val="454" w:hRule="atLeast"/>
        </w:trPr>
        <w:tc>
          <w:tcPr>
            <w:tcW w:type="dxa" w:w="3249"/>
            <w:vAlign w:val="center"/>
          </w:tcPr>
          <w:p>
            <w:r/>
            <w:r>
              <w:rPr>
                <w:rFonts w:ascii="Figtree" w:hAnsi="Figtree"/>
                <w:b w:val="0"/>
                <w:i w:val="0"/>
                <w:sz w:val="22"/>
              </w:rPr>
              <w:t>Cross-border settlement</w:t>
            </w:r>
          </w:p>
        </w:tc>
        <w:tc>
          <w:tcPr>
            <w:tcW w:type="dxa" w:w="3249"/>
            <w:vAlign w:val="center"/>
          </w:tcPr>
          <w:p>
            <w:r/>
            <w:r>
              <w:rPr>
                <w:rFonts w:ascii="Figtree" w:hAnsi="Figtree"/>
                <w:b/>
                <w:i w:val="0"/>
                <w:sz w:val="22"/>
              </w:rPr>
              <w:t>Partial</w:t>
            </w:r>
          </w:p>
        </w:tc>
        <w:tc>
          <w:tcPr>
            <w:tcW w:type="dxa" w:w="3249"/>
            <w:vAlign w:val="center"/>
          </w:tcPr>
          <w:p>
            <w:r/>
            <w:r>
              <w:rPr>
                <w:rFonts w:ascii="Figtree" w:hAnsi="Figtree"/>
                <w:b w:val="0"/>
                <w:i w:val="0"/>
                <w:sz w:val="22"/>
              </w:rPr>
              <w:t>Multi-network support available; specific corridor configuration required</w:t>
            </w:r>
          </w:p>
        </w:tc>
      </w:tr>
      <w:tr>
        <w:trPr>
          <w:trHeight w:val="454" w:hRule="atLeast"/>
        </w:trPr>
        <w:tc>
          <w:tcPr>
            <w:tcW w:type="dxa" w:w="3249"/>
            <w:vAlign w:val="center"/>
          </w:tcPr>
          <w:p>
            <w:r/>
            <w:r>
              <w:rPr>
                <w:rFonts w:ascii="Figtree" w:hAnsi="Figtree"/>
                <w:b w:val="0"/>
                <w:i w:val="0"/>
                <w:sz w:val="22"/>
              </w:rPr>
              <w:t>Offline capability</w:t>
            </w:r>
          </w:p>
        </w:tc>
        <w:tc>
          <w:tcPr>
            <w:tcW w:type="dxa" w:w="3249"/>
            <w:vAlign w:val="center"/>
          </w:tcPr>
          <w:p>
            <w:r/>
            <w:r>
              <w:rPr>
                <w:rFonts w:ascii="Figtree" w:hAnsi="Figtree"/>
                <w:b/>
                <w:i w:val="0"/>
                <w:sz w:val="22"/>
              </w:rPr>
              <w:t>Planned</w:t>
            </w:r>
          </w:p>
        </w:tc>
        <w:tc>
          <w:tcPr>
            <w:tcW w:type="dxa" w:w="3249"/>
            <w:vAlign w:val="center"/>
          </w:tcPr>
          <w:p>
            <w:r/>
            <w:r>
              <w:rPr>
                <w:rFonts w:ascii="Figtree" w:hAnsi="Figtree"/>
                <w:b w:val="0"/>
                <w:i w:val="0"/>
                <w:sz w:val="22"/>
              </w:rPr>
              <w:t>Under evaluation — hardware wallet integration pathway</w:t>
            </w:r>
          </w:p>
        </w:tc>
      </w:tr>
      <w:tr>
        <w:trPr>
          <w:trHeight w:val="454" w:hRule="atLeast"/>
        </w:trPr>
        <w:tc>
          <w:tcPr>
            <w:tcW w:type="dxa" w:w="3249"/>
            <w:vAlign w:val="center"/>
          </w:tcPr>
          <w:p>
            <w:r/>
            <w:r>
              <w:rPr>
                <w:rFonts w:ascii="Figtree" w:hAnsi="Figtree"/>
                <w:b w:val="0"/>
                <w:i w:val="0"/>
                <w:sz w:val="22"/>
              </w:rPr>
              <w:t>Privacy-preserving transactions</w:t>
            </w:r>
          </w:p>
        </w:tc>
        <w:tc>
          <w:tcPr>
            <w:tcW w:type="dxa" w:w="3249"/>
            <w:vAlign w:val="center"/>
          </w:tcPr>
          <w:p>
            <w:r/>
            <w:r>
              <w:rPr>
                <w:rFonts w:ascii="Figtree" w:hAnsi="Figtree"/>
                <w:b/>
                <w:i w:val="0"/>
                <w:sz w:val="22"/>
              </w:rPr>
              <w:t>Partial</w:t>
            </w:r>
          </w:p>
        </w:tc>
        <w:tc>
          <w:tcPr>
            <w:tcW w:type="dxa" w:w="3249"/>
            <w:vAlign w:val="center"/>
          </w:tcPr>
          <w:p>
            <w:r/>
            <w:r>
              <w:rPr>
                <w:rFonts w:ascii="Figtree" w:hAnsi="Figtree"/>
                <w:b w:val="0"/>
                <w:i w:val="0"/>
                <w:sz w:val="22"/>
              </w:rPr>
              <w:t>Besu private transactions available; zero-knowledge proof integration on roadmap</w:t>
            </w:r>
          </w:p>
        </w:tc>
      </w:tr>
    </w:tbl>
    <w:p>
      <w:pPr>
        <w:pStyle w:val="H3"/>
        <w:numPr>
          <w:ilvl w:val="2"/>
          <w:numId w:val="1"/>
        </w:numPr>
      </w:pPr>
      <w:r>
        <w:t>Qualified Gaps</w:t>
      </w:r>
    </w:p>
    <w:p>
      <w:r>
        <w:rPr>
          <w:rFonts w:ascii="Figtree" w:hAnsi="Figtree"/>
          <w:b/>
          <w:i w:val="0"/>
          <w:sz w:val="22"/>
        </w:rPr>
        <w:t>Offline capability — Planned.</w:t>
      </w:r>
      <w:r>
        <w:rPr>
          <w:rFonts w:ascii="Figtree" w:hAnsi="Figtree"/>
          <w:b w:val="0"/>
          <w:i w:val="0"/>
          <w:sz w:val="22"/>
        </w:rPr>
        <w:t xml:space="preserve"> Retail CBDC offline payments require hardware-based solutions. DALP does not currently provide native offline payment capability. Mitigation: partnership with hardware wallet providers for offline-capable devices, with on-chain reconciliation when connectivity restores. Timeline: evaluated during Phase B design.</w:t>
      </w:r>
    </w:p>
    <w:p>
      <w:r>
        <w:rPr>
          <w:rFonts w:ascii="Figtree" w:hAnsi="Figtree"/>
          <w:b/>
          <w:i w:val="0"/>
          <w:sz w:val="22"/>
        </w:rPr>
        <w:t>Privacy-preserving transactions — Partial.</w:t>
      </w:r>
      <w:r>
        <w:rPr>
          <w:rFonts w:ascii="Figtree" w:hAnsi="Figtree"/>
          <w:b w:val="0"/>
          <w:i w:val="0"/>
          <w:sz w:val="22"/>
        </w:rPr>
        <w:t xml:space="preserve"> Besu private transaction groups provide selective disclosure. Full zero-knowledge proof-based privacy for retail transactions is on the platform roadmap (2027). Mitigation: tiered privacy model using Besu private groups for wholesale and standard pseudonymous transactions for retail with regulatory access.</w:t>
      </w:r>
    </w:p>
    <w:p>
      <w:r>
        <w:br w:type="page"/>
      </w:r>
    </w:p>
    <w:p>
      <w:pPr>
        <w:pStyle w:val="H2"/>
        <w:numPr>
          <w:ilvl w:val="1"/>
          <w:numId w:val="1"/>
        </w:numPr>
      </w:pPr>
      <w:r>
        <w:t>Relevant Delivery Evidence</w:t>
      </w:r>
    </w:p>
    <w:tbl>
      <w:tblPr>
        <w:tblStyle w:val="TableGrid"/>
        <w:tblW w:type="auto" w:w="0"/>
        <w:jc w:val="center"/>
        <w:tblLook w:firstColumn="1" w:firstRow="1" w:lastColumn="0" w:lastRow="0" w:noHBand="0" w:noVBand="1" w:val="04A0"/>
      </w:tblPr>
      <w:tblGrid>
        <w:gridCol w:w="3249"/>
        <w:gridCol w:w="3249"/>
        <w:gridCol w:w="3249"/>
      </w:tblGrid>
      <w:tr>
        <w:trPr>
          <w:trHeight w:val="624" w:hRule="atLeast"/>
        </w:trPr>
        <w:tc>
          <w:tcPr>
            <w:tcW w:type="dxa" w:w="3249"/>
            <w:vAlign w:val="center"/>
            <w:shd w:fill="000099" w:val="clear"/>
          </w:tcPr>
          <w:p>
            <w:r>
              <w:rPr>
                <w:b/>
                <w:color w:val="FFFFFF"/>
              </w:rPr>
            </w:r>
            <w:r>
              <w:rPr>
                <w:rFonts w:ascii="Figtree" w:hAnsi="Figtree"/>
                <w:b/>
                <w:i w:val="0"/>
                <w:color w:val="FFFFFF"/>
                <w:sz w:val="22"/>
              </w:rPr>
              <w:t>Client</w:t>
            </w:r>
          </w:p>
        </w:tc>
        <w:tc>
          <w:tcPr>
            <w:tcW w:type="dxa" w:w="3249"/>
            <w:vAlign w:val="center"/>
            <w:shd w:fill="000099" w:val="clear"/>
          </w:tcPr>
          <w:p>
            <w:r>
              <w:rPr>
                <w:b/>
                <w:color w:val="FFFFFF"/>
              </w:rPr>
            </w:r>
            <w:r>
              <w:rPr>
                <w:rFonts w:ascii="Figtree" w:hAnsi="Figtree"/>
                <w:b/>
                <w:i w:val="0"/>
                <w:color w:val="FFFFFF"/>
                <w:sz w:val="22"/>
              </w:rPr>
              <w:t>Region</w:t>
            </w:r>
          </w:p>
        </w:tc>
        <w:tc>
          <w:tcPr>
            <w:tcW w:type="dxa" w:w="3249"/>
            <w:vAlign w:val="center"/>
            <w:shd w:fill="000099" w:val="clear"/>
          </w:tcPr>
          <w:p>
            <w:r>
              <w:rPr>
                <w:b/>
                <w:color w:val="FFFFFF"/>
              </w:rPr>
            </w:r>
            <w:r>
              <w:rPr>
                <w:rFonts w:ascii="Figtree" w:hAnsi="Figtree"/>
                <w:b/>
                <w:i w:val="0"/>
                <w:color w:val="FFFFFF"/>
                <w:sz w:val="22"/>
              </w:rPr>
              <w:t>Relevance</w:t>
            </w:r>
          </w:p>
        </w:tc>
      </w:tr>
      <w:tr>
        <w:trPr>
          <w:trHeight w:val="454" w:hRule="atLeast"/>
        </w:trPr>
        <w:tc>
          <w:tcPr>
            <w:tcW w:type="dxa" w:w="3249"/>
            <w:vAlign w:val="center"/>
          </w:tcPr>
          <w:p>
            <w:r/>
            <w:r>
              <w:rPr>
                <w:rFonts w:ascii="Figtree" w:hAnsi="Figtree"/>
                <w:b w:val="0"/>
                <w:i w:val="0"/>
                <w:sz w:val="22"/>
              </w:rPr>
              <w:t>State Bank of India (e-Rupee)</w:t>
            </w:r>
          </w:p>
        </w:tc>
        <w:tc>
          <w:tcPr>
            <w:tcW w:type="dxa" w:w="3249"/>
            <w:vAlign w:val="center"/>
          </w:tcPr>
          <w:p>
            <w:r/>
            <w:r>
              <w:rPr>
                <w:rFonts w:ascii="Figtree" w:hAnsi="Figtree"/>
                <w:b w:val="0"/>
                <w:i w:val="0"/>
                <w:sz w:val="22"/>
              </w:rPr>
              <w:t>India</w:t>
            </w:r>
          </w:p>
        </w:tc>
        <w:tc>
          <w:tcPr>
            <w:tcW w:type="dxa" w:w="3249"/>
            <w:vAlign w:val="center"/>
          </w:tcPr>
          <w:p>
            <w:r/>
            <w:r>
              <w:rPr>
                <w:rFonts w:ascii="Figtree" w:hAnsi="Figtree"/>
                <w:b/>
                <w:i w:val="0"/>
                <w:sz w:val="22"/>
              </w:rPr>
              <w:t>Direct</w:t>
            </w:r>
            <w:r>
              <w:rPr>
                <w:rFonts w:ascii="Figtree" w:hAnsi="Figtree"/>
                <w:b w:val="0"/>
                <w:i w:val="0"/>
                <w:sz w:val="22"/>
              </w:rPr>
              <w:t xml:space="preserve"> — CBDC infrastructure at national scale</w:t>
            </w:r>
          </w:p>
        </w:tc>
      </w:tr>
      <w:tr>
        <w:trPr>
          <w:trHeight w:val="454" w:hRule="atLeast"/>
        </w:trPr>
        <w:tc>
          <w:tcPr>
            <w:tcW w:type="dxa" w:w="3249"/>
            <w:vAlign w:val="center"/>
          </w:tcPr>
          <w:p>
            <w:r/>
            <w:r>
              <w:rPr>
                <w:rFonts w:ascii="Figtree" w:hAnsi="Figtree"/>
                <w:b w:val="0"/>
                <w:i w:val="0"/>
                <w:sz w:val="22"/>
              </w:rPr>
              <w:t>Saudi Arabia RER</w:t>
            </w:r>
          </w:p>
        </w:tc>
        <w:tc>
          <w:tcPr>
            <w:tcW w:type="dxa" w:w="3249"/>
            <w:vAlign w:val="center"/>
          </w:tcPr>
          <w:p>
            <w:r/>
            <w:r>
              <w:rPr>
                <w:rFonts w:ascii="Figtree" w:hAnsi="Figtree"/>
                <w:b w:val="0"/>
                <w:i w:val="0"/>
                <w:sz w:val="22"/>
              </w:rPr>
              <w:t>KSA</w:t>
            </w:r>
          </w:p>
        </w:tc>
        <w:tc>
          <w:tcPr>
            <w:tcW w:type="dxa" w:w="3249"/>
            <w:vAlign w:val="center"/>
          </w:tcPr>
          <w:p>
            <w:r/>
            <w:r>
              <w:rPr>
                <w:rFonts w:ascii="Figtree" w:hAnsi="Figtree"/>
                <w:b/>
                <w:i w:val="0"/>
                <w:sz w:val="22"/>
              </w:rPr>
              <w:t>Direct</w:t>
            </w:r>
            <w:r>
              <w:rPr>
                <w:rFonts w:ascii="Figtree" w:hAnsi="Figtree"/>
                <w:b w:val="0"/>
                <w:i w:val="0"/>
                <w:sz w:val="22"/>
              </w:rPr>
              <w:t xml:space="preserve"> — sovereign-scale blockchain, UAE neighbor</w:t>
            </w:r>
          </w:p>
        </w:tc>
      </w:tr>
      <w:tr>
        <w:trPr>
          <w:trHeight w:val="454" w:hRule="atLeast"/>
        </w:trPr>
        <w:tc>
          <w:tcPr>
            <w:tcW w:type="dxa" w:w="3249"/>
            <w:vAlign w:val="center"/>
          </w:tcPr>
          <w:p>
            <w:r/>
            <w:r>
              <w:rPr>
                <w:rFonts w:ascii="Figtree" w:hAnsi="Figtree"/>
                <w:b w:val="0"/>
                <w:i w:val="0"/>
                <w:sz w:val="22"/>
              </w:rPr>
              <w:t>Islamic Development Bank</w:t>
            </w:r>
          </w:p>
        </w:tc>
        <w:tc>
          <w:tcPr>
            <w:tcW w:type="dxa" w:w="3249"/>
            <w:vAlign w:val="center"/>
          </w:tcPr>
          <w:p>
            <w:r/>
            <w:r>
              <w:rPr>
                <w:rFonts w:ascii="Figtree" w:hAnsi="Figtree"/>
                <w:b w:val="0"/>
                <w:i w:val="0"/>
                <w:sz w:val="22"/>
              </w:rPr>
              <w:t>57 countries</w:t>
            </w:r>
          </w:p>
        </w:tc>
        <w:tc>
          <w:tcPr>
            <w:tcW w:type="dxa" w:w="3249"/>
            <w:vAlign w:val="center"/>
          </w:tcPr>
          <w:p>
            <w:r/>
            <w:r>
              <w:rPr>
                <w:rFonts w:ascii="Figtree" w:hAnsi="Figtree"/>
                <w:b w:val="0"/>
                <w:i w:val="0"/>
                <w:sz w:val="22"/>
              </w:rPr>
              <w:t>Sovereign-scale distribution system</w:t>
            </w:r>
          </w:p>
        </w:tc>
      </w:tr>
      <w:tr>
        <w:trPr>
          <w:trHeight w:val="454" w:hRule="atLeast"/>
        </w:trPr>
        <w:tc>
          <w:tcPr>
            <w:tcW w:type="dxa" w:w="3249"/>
            <w:vAlign w:val="center"/>
          </w:tcPr>
          <w:p>
            <w:r/>
            <w:r>
              <w:rPr>
                <w:rFonts w:ascii="Figtree" w:hAnsi="Figtree"/>
                <w:b w:val="0"/>
                <w:i w:val="0"/>
                <w:sz w:val="22"/>
              </w:rPr>
              <w:t>Maybank (Project Photon)</w:t>
            </w:r>
          </w:p>
        </w:tc>
        <w:tc>
          <w:tcPr>
            <w:tcW w:type="dxa" w:w="3249"/>
            <w:vAlign w:val="center"/>
          </w:tcPr>
          <w:p>
            <w:r/>
            <w:r>
              <w:rPr>
                <w:rFonts w:ascii="Figtree" w:hAnsi="Figtree"/>
                <w:b w:val="0"/>
                <w:i w:val="0"/>
                <w:sz w:val="22"/>
              </w:rPr>
              <w:t>Malaysia</w:t>
            </w:r>
          </w:p>
        </w:tc>
        <w:tc>
          <w:tcPr>
            <w:tcW w:type="dxa" w:w="3249"/>
            <w:vAlign w:val="center"/>
          </w:tcPr>
          <w:p>
            <w:r/>
            <w:r>
              <w:rPr>
                <w:rFonts w:ascii="Figtree" w:hAnsi="Figtree"/>
                <w:b w:val="0"/>
                <w:i w:val="0"/>
                <w:sz w:val="22"/>
              </w:rPr>
              <w:t>Cross-border FX settlement</w:t>
            </w:r>
          </w:p>
        </w:tc>
      </w:tr>
      <w:tr>
        <w:trPr>
          <w:trHeight w:val="454" w:hRule="atLeast"/>
        </w:trPr>
        <w:tc>
          <w:tcPr>
            <w:tcW w:type="dxa" w:w="3249"/>
            <w:vAlign w:val="center"/>
          </w:tcPr>
          <w:p>
            <w:r/>
            <w:r>
              <w:rPr>
                <w:rFonts w:ascii="Figtree" w:hAnsi="Figtree"/>
                <w:b w:val="0"/>
                <w:i w:val="0"/>
                <w:sz w:val="22"/>
              </w:rPr>
              <w:t>Standard Chartered Bank</w:t>
            </w:r>
          </w:p>
        </w:tc>
        <w:tc>
          <w:tcPr>
            <w:tcW w:type="dxa" w:w="3249"/>
            <w:vAlign w:val="center"/>
          </w:tcPr>
          <w:p>
            <w:r/>
            <w:r>
              <w:rPr>
                <w:rFonts w:ascii="Figtree" w:hAnsi="Figtree"/>
                <w:b w:val="0"/>
                <w:i w:val="0"/>
                <w:sz w:val="22"/>
              </w:rPr>
              <w:t>Multi-region</w:t>
            </w:r>
          </w:p>
        </w:tc>
        <w:tc>
          <w:tcPr>
            <w:tcW w:type="dxa" w:w="3249"/>
            <w:vAlign w:val="center"/>
          </w:tcPr>
          <w:p>
            <w:r/>
            <w:r>
              <w:rPr>
                <w:rFonts w:ascii="Figtree" w:hAnsi="Figtree"/>
                <w:b w:val="0"/>
                <w:i w:val="0"/>
                <w:sz w:val="22"/>
              </w:rPr>
              <w:t>Multi-jurisdiction bank infrastructure</w:t>
            </w:r>
          </w:p>
        </w:tc>
      </w:tr>
    </w:tbl>
    <w:p>
      <w:pPr>
        <w:pStyle w:val="H3"/>
        <w:numPr>
          <w:ilvl w:val="2"/>
          <w:numId w:val="1"/>
        </w:numPr>
      </w:pPr>
      <w:r>
        <w:t>State Bank of India — CBDC at National Scale</w:t>
      </w:r>
    </w:p>
    <w:p>
      <w:r>
        <w:rPr>
          <w:rFonts w:ascii="Figtree" w:hAnsi="Figtree"/>
          <w:b w:val="0"/>
          <w:i w:val="0"/>
          <w:sz w:val="22"/>
        </w:rPr>
        <w:t>The SBI e-Rupee engagement is the most directly relevant reference:</w:t>
      </w:r>
    </w:p>
    <w:p>
      <w:pPr>
        <w:pStyle w:val="ListParagraph"/>
        <w:numPr>
          <w:ilvl w:val="0"/>
          <w:numId w:val="4"/>
        </w:numPr>
      </w:pPr>
      <w:r>
        <w:rPr>
          <w:rFonts w:ascii="Figtree" w:hAnsi="Figtree"/>
          <w:b w:val="0"/>
          <w:i w:val="0"/>
          <w:sz w:val="22"/>
        </w:rPr>
        <w:t>CBDC infrastructure for India's national digital currency</w:t>
      </w:r>
    </w:p>
    <w:p>
      <w:pPr>
        <w:pStyle w:val="ListParagraph"/>
        <w:numPr>
          <w:ilvl w:val="0"/>
          <w:numId w:val="4"/>
        </w:numPr>
      </w:pPr>
      <w:r>
        <w:rPr>
          <w:rFonts w:ascii="Figtree" w:hAnsi="Figtree"/>
          <w:b w:val="0"/>
          <w:i w:val="0"/>
          <w:sz w:val="22"/>
        </w:rPr>
        <w:t>Designed for one billion+ projected daily transactions</w:t>
      </w:r>
    </w:p>
    <w:p>
      <w:pPr>
        <w:pStyle w:val="ListParagraph"/>
        <w:numPr>
          <w:ilvl w:val="0"/>
          <w:numId w:val="4"/>
        </w:numPr>
      </w:pPr>
      <w:r>
        <w:rPr>
          <w:rFonts w:ascii="Figtree" w:hAnsi="Figtree"/>
          <w:b w:val="0"/>
          <w:i w:val="0"/>
          <w:sz w:val="22"/>
        </w:rPr>
        <w:t>Pilot completed, production deployment underway</w:t>
      </w:r>
    </w:p>
    <w:p>
      <w:pPr>
        <w:pStyle w:val="ListParagraph"/>
        <w:numPr>
          <w:ilvl w:val="0"/>
          <w:numId w:val="4"/>
        </w:numPr>
      </w:pPr>
      <w:r>
        <w:rPr>
          <w:rFonts w:ascii="Figtree" w:hAnsi="Figtree"/>
          <w:b w:val="0"/>
          <w:i w:val="0"/>
          <w:sz w:val="22"/>
        </w:rPr>
        <w:t>Integration with existing banking infrastructure</w:t>
      </w:r>
    </w:p>
    <w:p>
      <w:pPr>
        <w:pStyle w:val="ListParagraph"/>
        <w:numPr>
          <w:ilvl w:val="0"/>
          <w:numId w:val="4"/>
        </w:numPr>
      </w:pPr>
      <w:r>
        <w:rPr>
          <w:rFonts w:ascii="Figtree" w:hAnsi="Figtree"/>
          <w:b w:val="0"/>
          <w:i w:val="0"/>
          <w:sz w:val="22"/>
        </w:rPr>
        <w:t>National-scale identity verification</w:t>
      </w:r>
    </w:p>
    <w:p>
      <w:pPr>
        <w:pStyle w:val="ListParagraph"/>
        <w:numPr>
          <w:ilvl w:val="0"/>
          <w:numId w:val="4"/>
        </w:numPr>
      </w:pPr>
      <w:r>
        <w:rPr>
          <w:rFonts w:ascii="Figtree" w:hAnsi="Figtree"/>
          <w:b w:val="0"/>
          <w:i w:val="0"/>
          <w:sz w:val="22"/>
        </w:rPr>
        <w:t>Cross-border settlement use cases</w:t>
      </w:r>
    </w:p>
    <w:p>
      <w:r>
        <w:br w:type="page"/>
      </w:r>
    </w:p>
    <w:p>
      <w:pPr>
        <w:pStyle w:val="H2"/>
        <w:numPr>
          <w:ilvl w:val="1"/>
          <w:numId w:val="1"/>
        </w:numPr>
      </w:pPr>
      <w:r>
        <w:t>Appendices</w:t>
      </w:r>
    </w:p>
    <w:p>
      <w:pPr>
        <w:pStyle w:val="H3"/>
        <w:numPr>
          <w:ilvl w:val="2"/>
          <w:numId w:val="1"/>
        </w:numPr>
      </w:pPr>
      <w:r>
        <w:t>Appendix A: Glossary</w:t>
      </w:r>
    </w:p>
    <w:tbl>
      <w:tblPr>
        <w:tblStyle w:val="TableGrid"/>
        <w:tblW w:type="auto" w:w="0"/>
        <w:jc w:val="center"/>
        <w:tblLook w:firstColumn="1" w:firstRow="1" w:lastColumn="0" w:lastRow="0" w:noHBand="0" w:noVBand="1" w:val="04A0"/>
      </w:tblPr>
      <w:tblGrid>
        <w:gridCol w:w="4873"/>
        <w:gridCol w:w="4873"/>
      </w:tblGrid>
      <w:tr>
        <w:trPr>
          <w:trHeight w:val="624" w:hRule="atLeast"/>
        </w:trPr>
        <w:tc>
          <w:tcPr>
            <w:tcW w:type="dxa" w:w="4873"/>
            <w:vAlign w:val="center"/>
            <w:shd w:fill="000099" w:val="clear"/>
          </w:tcPr>
          <w:p>
            <w:r>
              <w:rPr>
                <w:b/>
                <w:color w:val="FFFFFF"/>
              </w:rPr>
            </w:r>
            <w:r>
              <w:rPr>
                <w:rFonts w:ascii="Figtree" w:hAnsi="Figtree"/>
                <w:b/>
                <w:i w:val="0"/>
                <w:color w:val="FFFFFF"/>
                <w:sz w:val="22"/>
              </w:rPr>
              <w:t>Term</w:t>
            </w:r>
          </w:p>
        </w:tc>
        <w:tc>
          <w:tcPr>
            <w:tcW w:type="dxa" w:w="4873"/>
            <w:vAlign w:val="center"/>
            <w:shd w:fill="000099" w:val="clear"/>
          </w:tcPr>
          <w:p>
            <w:r>
              <w:rPr>
                <w:b/>
                <w:color w:val="FFFFFF"/>
              </w:rPr>
            </w:r>
            <w:r>
              <w:rPr>
                <w:rFonts w:ascii="Figtree" w:hAnsi="Figtree"/>
                <w:b/>
                <w:i w:val="0"/>
                <w:color w:val="FFFFFF"/>
                <w:sz w:val="22"/>
              </w:rPr>
              <w:t>Definition</w:t>
            </w:r>
          </w:p>
        </w:tc>
      </w:tr>
      <w:tr>
        <w:trPr>
          <w:trHeight w:val="454" w:hRule="atLeast"/>
        </w:trPr>
        <w:tc>
          <w:tcPr>
            <w:tcW w:type="dxa" w:w="4873"/>
            <w:vAlign w:val="center"/>
          </w:tcPr>
          <w:p>
            <w:r/>
            <w:r>
              <w:rPr>
                <w:rFonts w:ascii="Figtree" w:hAnsi="Figtree"/>
                <w:b w:val="0"/>
                <w:i w:val="0"/>
                <w:sz w:val="22"/>
              </w:rPr>
              <w:t>CBDC</w:t>
            </w:r>
          </w:p>
        </w:tc>
        <w:tc>
          <w:tcPr>
            <w:tcW w:type="dxa" w:w="4873"/>
            <w:vAlign w:val="center"/>
          </w:tcPr>
          <w:p>
            <w:r/>
            <w:r>
              <w:rPr>
                <w:rFonts w:ascii="Figtree" w:hAnsi="Figtree"/>
                <w:b w:val="0"/>
                <w:i w:val="0"/>
                <w:sz w:val="22"/>
              </w:rPr>
              <w:t>Central Bank Digital Currency</w:t>
            </w:r>
          </w:p>
        </w:tc>
      </w:tr>
      <w:tr>
        <w:trPr>
          <w:trHeight w:val="454" w:hRule="atLeast"/>
        </w:trPr>
        <w:tc>
          <w:tcPr>
            <w:tcW w:type="dxa" w:w="4873"/>
            <w:vAlign w:val="center"/>
          </w:tcPr>
          <w:p>
            <w:r/>
            <w:r>
              <w:rPr>
                <w:rFonts w:ascii="Figtree" w:hAnsi="Figtree"/>
                <w:b w:val="0"/>
                <w:i w:val="0"/>
                <w:sz w:val="22"/>
              </w:rPr>
              <w:t>DALP</w:t>
            </w:r>
          </w:p>
        </w:tc>
        <w:tc>
          <w:tcPr>
            <w:tcW w:type="dxa" w:w="4873"/>
            <w:vAlign w:val="center"/>
          </w:tcPr>
          <w:p>
            <w:r/>
            <w:r>
              <w:rPr>
                <w:rFonts w:ascii="Figtree" w:hAnsi="Figtree"/>
                <w:b w:val="0"/>
                <w:i w:val="0"/>
                <w:sz w:val="22"/>
              </w:rPr>
              <w:t>Digital Asset Lifecycle Platform</w:t>
            </w:r>
          </w:p>
        </w:tc>
      </w:tr>
      <w:tr>
        <w:trPr>
          <w:trHeight w:val="454" w:hRule="atLeast"/>
        </w:trPr>
        <w:tc>
          <w:tcPr>
            <w:tcW w:type="dxa" w:w="4873"/>
            <w:vAlign w:val="center"/>
          </w:tcPr>
          <w:p>
            <w:r/>
            <w:r>
              <w:rPr>
                <w:rFonts w:ascii="Figtree" w:hAnsi="Figtree"/>
                <w:b w:val="0"/>
                <w:i w:val="0"/>
                <w:sz w:val="22"/>
              </w:rPr>
              <w:t>Digital Dirham</w:t>
            </w:r>
          </w:p>
        </w:tc>
        <w:tc>
          <w:tcPr>
            <w:tcW w:type="dxa" w:w="4873"/>
            <w:vAlign w:val="center"/>
          </w:tcPr>
          <w:p>
            <w:r/>
            <w:r>
              <w:rPr>
                <w:rFonts w:ascii="Figtree" w:hAnsi="Figtree"/>
                <w:b w:val="0"/>
                <w:i w:val="0"/>
                <w:sz w:val="22"/>
              </w:rPr>
              <w:t>CBUAE's proposed central bank digital currency</w:t>
            </w:r>
          </w:p>
        </w:tc>
      </w:tr>
      <w:tr>
        <w:trPr>
          <w:trHeight w:val="454" w:hRule="atLeast"/>
        </w:trPr>
        <w:tc>
          <w:tcPr>
            <w:tcW w:type="dxa" w:w="4873"/>
            <w:vAlign w:val="center"/>
          </w:tcPr>
          <w:p>
            <w:r/>
            <w:r>
              <w:rPr>
                <w:rFonts w:ascii="Figtree" w:hAnsi="Figtree"/>
                <w:b w:val="0"/>
                <w:i w:val="0"/>
                <w:sz w:val="22"/>
              </w:rPr>
              <w:t>IBFT 2.0</w:t>
            </w:r>
          </w:p>
        </w:tc>
        <w:tc>
          <w:tcPr>
            <w:tcW w:type="dxa" w:w="4873"/>
            <w:vAlign w:val="center"/>
          </w:tcPr>
          <w:p>
            <w:r/>
            <w:r>
              <w:rPr>
                <w:rFonts w:ascii="Figtree" w:hAnsi="Figtree"/>
                <w:b w:val="0"/>
                <w:i w:val="0"/>
                <w:sz w:val="22"/>
              </w:rPr>
              <w:t>Istanbul Byzantine Fault Tolerance — consensus mechanism for permissioned networks</w:t>
            </w:r>
          </w:p>
        </w:tc>
      </w:tr>
      <w:tr>
        <w:trPr>
          <w:trHeight w:val="454" w:hRule="atLeast"/>
        </w:trPr>
        <w:tc>
          <w:tcPr>
            <w:tcW w:type="dxa" w:w="4873"/>
            <w:vAlign w:val="center"/>
          </w:tcPr>
          <w:p>
            <w:r/>
            <w:r>
              <w:rPr>
                <w:rFonts w:ascii="Figtree" w:hAnsi="Figtree"/>
                <w:b w:val="0"/>
                <w:i w:val="0"/>
                <w:sz w:val="22"/>
              </w:rPr>
              <w:t>OnchainID</w:t>
            </w:r>
          </w:p>
        </w:tc>
        <w:tc>
          <w:tcPr>
            <w:tcW w:type="dxa" w:w="4873"/>
            <w:vAlign w:val="center"/>
          </w:tcPr>
          <w:p>
            <w:r/>
            <w:r>
              <w:rPr>
                <w:rFonts w:ascii="Figtree" w:hAnsi="Figtree"/>
                <w:b w:val="0"/>
                <w:i w:val="0"/>
                <w:sz w:val="22"/>
              </w:rPr>
              <w:t>On-chain identity standard (ERC-734/735)</w:t>
            </w:r>
          </w:p>
        </w:tc>
      </w:tr>
      <w:tr>
        <w:trPr>
          <w:trHeight w:val="454" w:hRule="atLeast"/>
        </w:trPr>
        <w:tc>
          <w:tcPr>
            <w:tcW w:type="dxa" w:w="4873"/>
            <w:vAlign w:val="center"/>
          </w:tcPr>
          <w:p>
            <w:r/>
            <w:r>
              <w:rPr>
                <w:rFonts w:ascii="Figtree" w:hAnsi="Figtree"/>
                <w:b w:val="0"/>
                <w:i w:val="0"/>
                <w:sz w:val="22"/>
              </w:rPr>
              <w:t>Project Aber</w:t>
            </w:r>
          </w:p>
        </w:tc>
        <w:tc>
          <w:tcPr>
            <w:tcW w:type="dxa" w:w="4873"/>
            <w:vAlign w:val="center"/>
          </w:tcPr>
          <w:p>
            <w:r/>
            <w:r>
              <w:rPr>
                <w:rFonts w:ascii="Figtree" w:hAnsi="Figtree"/>
                <w:b w:val="0"/>
                <w:i w:val="0"/>
                <w:sz w:val="22"/>
              </w:rPr>
              <w:t>Joint CBDC project between CBUAE and Saudi Central Bank</w:t>
            </w:r>
          </w:p>
        </w:tc>
      </w:tr>
      <w:tr>
        <w:trPr>
          <w:trHeight w:val="454" w:hRule="atLeast"/>
        </w:trPr>
        <w:tc>
          <w:tcPr>
            <w:tcW w:type="dxa" w:w="4873"/>
            <w:vAlign w:val="center"/>
          </w:tcPr>
          <w:p>
            <w:r/>
            <w:r>
              <w:rPr>
                <w:rFonts w:ascii="Figtree" w:hAnsi="Figtree"/>
                <w:b w:val="0"/>
                <w:i w:val="0"/>
                <w:sz w:val="22"/>
              </w:rPr>
              <w:t>mBridge</w:t>
            </w:r>
          </w:p>
        </w:tc>
        <w:tc>
          <w:tcPr>
            <w:tcW w:type="dxa" w:w="4873"/>
            <w:vAlign w:val="center"/>
          </w:tcPr>
          <w:p>
            <w:r/>
            <w:r>
              <w:rPr>
                <w:rFonts w:ascii="Figtree" w:hAnsi="Figtree"/>
                <w:b w:val="0"/>
                <w:i w:val="0"/>
                <w:sz w:val="22"/>
              </w:rPr>
              <w:t>Multi-CBDC platform involving HKMA, BIS, BOT, PBC</w:t>
            </w:r>
          </w:p>
        </w:tc>
      </w:tr>
      <w:tr>
        <w:trPr>
          <w:trHeight w:val="454" w:hRule="atLeast"/>
        </w:trPr>
        <w:tc>
          <w:tcPr>
            <w:tcW w:type="dxa" w:w="4873"/>
            <w:vAlign w:val="center"/>
          </w:tcPr>
          <w:p>
            <w:r/>
            <w:r>
              <w:rPr>
                <w:rFonts w:ascii="Figtree" w:hAnsi="Figtree"/>
                <w:b w:val="0"/>
                <w:i w:val="0"/>
                <w:sz w:val="22"/>
              </w:rPr>
              <w:t>DvP</w:t>
            </w:r>
          </w:p>
        </w:tc>
        <w:tc>
          <w:tcPr>
            <w:tcW w:type="dxa" w:w="4873"/>
            <w:vAlign w:val="center"/>
          </w:tcPr>
          <w:p>
            <w:r/>
            <w:r>
              <w:rPr>
                <w:rFonts w:ascii="Figtree" w:hAnsi="Figtree"/>
                <w:b w:val="0"/>
                <w:i w:val="0"/>
                <w:sz w:val="22"/>
              </w:rPr>
              <w:t>Delivery versus Payment</w:t>
            </w:r>
          </w:p>
        </w:tc>
      </w:tr>
      <w:tr>
        <w:trPr>
          <w:trHeight w:val="454" w:hRule="atLeast"/>
        </w:trPr>
        <w:tc>
          <w:tcPr>
            <w:tcW w:type="dxa" w:w="4873"/>
            <w:vAlign w:val="center"/>
          </w:tcPr>
          <w:p>
            <w:r/>
            <w:r>
              <w:rPr>
                <w:rFonts w:ascii="Figtree" w:hAnsi="Figtree"/>
                <w:b w:val="0"/>
                <w:i w:val="0"/>
                <w:sz w:val="22"/>
              </w:rPr>
              <w:t>RTGS</w:t>
            </w:r>
          </w:p>
        </w:tc>
        <w:tc>
          <w:tcPr>
            <w:tcW w:type="dxa" w:w="4873"/>
            <w:vAlign w:val="center"/>
          </w:tcPr>
          <w:p>
            <w:r/>
            <w:r>
              <w:rPr>
                <w:rFonts w:ascii="Figtree" w:hAnsi="Figtree"/>
                <w:b w:val="0"/>
                <w:i w:val="0"/>
                <w:sz w:val="22"/>
              </w:rPr>
              <w:t>Real-Time Gross Settlement</w:t>
            </w:r>
          </w:p>
        </w:tc>
      </w:tr>
      <w:tr>
        <w:trPr>
          <w:trHeight w:val="454" w:hRule="atLeast"/>
        </w:trPr>
        <w:tc>
          <w:tcPr>
            <w:tcW w:type="dxa" w:w="4873"/>
            <w:vAlign w:val="center"/>
          </w:tcPr>
          <w:p>
            <w:r/>
            <w:r>
              <w:rPr>
                <w:rFonts w:ascii="Figtree" w:hAnsi="Figtree"/>
                <w:b w:val="0"/>
                <w:i w:val="0"/>
                <w:sz w:val="22"/>
              </w:rPr>
              <w:t>HSM</w:t>
            </w:r>
          </w:p>
        </w:tc>
        <w:tc>
          <w:tcPr>
            <w:tcW w:type="dxa" w:w="4873"/>
            <w:vAlign w:val="center"/>
          </w:tcPr>
          <w:p>
            <w:r/>
            <w:r>
              <w:rPr>
                <w:rFonts w:ascii="Figtree" w:hAnsi="Figtree"/>
                <w:b w:val="0"/>
                <w:i w:val="0"/>
                <w:sz w:val="22"/>
              </w:rPr>
              <w:t>Hardware Security Module</w:t>
            </w:r>
          </w:p>
        </w:tc>
      </w:tr>
    </w:tbl>
    <w:sectPr w:rsidR="00D852BB" w:rsidRPr="00A9690B" w:rsidSect="001F6184">
      <w:headerReference w:type="default" r:id="rId8"/>
      <w:footerReference w:type="default" r:id="rId9"/>
      <w:pgSz w:w="11906" w:h="16838"/>
      <w:pgMar w:top="1440" w:right="1080" w:bottom="1440" w:left="108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6AE061" w14:textId="77777777" w:rsidR="009F4DB8" w:rsidRDefault="009F4DB8" w:rsidP="00D852BB">
      <w:pPr>
        <w:spacing w:after="0" w:line="240" w:lineRule="auto"/>
      </w:pPr>
      <w:r>
        <w:separator/>
      </w:r>
    </w:p>
  </w:endnote>
  <w:endnote w:type="continuationSeparator" w:id="0">
    <w:p w14:paraId="429347AA" w14:textId="77777777" w:rsidR="009F4DB8" w:rsidRDefault="009F4DB8" w:rsidP="00D852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Figtree">
    <w:altName w:val="Calibri"/>
    <w:panose1 w:val="00000000000000000000"/>
    <w:charset w:val="00"/>
    <w:family w:val="auto"/>
    <w:notTrueType/>
    <w:pitch w:val="variable"/>
    <w:sig w:usb0="A000006F" w:usb1="0000007B" w:usb2="00000000" w:usb3="00000000" w:csb0="00000093"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6AAF02" w14:textId="0BD27254" w:rsidR="00E32BFB" w:rsidRPr="0093551D" w:rsidRDefault="00E32BFB" w:rsidP="00E32BFB">
    <w:pPr>
      <w:pStyle w:val="Footer"/>
      <w:tabs>
        <w:tab w:val="clear" w:pos="4513"/>
        <w:tab w:val="clear" w:pos="9026"/>
        <w:tab w:val="center" w:pos="4873"/>
      </w:tabs>
      <w:rPr>
        <w:color w:val="000099"/>
        <w:sz w:val="20"/>
        <w:szCs w:val="20"/>
      </w:rPr>
    </w:pPr>
    <w:r>
      <w:rPr>
        <w:noProof/>
      </w:rPr>
      <mc:AlternateContent>
        <mc:Choice Requires="wps">
          <w:drawing>
            <wp:anchor distT="0" distB="0" distL="114300" distR="114300" simplePos="0" relativeHeight="251663360" behindDoc="0" locked="0" layoutInCell="1" allowOverlap="1" wp14:anchorId="1073185A" wp14:editId="2A79EDDE">
              <wp:simplePos x="0" y="0"/>
              <wp:positionH relativeFrom="page">
                <wp:posOffset>-66675</wp:posOffset>
              </wp:positionH>
              <wp:positionV relativeFrom="paragraph">
                <wp:posOffset>-181610</wp:posOffset>
              </wp:positionV>
              <wp:extent cx="7884000" cy="0"/>
              <wp:effectExtent l="0" t="0" r="0" b="0"/>
              <wp:wrapNone/>
              <wp:docPr id="885456621" name="Straight Connector 9"/>
              <wp:cNvGraphicFramePr/>
              <a:graphic xmlns:a="http://schemas.openxmlformats.org/drawingml/2006/main">
                <a:graphicData uri="http://schemas.microsoft.com/office/word/2010/wordprocessingShape">
                  <wps:wsp>
                    <wps:cNvCnPr/>
                    <wps:spPr>
                      <a:xfrm flipV="1">
                        <a:off x="0" y="0"/>
                        <a:ext cx="7884000" cy="0"/>
                      </a:xfrm>
                      <a:prstGeom prst="line">
                        <a:avLst/>
                      </a:prstGeom>
                      <a:ln>
                        <a:solidFill>
                          <a:srgbClr val="003399"/>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FBE3D7E" id="Straight Connector 9" o:spid="_x0000_s1026" style="position:absolute;flip:y;z-index:25166336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 from="-5.25pt,-14.3pt" to="615.55pt,-14.3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" strokecolor="#039" strokeweight=".5pt">
              <v:stroke joinstyle="miter"/>
              <w10:wrap anchorx="page"/>
            </v:line>
          </w:pict>
        </mc:Fallback>
      </mc:AlternateContent>
    </w:r>
    <w:r w:rsidRPr="00E32BFB">
      <w:rPr>
        <w:sz w:val="20"/>
        <w:szCs w:val="20"/>
      </w:rPr>
      <w:ptab w:relativeTo="margin" w:alignment="center" w:leader="none"/>
    </w:r>
    <w:r w:rsidRPr="0093551D">
      <w:rPr>
        <w:color w:val="0E2841" w:themeColor="text2"/>
        <w:sz w:val="20"/>
        <w:szCs w:val="20"/>
      </w:rPr>
      <w:t>SettleMint Confidential, All Rights Reserved</w:t>
    </w:r>
    <w:r w:rsidRPr="0093551D">
      <w:rPr>
        <w:color w:val="0E2841" w:themeColor="text2"/>
        <w:sz w:val="20"/>
        <w:szCs w:val="20"/>
      </w:rPr>
      <w:ptab w:relativeTo="margin" w:alignment="right" w:leader="none"/>
    </w:r>
    <w:r w:rsidRPr="0093551D">
      <w:rPr>
        <w:color w:val="0E2841" w:themeColor="text2"/>
        <w:sz w:val="20"/>
        <w:szCs w:val="20"/>
      </w:rPr>
      <w:fldChar w:fldCharType="begin"/>
    </w:r>
    <w:r w:rsidRPr="0093551D">
      <w:rPr>
        <w:color w:val="0E2841" w:themeColor="text2"/>
        <w:sz w:val="20"/>
        <w:szCs w:val="20"/>
      </w:rPr>
      <w:instrText xml:space="preserve"> PAGE   \* MERGEFORMAT </w:instrText>
    </w:r>
    <w:r w:rsidRPr="0093551D">
      <w:rPr>
        <w:color w:val="0E2841" w:themeColor="text2"/>
        <w:sz w:val="20"/>
        <w:szCs w:val="20"/>
      </w:rPr>
      <w:fldChar w:fldCharType="separate"/>
    </w:r>
    <w:r w:rsidRPr="0093551D">
      <w:rPr>
        <w:noProof/>
        <w:color w:val="0E2841" w:themeColor="text2"/>
        <w:sz w:val="20"/>
        <w:szCs w:val="20"/>
      </w:rPr>
      <w:t>1</w:t>
    </w:r>
    <w:r w:rsidRPr="0093551D">
      <w:rPr>
        <w:noProof/>
        <w:color w:val="0E2841" w:themeColor="text2"/>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CD5B74" w14:textId="77777777" w:rsidR="009F4DB8" w:rsidRDefault="009F4DB8" w:rsidP="00D852BB">
      <w:pPr>
        <w:spacing w:after="0" w:line="240" w:lineRule="auto"/>
      </w:pPr>
      <w:r>
        <w:separator/>
      </w:r>
    </w:p>
  </w:footnote>
  <w:footnote w:type="continuationSeparator" w:id="0">
    <w:p w14:paraId="62AEAD1A" w14:textId="77777777" w:rsidR="009F4DB8" w:rsidRDefault="009F4DB8" w:rsidP="00D852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B648D1" w14:textId="77777777" w:rsidR="00D852BB" w:rsidRDefault="00E32BFB">
    <w:pPr>
      <w:pStyle w:val="Header"/>
    </w:pPr>
    <w:r>
      <w:rPr>
        <w:noProof/>
      </w:rPr>
      <w:drawing>
        <wp:anchor distT="0" distB="0" distL="114300" distR="114300" simplePos="0" relativeHeight="251659264" behindDoc="0" locked="0" layoutInCell="1" allowOverlap="1" wp14:anchorId="633C2A67" wp14:editId="4494BAB8">
          <wp:simplePos x="0" y="0"/>
          <wp:positionH relativeFrom="margin">
            <wp:posOffset>5257165</wp:posOffset>
          </wp:positionH>
          <wp:positionV relativeFrom="paragraph">
            <wp:posOffset>-209550</wp:posOffset>
          </wp:positionV>
          <wp:extent cx="914400" cy="305435"/>
          <wp:effectExtent l="0" t="0" r="0" b="0"/>
          <wp:wrapSquare wrapText="bothSides"/>
          <wp:docPr id="1852263197" name="Picture 7" descr="A grey background with white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2263197" name="Picture 7" descr="A grey background with white text"/>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14400" cy="305435"/>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0288" behindDoc="0" locked="0" layoutInCell="1" allowOverlap="1" wp14:anchorId="55A84FA9" wp14:editId="18CBED61">
          <wp:simplePos x="0" y="0"/>
          <wp:positionH relativeFrom="margin">
            <wp:posOffset>0</wp:posOffset>
          </wp:positionH>
          <wp:positionV relativeFrom="paragraph">
            <wp:posOffset>-259080</wp:posOffset>
          </wp:positionV>
          <wp:extent cx="1828800" cy="414551"/>
          <wp:effectExtent l="0" t="0" r="0" b="5080"/>
          <wp:wrapSquare wrapText="bothSides"/>
          <wp:docPr id="1471399059" name="Picture 8" descr="A black and gre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1399059" name="Picture 8" descr="A black and grey logo"/>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828800" cy="414551"/>
                  </a:xfrm>
                  <a:prstGeom prst="rect">
                    <a:avLst/>
                  </a:prstGeom>
                  <a:noFill/>
                  <a:ln>
                    <a:noFill/>
                  </a:ln>
                </pic:spPr>
              </pic:pic>
            </a:graphicData>
          </a:graphic>
        </wp:anchor>
      </w:drawing>
    </w:r>
    <w:r>
      <w:rPr>
        <w:noProof/>
      </w:rPr>
      <mc:AlternateContent>
        <mc:Choice Requires="wps">
          <w:drawing>
            <wp:anchor distT="0" distB="0" distL="114300" distR="114300" simplePos="0" relativeHeight="251661312" behindDoc="0" locked="0" layoutInCell="1" allowOverlap="1" wp14:anchorId="18A21DE2" wp14:editId="1E61291E">
              <wp:simplePos x="0" y="0"/>
              <wp:positionH relativeFrom="column">
                <wp:posOffset>-971550</wp:posOffset>
              </wp:positionH>
              <wp:positionV relativeFrom="paragraph">
                <wp:posOffset>283845</wp:posOffset>
              </wp:positionV>
              <wp:extent cx="7884000" cy="0"/>
              <wp:effectExtent l="0" t="0" r="0" b="0"/>
              <wp:wrapNone/>
              <wp:docPr id="588624232" name="Straight Connector 9"/>
              <wp:cNvGraphicFramePr/>
              <a:graphic xmlns:a="http://schemas.openxmlformats.org/drawingml/2006/main">
                <a:graphicData uri="http://schemas.microsoft.com/office/word/2010/wordprocessingShape">
                  <wps:wsp>
                    <wps:cNvCnPr/>
                    <wps:spPr>
                      <a:xfrm flipV="1">
                        <a:off x="0" y="0"/>
                        <a:ext cx="7884000" cy="0"/>
                      </a:xfrm>
                      <a:prstGeom prst="line">
                        <a:avLst/>
                      </a:prstGeom>
                      <a:ln>
                        <a:solidFill>
                          <a:srgbClr val="000099"/>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A7DB5CA" id="Straight Connector 9" o:spid="_x0000_s1026" style="position:absolute;flip:y;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76.5pt,22.35pt" to="544.3pt,22.3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" strokecolor="#009" strokeweight=".5pt">
              <v:stroke joinstyle="miter"/>
            </v:line>
          </w:pict>
        </mc:Fallback>
      </mc:AlternateContent>
    </w:r>
    <w:r w:rsidR="00D852BB">
      <w:rPr>
        <w:noProof/>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100D30"/>
    <w:multiLevelType w:val="multilevel"/>
    <w:tmpl w:val="E08E3C74"/>
    <w:name w:val="SettleMint"/>
    <w:lvl w:ilvl="0">
      <w:start w:val="1"/>
      <w:numFmt w:val="decimal"/>
      <w:pStyle w:val="Heading1"/>
      <w:suff w:val="space"/>
      <w:lvlText w:val="%1."/>
      <w:lvlJc w:val="left"/>
      <w:pPr>
        <w:ind w:left="0" w:firstLine="0"/>
      </w:pPr>
      <w:rPr>
        <w:rFonts w:ascii="Figtree" w:hAnsi="Figtree" w:hint="default"/>
        <w:b/>
        <w:i w:val="0"/>
        <w:color w:val="000099"/>
        <w:sz w:val="32"/>
      </w:rPr>
    </w:lvl>
    <w:lvl w:ilvl="1">
      <w:start w:val="1"/>
      <w:numFmt w:val="decimal"/>
      <w:pStyle w:val="Heading2"/>
      <w:suff w:val="space"/>
      <w:lvlText w:val="%1.%2"/>
      <w:lvlJc w:val="left"/>
      <w:pPr>
        <w:ind w:left="0" w:firstLine="0"/>
      </w:pPr>
      <w:rPr>
        <w:rFonts w:ascii="Figtree" w:hAnsi="Figtree" w:hint="default"/>
        <w:b/>
        <w:i w:val="0"/>
        <w:color w:val="000099"/>
        <w:sz w:val="28"/>
      </w:rPr>
    </w:lvl>
    <w:lvl w:ilvl="2">
      <w:start w:val="1"/>
      <w:numFmt w:val="decimal"/>
      <w:pStyle w:val="Heading3"/>
      <w:suff w:val="space"/>
      <w:lvlText w:val="%1.%2.%3"/>
      <w:lvlJc w:val="left"/>
      <w:pPr>
        <w:ind w:left="0" w:firstLine="0"/>
      </w:pPr>
      <w:rPr>
        <w:rFonts w:ascii="Figtree" w:hAnsi="Figtree" w:hint="default"/>
        <w:b/>
        <w:i w:val="0"/>
        <w:color w:val="000099"/>
        <w:sz w:val="24"/>
      </w:rPr>
      <w:lvlRestart w:val="1"/>
    </w:lvl>
    <w:lvl w:ilvl="3">
      <w:start w:val="1"/>
      <w:numFmt w:val="decimal"/>
      <w:pStyle w:val="Heading4"/>
      <w:suff w:val="space"/>
      <w:lvlText w:val="%1.%2.%3.%4"/>
      <w:lvlJc w:val="left"/>
      <w:pPr>
        <w:ind w:left="0" w:firstLine="0"/>
      </w:pPr>
      <w:rPr>
        <w:rFonts w:ascii="Figtree" w:hAnsi="Figtree" w:hint="default"/>
        <w:b/>
        <w:i w:val="0"/>
        <w:color w:val="000099"/>
        <w:sz w:val="24"/>
      </w:rPr>
      <w:lvlRestart w:val="2"/>
    </w:lvl>
    <w:lvl w:ilvl="4">
      <w:start w:val="1"/>
      <w:numFmt w:val="lowerLetter"/>
      <w:lvlText w:val="(%5)"/>
      <w:lvlJc w:val="left"/>
      <w:pPr>
        <w:ind w:left="0" w:firstLine="0"/>
      </w:pPr>
      <w:rPr>
        <w:rFonts w:hint="default"/>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1" w15:restartNumberingAfterBreak="0">
    <w:nsid w:val="2B7555D5"/>
    <w:multiLevelType w:val="hybridMultilevel"/>
    <w:tmpl w:val="31C01D58"/>
    <w:name w:val="SettleMint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335E5549"/>
    <w:multiLevelType w:val="multilevel"/>
    <w:tmpl w:val="AA60BFE8"/>
    <w:lvl w:ilvl="0">
      <w:start w:val="1"/>
      <w:numFmt w:val="decimal"/>
      <w:suff w:val="space"/>
      <w:lvlText w:val="%1."/>
      <w:lvlJc w:val="left"/>
      <w:pPr>
        <w:ind w:left="0" w:firstLine="0"/>
      </w:pPr>
      <w:rPr>
        <w:rFonts w:ascii="Figtree" w:hAnsi="Figtree" w:hint="default"/>
        <w:b/>
        <w:i w:val="0"/>
        <w:color w:val="0070C0"/>
        <w:sz w:val="32"/>
      </w:rPr>
    </w:lvl>
    <w:lvl w:ilvl="1">
      <w:start w:val="1"/>
      <w:numFmt w:val="decimal"/>
      <w:suff w:val="space"/>
      <w:lvlText w:val="%1.%2"/>
      <w:lvlJc w:val="left"/>
      <w:pPr>
        <w:ind w:left="0" w:firstLine="0"/>
      </w:pPr>
      <w:rPr>
        <w:rFonts w:ascii="Figtree" w:hAnsi="Figtree" w:hint="default"/>
        <w:b/>
        <w:i w:val="0"/>
        <w:color w:val="0070C0"/>
        <w:sz w:val="28"/>
      </w:rPr>
    </w:lvl>
    <w:lvl w:ilvl="2">
      <w:start w:val="1"/>
      <w:numFmt w:val="decimal"/>
      <w:suff w:val="space"/>
      <w:lvlText w:val="%1.%2.%3"/>
      <w:lvlJc w:val="left"/>
      <w:pPr>
        <w:ind w:left="0" w:firstLine="0"/>
      </w:pPr>
      <w:rPr>
        <w:rFonts w:ascii="Figtree" w:hAnsi="Figtree" w:hint="default"/>
        <w:b/>
        <w:i w:val="0"/>
        <w:color w:val="0070C0"/>
        <w:sz w:val="24"/>
      </w:rPr>
    </w:lvl>
    <w:lvl w:ilvl="3">
      <w:start w:val="1"/>
      <w:numFmt w:val="decimal"/>
      <w:suff w:val="space"/>
      <w:lvlText w:val="%1.%2.%3.%4"/>
      <w:lvlJc w:val="left"/>
      <w:pPr>
        <w:ind w:left="0" w:firstLine="0"/>
      </w:pPr>
      <w:rPr>
        <w:rFonts w:ascii="Figtree" w:hAnsi="Figtree" w:hint="default"/>
        <w:b/>
        <w:i w:val="0"/>
        <w:color w:val="0070C0"/>
        <w:sz w:val="24"/>
      </w:rPr>
    </w:lvl>
    <w:lvl w:ilvl="4">
      <w:start w:val="1"/>
      <w:numFmt w:val="lowerLetter"/>
      <w:lvlText w:val="(%5)"/>
      <w:lvlJc w:val="left"/>
      <w:pPr>
        <w:ind w:left="0" w:firstLine="0"/>
      </w:pPr>
      <w:rPr>
        <w:rFonts w:hint="default"/>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3">
    <w:multiLevelType w:val="hybridMultilevel"/>
    <w:lvl w:ilvl="0">
      <w:start w:val="1"/>
      <w:numFmt w:val="bullet"/>
      <w:lvlText w:val="•"/>
      <w:lvlJc w:val="left"/>
      <w:pPr>
        <w:ind w:left="720" w:hanging="360"/>
      </w:pPr>
      <w:rPr>
        <w:color w:val="000099"/>
      </w:rPr>
    </w:lvl>
    <w:lvl w:ilvl="1">
      <w:start w:val="1"/>
      <w:numFmt w:val="bullet"/>
      <w:lvlText w:val="•"/>
      <w:lvlJc w:val="left"/>
      <w:pPr>
        <w:ind w:left="1440" w:hanging="360"/>
      </w:pPr>
      <w:rPr>
        <w:color w:val="000099"/>
      </w:rPr>
    </w:lvl>
    <w:lvl w:ilvl="2">
      <w:start w:val="1"/>
      <w:numFmt w:val="bullet"/>
      <w:lvlText w:val="•"/>
      <w:lvlJc w:val="left"/>
      <w:pPr>
        <w:ind w:left="2160" w:hanging="360"/>
      </w:pPr>
      <w:rPr>
        <w:color w:val="000099"/>
      </w:rPr>
    </w:lvl>
  </w:abstractNum>
  <w:abstractNum w:abstractNumId="4">
    <w:multiLevelType w:val="hybridMultilevel"/>
    <w:lvl w:ilvl="0">
      <w:start w:val="1"/>
      <w:numFmt w:val="lowerRoman"/>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2160" w:hanging="360"/>
      </w:pPr>
    </w:lvl>
  </w:abstractNum>
  <w:num w:numId="1" w16cid:durableId="305939933">
    <w:abstractNumId w:val="0"/>
  </w:num>
  <w:num w:numId="2" w16cid:durableId="2016149747">
    <w:abstractNumId w:val="1"/>
  </w:num>
  <w:num w:numId="3" w16cid:durableId="1914775445">
    <w:abstractNumId w:val="2"/>
  </w:num>
  <w:num w:numId="4">
    <w:abstractNumId w:val="3"/>
  </w:num>
  <w:num w:numId="5">
    <w:abstractNumId w:val="4"/>
  </w:num>
  <w:num w:numId="6">
    <w:abstractNumId w:val="4"/>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7"/>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0879"/>
    <w:rsid w:val="000A6351"/>
    <w:rsid w:val="001279DF"/>
    <w:rsid w:val="0018162B"/>
    <w:rsid w:val="001F6184"/>
    <w:rsid w:val="00341B65"/>
    <w:rsid w:val="003E3C19"/>
    <w:rsid w:val="004056C9"/>
    <w:rsid w:val="004840D8"/>
    <w:rsid w:val="004962CD"/>
    <w:rsid w:val="005F2DC1"/>
    <w:rsid w:val="00647809"/>
    <w:rsid w:val="006B17EB"/>
    <w:rsid w:val="006B6750"/>
    <w:rsid w:val="006E1665"/>
    <w:rsid w:val="007B0879"/>
    <w:rsid w:val="00802738"/>
    <w:rsid w:val="008A14BF"/>
    <w:rsid w:val="0093551D"/>
    <w:rsid w:val="0096408F"/>
    <w:rsid w:val="0099373D"/>
    <w:rsid w:val="009F101E"/>
    <w:rsid w:val="009F4DB8"/>
    <w:rsid w:val="00A218FC"/>
    <w:rsid w:val="00A5624E"/>
    <w:rsid w:val="00A9690B"/>
    <w:rsid w:val="00AD0410"/>
    <w:rsid w:val="00AD4564"/>
    <w:rsid w:val="00B2009A"/>
    <w:rsid w:val="00B31896"/>
    <w:rsid w:val="00B47CD9"/>
    <w:rsid w:val="00B56DDB"/>
    <w:rsid w:val="00C51B52"/>
    <w:rsid w:val="00CF39A3"/>
    <w:rsid w:val="00D852BB"/>
    <w:rsid w:val="00E32BFB"/>
    <w:rsid w:val="00E86454"/>
    <w:rsid w:val="00E90D74"/>
    <w:rsid w:val="00ED206E"/>
    <w:rsid w:val="00F367C1"/>
    <w:rsid w:val="00F85425"/>
    <w:rsid w:val="00FB2FE9"/>
    <w:rsid w:val="00FD6333"/>
    <w:rsid w:val="00FF3CC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92407E5"/>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lsdException w:name="heading 2" w:semiHidden="1" w:uiPriority="9" w:unhideWhenUsed="1"/>
    <w:lsdException w:name="heading 3" w:semiHidden="1" w:uiPriority="9" w:unhideWhenUsed="1"/>
    <w:lsdException w:name="heading 4" w:semiHidden="1" w:uiPriority="9" w:unhideWhenUsed="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F39A3"/>
    <w:pPr>
      <w:jc w:val="both"/>
    </w:pPr>
    <w:rPr>
      <w:rFonts w:ascii="Figtree" w:hAnsi="Figtree"/>
      <w:sz w:val="22"/>
    </w:rPr>
  </w:style>
  <w:style w:type="paragraph" w:styleId="Heading1">
    <w:name w:val="heading 1"/>
    <w:basedOn w:val="Normal"/>
    <w:next w:val="Normal"/>
    <w:link w:val="Heading1Char"/>
    <w:uiPriority w:val="9"/>
    <w:rsid w:val="00FD6333"/>
    <w:pPr>
      <w:keepNext/>
      <w:keepLines/>
      <w:numPr>
        <w:numId w:val="1"/>
      </w:numPr>
      <w:spacing w:before="360" w:after="80"/>
      <w:outlineLvl w:val="0"/>
    </w:pPr>
    <w:rPr>
      <w:rFonts w:asciiTheme="majorHAnsi" w:eastAsiaTheme="majorEastAsia" w:hAnsiTheme="majorHAnsi" w:cstheme="majorBidi"/>
      <w:color w:val="000072" w:themeColor="accent1" w:themeShade="BF"/>
      <w:sz w:val="40"/>
      <w:szCs w:val="40"/>
    </w:rPr>
  </w:style>
  <w:style w:type="paragraph" w:styleId="Heading2">
    <w:name w:val="heading 2"/>
    <w:basedOn w:val="Normal"/>
    <w:next w:val="Normal"/>
    <w:link w:val="Heading2Char"/>
    <w:uiPriority w:val="9"/>
    <w:unhideWhenUsed/>
    <w:rsid w:val="00FD6333"/>
    <w:pPr>
      <w:keepNext/>
      <w:keepLines/>
      <w:numPr>
        <w:ilvl w:val="1"/>
        <w:numId w:val="1"/>
      </w:numPr>
      <w:spacing w:before="160" w:after="80"/>
      <w:outlineLvl w:val="1"/>
    </w:pPr>
    <w:rPr>
      <w:rFonts w:asciiTheme="majorHAnsi" w:eastAsiaTheme="majorEastAsia" w:hAnsiTheme="majorHAnsi" w:cstheme="majorBidi"/>
      <w:color w:val="000072" w:themeColor="accent1" w:themeShade="BF"/>
      <w:sz w:val="32"/>
      <w:szCs w:val="32"/>
    </w:rPr>
  </w:style>
  <w:style w:type="paragraph" w:styleId="Heading3">
    <w:name w:val="heading 3"/>
    <w:basedOn w:val="Normal"/>
    <w:next w:val="Normal"/>
    <w:link w:val="Heading3Char"/>
    <w:uiPriority w:val="9"/>
    <w:unhideWhenUsed/>
    <w:rsid w:val="00FD6333"/>
    <w:pPr>
      <w:keepNext/>
      <w:keepLines/>
      <w:numPr>
        <w:ilvl w:val="2"/>
        <w:numId w:val="1"/>
      </w:numPr>
      <w:spacing w:before="160" w:after="80"/>
      <w:outlineLvl w:val="2"/>
    </w:pPr>
    <w:rPr>
      <w:rFonts w:eastAsiaTheme="majorEastAsia" w:cstheme="majorBidi"/>
      <w:color w:val="000072" w:themeColor="accent1" w:themeShade="BF"/>
      <w:sz w:val="28"/>
      <w:szCs w:val="28"/>
    </w:rPr>
  </w:style>
  <w:style w:type="paragraph" w:styleId="Heading4">
    <w:name w:val="heading 4"/>
    <w:basedOn w:val="Normal"/>
    <w:next w:val="Normal"/>
    <w:link w:val="Heading4Char"/>
    <w:uiPriority w:val="9"/>
    <w:unhideWhenUsed/>
    <w:rsid w:val="00FD6333"/>
    <w:pPr>
      <w:keepNext/>
      <w:keepLines/>
      <w:numPr>
        <w:ilvl w:val="3"/>
        <w:numId w:val="1"/>
      </w:numPr>
      <w:spacing w:before="80" w:after="40"/>
      <w:outlineLvl w:val="3"/>
    </w:pPr>
    <w:rPr>
      <w:rFonts w:eastAsiaTheme="majorEastAsia" w:cstheme="majorBidi"/>
      <w:i/>
      <w:iCs/>
      <w:color w:val="000072" w:themeColor="accent1" w:themeShade="BF"/>
    </w:rPr>
  </w:style>
  <w:style w:type="paragraph" w:styleId="Heading5">
    <w:name w:val="heading 5"/>
    <w:basedOn w:val="Normal"/>
    <w:next w:val="Normal"/>
    <w:link w:val="Heading5Char"/>
    <w:uiPriority w:val="9"/>
    <w:semiHidden/>
    <w:unhideWhenUsed/>
    <w:rsid w:val="00FD6333"/>
    <w:pPr>
      <w:keepNext/>
      <w:keepLines/>
      <w:spacing w:before="80" w:after="40"/>
      <w:outlineLvl w:val="4"/>
    </w:pPr>
    <w:rPr>
      <w:rFonts w:eastAsiaTheme="majorEastAsia" w:cstheme="majorBidi"/>
      <w:color w:val="000072" w:themeColor="accent1" w:themeShade="BF"/>
    </w:rPr>
  </w:style>
  <w:style w:type="paragraph" w:styleId="Heading6">
    <w:name w:val="heading 6"/>
    <w:basedOn w:val="Normal"/>
    <w:next w:val="Normal"/>
    <w:link w:val="Heading6Char"/>
    <w:uiPriority w:val="9"/>
    <w:semiHidden/>
    <w:unhideWhenUsed/>
    <w:qFormat/>
    <w:rsid w:val="00FD633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D633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D633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D633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D6333"/>
    <w:rPr>
      <w:rFonts w:asciiTheme="majorHAnsi" w:eastAsiaTheme="majorEastAsia" w:hAnsiTheme="majorHAnsi" w:cstheme="majorBidi"/>
      <w:color w:val="000072" w:themeColor="accent1" w:themeShade="BF"/>
      <w:sz w:val="40"/>
      <w:szCs w:val="40"/>
    </w:rPr>
  </w:style>
  <w:style w:type="character" w:customStyle="1" w:styleId="Heading2Char">
    <w:name w:val="Heading 2 Char"/>
    <w:basedOn w:val="DefaultParagraphFont"/>
    <w:link w:val="Heading2"/>
    <w:uiPriority w:val="9"/>
    <w:rsid w:val="00FD6333"/>
    <w:rPr>
      <w:rFonts w:asciiTheme="majorHAnsi" w:eastAsiaTheme="majorEastAsia" w:hAnsiTheme="majorHAnsi" w:cstheme="majorBidi"/>
      <w:color w:val="000072" w:themeColor="accent1" w:themeShade="BF"/>
      <w:sz w:val="32"/>
      <w:szCs w:val="32"/>
    </w:rPr>
  </w:style>
  <w:style w:type="character" w:customStyle="1" w:styleId="Heading3Char">
    <w:name w:val="Heading 3 Char"/>
    <w:basedOn w:val="DefaultParagraphFont"/>
    <w:link w:val="Heading3"/>
    <w:uiPriority w:val="9"/>
    <w:rsid w:val="00FD6333"/>
    <w:rPr>
      <w:rFonts w:eastAsiaTheme="majorEastAsia" w:cstheme="majorBidi"/>
      <w:color w:val="000072" w:themeColor="accent1" w:themeShade="BF"/>
      <w:sz w:val="28"/>
      <w:szCs w:val="28"/>
    </w:rPr>
  </w:style>
  <w:style w:type="character" w:customStyle="1" w:styleId="Heading4Char">
    <w:name w:val="Heading 4 Char"/>
    <w:basedOn w:val="DefaultParagraphFont"/>
    <w:link w:val="Heading4"/>
    <w:uiPriority w:val="9"/>
    <w:rsid w:val="00FD6333"/>
    <w:rPr>
      <w:rFonts w:eastAsiaTheme="majorEastAsia" w:cstheme="majorBidi"/>
      <w:i/>
      <w:iCs/>
      <w:color w:val="000072" w:themeColor="accent1" w:themeShade="BF"/>
    </w:rPr>
  </w:style>
  <w:style w:type="character" w:customStyle="1" w:styleId="Heading5Char">
    <w:name w:val="Heading 5 Char"/>
    <w:basedOn w:val="DefaultParagraphFont"/>
    <w:link w:val="Heading5"/>
    <w:uiPriority w:val="9"/>
    <w:semiHidden/>
    <w:rsid w:val="00FD6333"/>
    <w:rPr>
      <w:rFonts w:eastAsiaTheme="majorEastAsia" w:cstheme="majorBidi"/>
      <w:color w:val="000072" w:themeColor="accent1" w:themeShade="BF"/>
    </w:rPr>
  </w:style>
  <w:style w:type="character" w:customStyle="1" w:styleId="Heading6Char">
    <w:name w:val="Heading 6 Char"/>
    <w:basedOn w:val="DefaultParagraphFont"/>
    <w:link w:val="Heading6"/>
    <w:uiPriority w:val="9"/>
    <w:semiHidden/>
    <w:rsid w:val="00FD633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D633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D633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D6333"/>
    <w:rPr>
      <w:rFonts w:eastAsiaTheme="majorEastAsia" w:cstheme="majorBidi"/>
      <w:color w:val="272727" w:themeColor="text1" w:themeTint="D8"/>
    </w:rPr>
  </w:style>
  <w:style w:type="paragraph" w:styleId="Title">
    <w:name w:val="Title"/>
    <w:basedOn w:val="Normal"/>
    <w:next w:val="Normal"/>
    <w:link w:val="TitleChar"/>
    <w:uiPriority w:val="10"/>
    <w:rsid w:val="00FD633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D633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rsid w:val="00FD633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D633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rsid w:val="00FD6333"/>
    <w:pPr>
      <w:spacing w:before="160"/>
      <w:jc w:val="center"/>
    </w:pPr>
    <w:rPr>
      <w:i/>
      <w:iCs/>
      <w:color w:val="404040" w:themeColor="text1" w:themeTint="BF"/>
    </w:rPr>
  </w:style>
  <w:style w:type="character" w:customStyle="1" w:styleId="QuoteChar">
    <w:name w:val="Quote Char"/>
    <w:basedOn w:val="DefaultParagraphFont"/>
    <w:link w:val="Quote"/>
    <w:uiPriority w:val="29"/>
    <w:rsid w:val="00FD6333"/>
    <w:rPr>
      <w:i/>
      <w:iCs/>
      <w:color w:val="404040" w:themeColor="text1" w:themeTint="BF"/>
    </w:rPr>
  </w:style>
  <w:style w:type="paragraph" w:styleId="ListParagraph">
    <w:name w:val="List Paragraph"/>
    <w:basedOn w:val="Normal"/>
    <w:uiPriority w:val="34"/>
    <w:rsid w:val="00FD6333"/>
    <w:pPr>
      <w:ind w:left="720"/>
      <w:contextualSpacing/>
    </w:pPr>
  </w:style>
  <w:style w:type="character" w:styleId="IntenseEmphasis">
    <w:name w:val="Intense Emphasis"/>
    <w:basedOn w:val="DefaultParagraphFont"/>
    <w:uiPriority w:val="21"/>
    <w:rsid w:val="00FD6333"/>
    <w:rPr>
      <w:i/>
      <w:iCs/>
      <w:color w:val="000072" w:themeColor="accent1" w:themeShade="BF"/>
    </w:rPr>
  </w:style>
  <w:style w:type="paragraph" w:styleId="IntenseQuote">
    <w:name w:val="Intense Quote"/>
    <w:basedOn w:val="Normal"/>
    <w:next w:val="Normal"/>
    <w:link w:val="IntenseQuoteChar"/>
    <w:uiPriority w:val="30"/>
    <w:rsid w:val="00FD6333"/>
    <w:pPr>
      <w:pBdr>
        <w:top w:val="single" w:sz="4" w:space="10" w:color="000072" w:themeColor="accent1" w:themeShade="BF"/>
        <w:bottom w:val="single" w:sz="4" w:space="10" w:color="000072" w:themeColor="accent1" w:themeShade="BF"/>
      </w:pBdr>
      <w:spacing w:before="360" w:after="360"/>
      <w:ind w:left="864" w:right="864"/>
      <w:jc w:val="center"/>
    </w:pPr>
    <w:rPr>
      <w:i/>
      <w:iCs/>
      <w:color w:val="000072" w:themeColor="accent1" w:themeShade="BF"/>
    </w:rPr>
  </w:style>
  <w:style w:type="character" w:customStyle="1" w:styleId="IntenseQuoteChar">
    <w:name w:val="Intense Quote Char"/>
    <w:basedOn w:val="DefaultParagraphFont"/>
    <w:link w:val="IntenseQuote"/>
    <w:uiPriority w:val="30"/>
    <w:rsid w:val="00FD6333"/>
    <w:rPr>
      <w:i/>
      <w:iCs/>
      <w:color w:val="000072" w:themeColor="accent1" w:themeShade="BF"/>
    </w:rPr>
  </w:style>
  <w:style w:type="character" w:styleId="IntenseReference">
    <w:name w:val="Intense Reference"/>
    <w:basedOn w:val="DefaultParagraphFont"/>
    <w:uiPriority w:val="32"/>
    <w:rsid w:val="00FD6333"/>
    <w:rPr>
      <w:b/>
      <w:bCs/>
      <w:smallCaps/>
      <w:color w:val="000072" w:themeColor="accent1" w:themeShade="BF"/>
      <w:spacing w:val="5"/>
    </w:rPr>
  </w:style>
  <w:style w:type="paragraph" w:styleId="Header">
    <w:name w:val="header"/>
    <w:basedOn w:val="Normal"/>
    <w:link w:val="HeaderChar"/>
    <w:uiPriority w:val="99"/>
    <w:unhideWhenUsed/>
    <w:rsid w:val="00D852BB"/>
    <w:pPr>
      <w:tabs>
        <w:tab w:val="center" w:pos="4513"/>
        <w:tab w:val="right" w:pos="9026"/>
      </w:tabs>
      <w:spacing w:after="0" w:line="240" w:lineRule="auto"/>
    </w:pPr>
  </w:style>
  <w:style w:type="character" w:customStyle="1" w:styleId="HeaderChar">
    <w:name w:val="Header Char"/>
    <w:basedOn w:val="DefaultParagraphFont"/>
    <w:link w:val="Header"/>
    <w:uiPriority w:val="99"/>
    <w:rsid w:val="00D852BB"/>
  </w:style>
  <w:style w:type="paragraph" w:styleId="Footer">
    <w:name w:val="footer"/>
    <w:basedOn w:val="Normal"/>
    <w:link w:val="FooterChar"/>
    <w:uiPriority w:val="99"/>
    <w:unhideWhenUsed/>
    <w:rsid w:val="00D852BB"/>
    <w:pPr>
      <w:tabs>
        <w:tab w:val="center" w:pos="4513"/>
        <w:tab w:val="right" w:pos="9026"/>
      </w:tabs>
      <w:spacing w:after="0" w:line="240" w:lineRule="auto"/>
    </w:pPr>
  </w:style>
  <w:style w:type="character" w:customStyle="1" w:styleId="FooterChar">
    <w:name w:val="Footer Char"/>
    <w:basedOn w:val="DefaultParagraphFont"/>
    <w:link w:val="Footer"/>
    <w:uiPriority w:val="99"/>
    <w:rsid w:val="00D852BB"/>
  </w:style>
  <w:style w:type="paragraph" w:styleId="NoSpacing">
    <w:name w:val="No Spacing"/>
    <w:link w:val="NoSpacingChar"/>
    <w:uiPriority w:val="1"/>
    <w:qFormat/>
    <w:rsid w:val="001F6184"/>
    <w:pPr>
      <w:spacing w:after="0" w:line="240" w:lineRule="auto"/>
    </w:pPr>
    <w:rPr>
      <w:rFonts w:eastAsiaTheme="minorEastAsia"/>
      <w:kern w:val="0"/>
      <w:sz w:val="22"/>
      <w:szCs w:val="22"/>
      <w:lang w:val="en-US"/>
      <w14:ligatures w14:val="none"/>
    </w:rPr>
  </w:style>
  <w:style w:type="character" w:customStyle="1" w:styleId="NoSpacingChar">
    <w:name w:val="No Spacing Char"/>
    <w:basedOn w:val="DefaultParagraphFont"/>
    <w:link w:val="NoSpacing"/>
    <w:uiPriority w:val="1"/>
    <w:rsid w:val="001F6184"/>
    <w:rPr>
      <w:rFonts w:eastAsiaTheme="minorEastAsia"/>
      <w:kern w:val="0"/>
      <w:sz w:val="22"/>
      <w:szCs w:val="22"/>
      <w:lang w:val="en-US"/>
      <w14:ligatures w14:val="none"/>
    </w:rPr>
  </w:style>
  <w:style w:type="paragraph" w:customStyle="1" w:styleId="H1">
    <w:name w:val="H1"/>
    <w:basedOn w:val="Heading1"/>
    <w:link w:val="H1Char"/>
    <w:autoRedefine/>
    <w:qFormat/>
    <w:rsid w:val="000A6351"/>
    <w:pPr>
      <w:ind w:left="0" w:firstLine="0"/>
      <w:jc w:val="left"/>
    </w:pPr>
    <w:rPr>
      <w:rFonts w:ascii="Figtree" w:hAnsi="Figtree"/>
      <w:b/>
      <w:color w:val="000099"/>
      <w:sz w:val="32"/>
    </w:rPr>
  </w:style>
  <w:style w:type="character" w:customStyle="1" w:styleId="H1Char">
    <w:name w:val="H1 Char"/>
    <w:basedOn w:val="Heading1Char"/>
    <w:link w:val="H1"/>
    <w:rsid w:val="000A6351"/>
    <w:rPr>
      <w:rFonts w:ascii="Figtree" w:eastAsiaTheme="majorEastAsia" w:hAnsi="Figtree" w:cstheme="majorBidi"/>
      <w:b/>
      <w:color w:val="000099"/>
      <w:sz w:val="32"/>
      <w:szCs w:val="40"/>
    </w:rPr>
  </w:style>
  <w:style w:type="paragraph" w:customStyle="1" w:styleId="H2">
    <w:name w:val="H2"/>
    <w:basedOn w:val="Heading2"/>
    <w:link w:val="H2Char"/>
    <w:autoRedefine/>
    <w:qFormat/>
    <w:rsid w:val="000A6351"/>
    <w:pPr>
      <w:ind w:left="0" w:firstLine="0"/>
      <w:jc w:val="left"/>
    </w:pPr>
    <w:rPr>
      <w:rFonts w:ascii="Figtree" w:hAnsi="Figtree"/>
      <w:b/>
      <w:color w:val="000099"/>
      <w:sz w:val="28"/>
    </w:rPr>
  </w:style>
  <w:style w:type="character" w:customStyle="1" w:styleId="H2Char">
    <w:name w:val="H2 Char"/>
    <w:basedOn w:val="Heading2Char"/>
    <w:link w:val="H2"/>
    <w:rsid w:val="000A6351"/>
    <w:rPr>
      <w:rFonts w:ascii="Figtree" w:eastAsiaTheme="majorEastAsia" w:hAnsi="Figtree" w:cstheme="majorBidi"/>
      <w:b/>
      <w:color w:val="000099"/>
      <w:sz w:val="28"/>
      <w:szCs w:val="32"/>
    </w:rPr>
  </w:style>
  <w:style w:type="paragraph" w:customStyle="1" w:styleId="H3">
    <w:name w:val="H3"/>
    <w:basedOn w:val="Heading3"/>
    <w:link w:val="H3Char"/>
    <w:autoRedefine/>
    <w:qFormat/>
    <w:rsid w:val="000A6351"/>
    <w:pPr>
      <w:ind w:left="0" w:firstLine="0"/>
      <w:jc w:val="left"/>
    </w:pPr>
    <w:rPr>
      <w:rFonts w:ascii="Figtree" w:hAnsi="Figtree"/>
      <w:b/>
      <w:color w:val="000099"/>
      <w:sz w:val="24"/>
    </w:rPr>
  </w:style>
  <w:style w:type="character" w:customStyle="1" w:styleId="H3Char">
    <w:name w:val="H3 Char"/>
    <w:basedOn w:val="Heading3Char"/>
    <w:link w:val="H3"/>
    <w:rsid w:val="000A6351"/>
    <w:rPr>
      <w:rFonts w:ascii="Figtree" w:eastAsiaTheme="majorEastAsia" w:hAnsi="Figtree" w:cstheme="majorBidi"/>
      <w:b/>
      <w:color w:val="000099"/>
      <w:sz w:val="28"/>
      <w:szCs w:val="28"/>
    </w:rPr>
  </w:style>
  <w:style w:type="paragraph" w:customStyle="1" w:styleId="H4">
    <w:name w:val="H4"/>
    <w:basedOn w:val="Heading4"/>
    <w:link w:val="H4Char"/>
    <w:autoRedefine/>
    <w:qFormat/>
    <w:rsid w:val="000A6351"/>
    <w:pPr>
      <w:ind w:left="0" w:firstLine="0"/>
      <w:jc w:val="left"/>
    </w:pPr>
    <w:rPr>
      <w:rFonts w:ascii="Figtree" w:hAnsi="Figtree"/>
      <w:b/>
      <w:i w:val="0"/>
      <w:color w:val="000099"/>
    </w:rPr>
  </w:style>
  <w:style w:type="character" w:customStyle="1" w:styleId="H4Char">
    <w:name w:val="H4 Char"/>
    <w:basedOn w:val="Heading4Char"/>
    <w:link w:val="H4"/>
    <w:rsid w:val="000A6351"/>
    <w:rPr>
      <w:rFonts w:ascii="Figtree" w:eastAsiaTheme="majorEastAsia" w:hAnsi="Figtree" w:cstheme="majorBidi"/>
      <w:b/>
      <w:i w:val="0"/>
      <w:iCs/>
      <w:color w:val="000099"/>
    </w:rPr>
  </w:style>
  <w:style w:type="paragraph" w:styleId="TOCHeading">
    <w:name w:val="TOC Heading"/>
    <w:basedOn w:val="Heading1"/>
    <w:next w:val="Normal"/>
    <w:uiPriority w:val="39"/>
    <w:unhideWhenUsed/>
    <w:qFormat/>
    <w:rsid w:val="006B6750"/>
    <w:pPr>
      <w:numPr>
        <w:numId w:val="0"/>
      </w:numPr>
      <w:spacing w:before="240" w:after="0" w:line="259" w:lineRule="auto"/>
      <w:outlineLvl w:val="9"/>
    </w:pPr>
    <w:rPr>
      <w:kern w:val="0"/>
      <w:sz w:val="32"/>
      <w:szCs w:val="32"/>
      <w:lang w:val="en-US"/>
      <w14:ligatures w14:val="none"/>
    </w:rPr>
  </w:style>
  <w:style w:type="paragraph" w:styleId="TOC2">
    <w:name w:val="toc 2"/>
    <w:basedOn w:val="Normal"/>
    <w:next w:val="Normal"/>
    <w:autoRedefine/>
    <w:uiPriority w:val="39"/>
    <w:unhideWhenUsed/>
    <w:rsid w:val="006B6750"/>
    <w:pPr>
      <w:spacing w:after="100" w:line="259" w:lineRule="auto"/>
      <w:ind w:left="220"/>
    </w:pPr>
    <w:rPr>
      <w:rFonts w:eastAsiaTheme="minorEastAsia" w:cs="Times New Roman"/>
      <w:kern w:val="0"/>
      <w:sz w:val="22"/>
      <w:szCs w:val="22"/>
      <w:lang w:val="en-US"/>
      <w14:ligatures w14:val="none"/>
    </w:rPr>
  </w:style>
  <w:style w:type="paragraph" w:styleId="TOC1">
    <w:name w:val="toc 1"/>
    <w:basedOn w:val="Normal"/>
    <w:next w:val="Normal"/>
    <w:autoRedefine/>
    <w:uiPriority w:val="39"/>
    <w:unhideWhenUsed/>
    <w:rsid w:val="006B6750"/>
    <w:pPr>
      <w:spacing w:after="100" w:line="259" w:lineRule="auto"/>
    </w:pPr>
    <w:rPr>
      <w:rFonts w:eastAsiaTheme="minorEastAsia" w:cs="Times New Roman"/>
      <w:kern w:val="0"/>
      <w:sz w:val="22"/>
      <w:szCs w:val="22"/>
      <w:lang w:val="en-US"/>
      <w14:ligatures w14:val="none"/>
    </w:rPr>
  </w:style>
  <w:style w:type="paragraph" w:styleId="TOC3">
    <w:name w:val="toc 3"/>
    <w:basedOn w:val="Normal"/>
    <w:next w:val="Normal"/>
    <w:autoRedefine/>
    <w:uiPriority w:val="39"/>
    <w:unhideWhenUsed/>
    <w:rsid w:val="006B6750"/>
    <w:pPr>
      <w:spacing w:after="100" w:line="259" w:lineRule="auto"/>
      <w:ind w:left="440"/>
    </w:pPr>
    <w:rPr>
      <w:rFonts w:eastAsiaTheme="minorEastAsia" w:cs="Times New Roman"/>
      <w:kern w:val="0"/>
      <w:sz w:val="22"/>
      <w:szCs w:val="22"/>
      <w:lang w:val="en-US"/>
      <w14:ligatures w14:val="none"/>
    </w:rPr>
  </w:style>
  <w:style w:type="character" w:styleId="Hyperlink">
    <w:name w:val="Hyperlink"/>
    <w:basedOn w:val="DefaultParagraphFont"/>
    <w:uiPriority w:val="99"/>
    <w:unhideWhenUsed/>
    <w:rsid w:val="006B6750"/>
    <w:rPr>
      <w:color w:val="000048" w:themeColor="hyperlink"/>
      <w:u w:val="single"/>
    </w:rPr>
  </w:style>
  <w:style w:type="table" w:styleId="TableGrid">
    <w:name w:val="Table Grid"/>
    <w:basedOn w:val="TableNormal"/>
    <w:uiPriority w:val="39"/>
    <w:rsid w:val="00F8542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4962CD"/>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glossaryDocument" Target="glossary/document.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02F3537D4C677A4AAC856F674BAF4DF3"/>
        <w:category>
          <w:name w:val="General"/>
          <w:gallery w:val="placeholder"/>
        </w:category>
        <w:types>
          <w:type w:val="bbPlcHdr"/>
        </w:types>
        <w:behaviors>
          <w:behavior w:val="content"/>
        </w:behaviors>
        <w:guid w:val="{21C83031-79E6-8444-A272-10097DDD570D}"/>
      </w:docPartPr>
      <w:docPartBody>
        <w:p w:rsidR="00000000" w:rsidRDefault="00000000">
          <w:pPr>
            <w:pStyle w:val="02F3537D4C677A4AAC856F674BAF4DF3"/>
          </w:pPr>
          <w:r>
            <w:rPr>
              <w:color w:val="0F4761" w:themeColor="accent1" w:themeShade="BF"/>
            </w:rPr>
            <w:t>[Company name]</w:t>
          </w:r>
        </w:p>
      </w:docPartBody>
    </w:docPart>
    <w:docPart>
      <w:docPartPr>
        <w:name w:val="00F9803809315C46887E272E02859745"/>
        <w:category>
          <w:name w:val="General"/>
          <w:gallery w:val="placeholder"/>
        </w:category>
        <w:types>
          <w:type w:val="bbPlcHdr"/>
        </w:types>
        <w:behaviors>
          <w:behavior w:val="content"/>
        </w:behaviors>
        <w:guid w:val="{B11F9B95-38C3-7746-A0B8-DA6B55175233}"/>
      </w:docPartPr>
      <w:docPartBody>
        <w:p w:rsidR="00000000" w:rsidRDefault="00000000">
          <w:pPr>
            <w:pStyle w:val="00F9803809315C46887E272E02859745"/>
          </w:pPr>
          <w:r>
            <w:rPr>
              <w:rFonts w:asciiTheme="majorHAnsi" w:eastAsiaTheme="majorEastAsia" w:hAnsiTheme="majorHAnsi" w:cstheme="majorBidi"/>
              <w:color w:val="156082" w:themeColor="accent1"/>
              <w:sz w:val="88"/>
              <w:szCs w:val="88"/>
            </w:rPr>
            <w:t>[Document title]</w:t>
          </w:r>
        </w:p>
      </w:docPartBody>
    </w:docPart>
    <w:docPart>
      <w:docPartPr>
        <w:name w:val="0D460E9532679D4283311473F5C36932"/>
        <w:category>
          <w:name w:val="General"/>
          <w:gallery w:val="placeholder"/>
        </w:category>
        <w:types>
          <w:type w:val="bbPlcHdr"/>
        </w:types>
        <w:behaviors>
          <w:behavior w:val="content"/>
        </w:behaviors>
        <w:guid w:val="{D28655B3-928F-E644-BE5D-C357A9384B90}"/>
      </w:docPartPr>
      <w:docPartBody>
        <w:p w:rsidR="00000000" w:rsidRDefault="00000000">
          <w:pPr>
            <w:pStyle w:val="0D460E9532679D4283311473F5C36932"/>
          </w:pPr>
          <w:r>
            <w:rPr>
              <w:color w:val="0F4761" w:themeColor="accent1" w:themeShade="BF"/>
            </w:rPr>
            <w:t>[Document subtitle]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Figtree">
    <w:altName w:val="Calibri"/>
    <w:panose1 w:val="00000000000000000000"/>
    <w:charset w:val="00"/>
    <w:family w:val="auto"/>
    <w:notTrueType/>
    <w:pitch w:val="variable"/>
    <w:sig w:usb0="A000006F" w:usb1="0000007B" w:usb2="00000000" w:usb3="00000000" w:csb0="00000093"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0B91"/>
    <w:rsid w:val="00080B91"/>
    <w:rsid w:val="005F2DC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02F3537D4C677A4AAC856F674BAF4DF3">
    <w:name w:val="02F3537D4C677A4AAC856F674BAF4DF3"/>
  </w:style>
  <w:style w:type="paragraph" w:customStyle="1" w:styleId="00F9803809315C46887E272E02859745">
    <w:name w:val="00F9803809315C46887E272E02859745"/>
  </w:style>
  <w:style w:type="paragraph" w:customStyle="1" w:styleId="0D460E9532679D4283311473F5C36932">
    <w:name w:val="0D460E9532679D4283311473F5C36932"/>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SettleMint">
      <a:dk1>
        <a:sysClr val="windowText" lastClr="000000"/>
      </a:dk1>
      <a:lt1>
        <a:sysClr val="window" lastClr="FFFFFF"/>
      </a:lt1>
      <a:dk2>
        <a:srgbClr val="0E2841"/>
      </a:dk2>
      <a:lt2>
        <a:srgbClr val="E8E8E8"/>
      </a:lt2>
      <a:accent1>
        <a:srgbClr val="000099"/>
      </a:accent1>
      <a:accent2>
        <a:srgbClr val="0066FF"/>
      </a:accent2>
      <a:accent3>
        <a:srgbClr val="0000FF"/>
      </a:accent3>
      <a:accent4>
        <a:srgbClr val="0F9ED5"/>
      </a:accent4>
      <a:accent5>
        <a:srgbClr val="67EBCC"/>
      </a:accent5>
      <a:accent6>
        <a:srgbClr val="70FF9E"/>
      </a:accent6>
      <a:hlink>
        <a:srgbClr val="000048"/>
      </a:hlink>
      <a:folHlink>
        <a:srgbClr val="000017"/>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04310B7-8EAE-46C7-B490-25129E3B87E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Normal.dotx</Template>
  <TotalTime>0</TotalTime>
  <Pages>5</Pages>
  <Words>504</Words>
  <Characters>2877</Characters>
  <Application>Microsoft Office Word</Application>
  <DocSecurity>0</DocSecurity>
  <Lines>23</Lines>
  <Paragraphs>6</Paragraphs>
  <ScaleCrop>false</ScaleCrop>
  <Company/>
  <LinksUpToDate>false</LinksUpToDate>
  <CharactersWithSpaces>3375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Gyanendra Sharma</dc:creator>
  <cp:keywords/>
  <dc:description/>
  <cp:lastModifiedBy>Gyan Sharma</cp:lastModifiedBy>
  <cp:revision>1</cp:revision>
  <dcterms:created xsi:type="dcterms:W3CDTF">2026-03-13T17:24:00Z</dcterms:created>
  <dcterms:modified xsi:type="dcterms:W3CDTF">2026-03-13T17:24:00Z</dcterms:modified>
</cp:coreProperties>
</file>