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Investment Rationale</w:t>
          </w:r>
          <w:r>
            <w:tab/>
          </w:r>
          <w:r>
            <w:t xml:space="preserve">4</w:t>
          </w:r>
        </w:p>
        <w:p>
          <w:pPr>
            <w:pStyle w:val="TOC2"/>
            <w:tabs>
              <w:tab w:val="right" w:leader="dot" w:pos="9072"/>
            </w:tabs>
          </w:pPr>
          <w:r>
            <w:t xml:space="preserve">Cost of Current Approach</w:t>
          </w:r>
          <w:r>
            <w:tab/>
          </w:r>
          <w:r>
            <w:t xml:space="preserve">5</w:t>
          </w:r>
        </w:p>
        <w:p>
          <w:pPr>
            <w:pStyle w:val="TOC2"/>
            <w:tabs>
              <w:tab w:val="right" w:leader="dot" w:pos="9072"/>
            </w:tabs>
          </w:pPr>
          <w:r>
            <w:t xml:space="preserve">Why DALP Changes Economics</w:t>
          </w:r>
          <w:r>
            <w:tab/>
          </w:r>
          <w:r>
            <w:t xml:space="preserve">6</w:t>
          </w:r>
        </w:p>
        <w:p>
          <w:pPr>
            <w:pStyle w:val="TOC2"/>
            <w:tabs>
              <w:tab w:val="right" w:leader="dot" w:pos="9072"/>
            </w:tabs>
          </w:pPr>
          <w:r>
            <w:t xml:space="preserve">ROI Framework</w:t>
          </w:r>
          <w:r>
            <w:tab/>
          </w:r>
          <w:r>
            <w:t xml:space="preserve">7</w:t>
          </w:r>
        </w:p>
        <w:p>
          <w:pPr>
            <w:pStyle w:val="TOC1"/>
            <w:tabs>
              <w:tab w:val="right" w:leader="dot" w:pos="9072"/>
            </w:tabs>
          </w:pPr>
          <w:r>
            <w:t xml:space="preserve">Licensing Model</w:t>
          </w:r>
          <w:r>
            <w:tab/>
          </w:r>
          <w:r>
            <w:t xml:space="preserve">8</w:t>
          </w:r>
        </w:p>
        <w:p>
          <w:pPr>
            <w:pStyle w:val="TOC2"/>
            <w:tabs>
              <w:tab w:val="right" w:leader="dot" w:pos="9072"/>
            </w:tabs>
          </w:pPr>
          <w:r>
            <w:t xml:space="preserve">Philosophy</w:t>
          </w:r>
          <w:r>
            <w:tab/>
          </w:r>
          <w:r>
            <w:t xml:space="preserve">9</w:t>
          </w:r>
        </w:p>
        <w:p>
          <w:pPr>
            <w:pStyle w:val="TOC2"/>
            <w:tabs>
              <w:tab w:val="right" w:leader="dot" w:pos="9072"/>
            </w:tabs>
          </w:pPr>
          <w:r>
            <w:t xml:space="preserve">What Is Included</w:t>
          </w:r>
          <w:r>
            <w:tab/>
          </w:r>
          <w:r>
            <w:t xml:space="preserve">10</w:t>
          </w:r>
        </w:p>
        <w:p>
          <w:pPr>
            <w:pStyle w:val="TOC2"/>
            <w:tabs>
              <w:tab w:val="right" w:leader="dot" w:pos="9072"/>
            </w:tabs>
          </w:pPr>
          <w:r>
            <w:t xml:space="preserve">What Varies</w:t>
          </w:r>
          <w:r>
            <w:tab/>
          </w:r>
          <w:r>
            <w:t xml:space="preserve">11</w:t>
          </w:r>
        </w:p>
        <w:p>
          <w:pPr>
            <w:pStyle w:val="TOC2"/>
            <w:tabs>
              <w:tab w:val="right" w:leader="dot" w:pos="9072"/>
            </w:tabs>
          </w:pPr>
          <w:r>
            <w:t xml:space="preserve">Platform Tiers</w:t>
          </w:r>
          <w:r>
            <w:tab/>
          </w:r>
          <w:r>
            <w:t xml:space="preserve">12</w:t>
          </w:r>
        </w:p>
        <w:p>
          <w:pPr>
            <w:pStyle w:val="TOC1"/>
            <w:tabs>
              <w:tab w:val="right" w:leader="dot" w:pos="9072"/>
            </w:tabs>
          </w:pPr>
          <w:r>
            <w:t xml:space="preserve">Deployment Options and Pricing</w:t>
          </w:r>
          <w:r>
            <w:tab/>
          </w:r>
          <w:r>
            <w:t xml:space="preserve">13</w:t>
          </w:r>
        </w:p>
        <w:p>
          <w:pPr>
            <w:pStyle w:val="TOC2"/>
            <w:tabs>
              <w:tab w:val="right" w:leader="dot" w:pos="9072"/>
            </w:tabs>
          </w:pPr>
          <w:r>
            <w:t xml:space="preserve">Model Overview</w:t>
          </w:r>
          <w:r>
            <w:tab/>
          </w:r>
          <w:r>
            <w:t xml:space="preserve">14</w:t>
          </w:r>
        </w:p>
        <w:p>
          <w:pPr>
            <w:pStyle w:val="TOC2"/>
            <w:tabs>
              <w:tab w:val="right" w:leader="dot" w:pos="9072"/>
            </w:tabs>
          </w:pPr>
          <w:r>
            <w:t xml:space="preserve">Comparison</w:t>
          </w:r>
          <w:r>
            <w:tab/>
          </w:r>
          <w:r>
            <w:t xml:space="preserve">15</w:t>
          </w:r>
        </w:p>
        <w:p>
          <w:pPr>
            <w:pStyle w:val="TOC2"/>
            <w:tabs>
              <w:tab w:val="right" w:leader="dot" w:pos="9072"/>
            </w:tabs>
          </w:pPr>
          <w:r>
            <w:t xml:space="preserve">Cost Structure</w:t>
          </w:r>
          <w:r>
            <w:tab/>
          </w:r>
          <w:r>
            <w:t xml:space="preserve">16</w:t>
          </w:r>
        </w:p>
        <w:p>
          <w:pPr>
            <w:pStyle w:val="TOC2"/>
            <w:tabs>
              <w:tab w:val="right" w:leader="dot" w:pos="9072"/>
            </w:tabs>
          </w:pPr>
          <w:r>
            <w:t xml:space="preserve">Cost Drivers</w:t>
          </w:r>
          <w:r>
            <w:tab/>
          </w:r>
          <w:r>
            <w:t xml:space="preserve">17</w:t>
          </w:r>
        </w:p>
        <w:p>
          <w:pPr>
            <w:pStyle w:val="TOC1"/>
            <w:tabs>
              <w:tab w:val="right" w:leader="dot" w:pos="9072"/>
            </w:tabs>
          </w:pPr>
          <w:r>
            <w:t xml:space="preserve">Support and SLA Framework</w:t>
          </w:r>
          <w:r>
            <w:tab/>
          </w:r>
          <w:r>
            <w:t xml:space="preserve">18</w:t>
          </w:r>
        </w:p>
        <w:p>
          <w:pPr>
            <w:pStyle w:val="TOC2"/>
            <w:tabs>
              <w:tab w:val="right" w:leader="dot" w:pos="9072"/>
            </w:tabs>
          </w:pPr>
          <w:r>
            <w:t xml:space="preserve">Tiers</w:t>
          </w:r>
          <w:r>
            <w:tab/>
          </w:r>
          <w:r>
            <w:t xml:space="preserve">19</w:t>
          </w:r>
        </w:p>
        <w:p>
          <w:pPr>
            <w:pStyle w:val="TOC2"/>
            <w:tabs>
              <w:tab w:val="right" w:leader="dot" w:pos="9072"/>
            </w:tabs>
          </w:pPr>
          <w:r>
            <w:t xml:space="preserve">Severity Levels</w:t>
          </w:r>
          <w:r>
            <w:tab/>
          </w:r>
          <w:r>
            <w:t xml:space="preserve">20</w:t>
          </w:r>
        </w:p>
        <w:p>
          <w:pPr>
            <w:pStyle w:val="TOC2"/>
            <w:tabs>
              <w:tab w:val="right" w:leader="dot" w:pos="9072"/>
            </w:tabs>
          </w:pPr>
          <w:r>
            <w:t xml:space="preserve">Uptime SLA</w:t>
          </w:r>
          <w:r>
            <w:tab/>
          </w:r>
          <w:r>
            <w:t xml:space="preserve">21</w:t>
          </w:r>
        </w:p>
        <w:p>
          <w:pPr>
            <w:pStyle w:val="TOC2"/>
            <w:tabs>
              <w:tab w:val="right" w:leader="dot" w:pos="9072"/>
            </w:tabs>
          </w:pPr>
          <w:r>
            <w:t xml:space="preserve">Escalation</w:t>
          </w:r>
          <w:r>
            <w:tab/>
          </w:r>
          <w:r>
            <w:t xml:space="preserve">22</w:t>
          </w:r>
        </w:p>
        <w:p>
          <w:pPr>
            <w:pStyle w:val="TOC2"/>
            <w:tabs>
              <w:tab w:val="right" w:leader="dot" w:pos="9072"/>
            </w:tabs>
          </w:pPr>
          <w:r>
            <w:t xml:space="preserve">Maintenance</w:t>
          </w:r>
          <w:r>
            <w:tab/>
          </w:r>
          <w:r>
            <w:t xml:space="preserve">23</w:t>
          </w:r>
        </w:p>
        <w:p>
          <w:pPr>
            <w:pStyle w:val="TOC1"/>
            <w:tabs>
              <w:tab w:val="right" w:leader="dot" w:pos="9072"/>
            </w:tabs>
          </w:pPr>
          <w:r>
            <w:t xml:space="preserve">Implementation Investment</w:t>
          </w:r>
          <w:r>
            <w:tab/>
          </w:r>
          <w:r>
            <w:t xml:space="preserve">24</w:t>
          </w:r>
        </w:p>
        <w:p>
          <w:pPr>
            <w:pStyle w:val="TOC2"/>
            <w:tabs>
              <w:tab w:val="right" w:leader="dot" w:pos="9072"/>
            </w:tabs>
          </w:pPr>
          <w:r>
            <w:t xml:space="preserve">Methodology</w:t>
          </w:r>
          <w:r>
            <w:tab/>
          </w:r>
          <w:r>
            <w:t xml:space="preserve">25</w:t>
          </w:r>
        </w:p>
        <w:p>
          <w:pPr>
            <w:pStyle w:val="TOC2"/>
            <w:tabs>
              <w:tab w:val="right" w:leader="dot" w:pos="9072"/>
            </w:tabs>
          </w:pPr>
          <w:r>
            <w:t xml:space="preserve">Phase Summary</w:t>
          </w:r>
          <w:r>
            <w:tab/>
          </w:r>
          <w:r>
            <w:t xml:space="preserve">26</w:t>
          </w:r>
        </w:p>
        <w:p>
          <w:pPr>
            <w:pStyle w:val="TOC2"/>
            <w:tabs>
              <w:tab w:val="right" w:leader="dot" w:pos="9072"/>
            </w:tabs>
          </w:pPr>
          <w:r>
            <w:t xml:space="preserve">Pricing Summary</w:t>
          </w:r>
          <w:r>
            <w:tab/>
          </w:r>
          <w:r>
            <w:t xml:space="preserve">27</w:t>
          </w:r>
        </w:p>
        <w:p>
          <w:pPr>
            <w:pStyle w:val="TOC2"/>
            <w:tabs>
              <w:tab w:val="right" w:leader="dot" w:pos="9072"/>
            </w:tabs>
          </w:pPr>
          <w:r>
            <w:t xml:space="preserve">Accelerators and Risks</w:t>
          </w:r>
          <w:r>
            <w:tab/>
          </w:r>
          <w:r>
            <w:t xml:space="preserve">28</w:t>
          </w:r>
        </w:p>
        <w:p>
          <w:pPr>
            <w:pStyle w:val="TOC2"/>
            <w:tabs>
              <w:tab w:val="right" w:leader="dot" w:pos="9072"/>
            </w:tabs>
          </w:pPr>
          <w:r>
            <w:t xml:space="preserve">Training</w:t>
          </w:r>
          <w:r>
            <w:tab/>
          </w:r>
          <w:r>
            <w:t xml:space="preserve">29</w:t>
          </w:r>
        </w:p>
        <w:p>
          <w:pPr>
            <w:pStyle w:val="TOC1"/>
            <w:tabs>
              <w:tab w:val="right" w:leader="dot" w:pos="9072"/>
            </w:tabs>
          </w:pPr>
          <w:r>
            <w:t xml:space="preserve">Commercial Terms</w:t>
          </w:r>
          <w:r>
            <w:tab/>
          </w:r>
          <w:r>
            <w:t xml:space="preserve">30</w:t>
          </w:r>
        </w:p>
        <w:p>
          <w:pPr>
            <w:pStyle w:val="TOC2"/>
            <w:tabs>
              <w:tab w:val="right" w:leader="dot" w:pos="9072"/>
            </w:tabs>
          </w:pPr>
          <w:r>
            <w:t xml:space="preserve">Contract Structure</w:t>
          </w:r>
          <w:r>
            <w:tab/>
          </w:r>
          <w:r>
            <w:t xml:space="preserve">31</w:t>
          </w:r>
        </w:p>
        <w:p>
          <w:pPr>
            <w:pStyle w:val="TOC2"/>
            <w:tabs>
              <w:tab w:val="right" w:leader="dot" w:pos="9072"/>
            </w:tabs>
          </w:pPr>
          <w:r>
            <w:t xml:space="preserve">Payment Schedule</w:t>
          </w:r>
          <w:r>
            <w:tab/>
          </w:r>
          <w:r>
            <w:t xml:space="preserve">32</w:t>
          </w:r>
        </w:p>
        <w:p>
          <w:pPr>
            <w:pStyle w:val="TOC2"/>
            <w:tabs>
              <w:tab w:val="right" w:leader="dot" w:pos="9072"/>
            </w:tabs>
          </w:pPr>
          <w:r>
            <w:t xml:space="preserve">Duration</w:t>
          </w:r>
          <w:r>
            <w:tab/>
          </w:r>
          <w:r>
            <w:t xml:space="preserve">33</w:t>
          </w:r>
        </w:p>
        <w:p>
          <w:pPr>
            <w:pStyle w:val="TOC2"/>
            <w:tabs>
              <w:tab w:val="right" w:leader="dot" w:pos="9072"/>
            </w:tabs>
          </w:pPr>
          <w:r>
            <w:t xml:space="preserve">Renewal</w:t>
          </w:r>
          <w:r>
            <w:tab/>
          </w:r>
          <w:r>
            <w:t xml:space="preserve">34</w:t>
          </w:r>
        </w:p>
        <w:p>
          <w:pPr>
            <w:pStyle w:val="TOC2"/>
            <w:tabs>
              <w:tab w:val="right" w:leader="dot" w:pos="9072"/>
            </w:tabs>
          </w:pPr>
          <w:r>
            <w:t xml:space="preserve">Termination</w:t>
          </w:r>
          <w:r>
            <w:tab/>
          </w:r>
          <w:r>
            <w:t xml:space="preserve">35</w:t>
          </w:r>
        </w:p>
        <w:p>
          <w:pPr>
            <w:pStyle w:val="TOC2"/>
            <w:tabs>
              <w:tab w:val="right" w:leader="dot" w:pos="9072"/>
            </w:tabs>
          </w:pPr>
          <w:r>
            <w:t xml:space="preserve">Intellectual Property</w:t>
          </w:r>
          <w:r>
            <w:tab/>
          </w:r>
          <w:r>
            <w:t xml:space="preserve">36</w:t>
          </w:r>
        </w:p>
        <w:p>
          <w:pPr>
            <w:pStyle w:val="TOC2"/>
            <w:tabs>
              <w:tab w:val="right" w:leader="dot" w:pos="9072"/>
            </w:tabs>
          </w:pPr>
          <w:r>
            <w:t xml:space="preserve">Liability</w:t>
          </w:r>
          <w:r>
            <w:tab/>
          </w:r>
          <w:r>
            <w:t xml:space="preserve">37</w:t>
          </w:r>
        </w:p>
        <w:p>
          <w:pPr>
            <w:pStyle w:val="TOC2"/>
            <w:tabs>
              <w:tab w:val="right" w:leader="dot" w:pos="9072"/>
            </w:tabs>
          </w:pPr>
          <w:r>
            <w:t xml:space="preserve">Confidentiality</w:t>
          </w:r>
          <w:r>
            <w:tab/>
          </w:r>
          <w:r>
            <w:t xml:space="preserve">38</w:t>
          </w:r>
        </w:p>
        <w:p>
          <w:pPr>
            <w:pStyle w:val="TOC2"/>
            <w:tabs>
              <w:tab w:val="right" w:leader="dot" w:pos="9072"/>
            </w:tabs>
          </w:pPr>
          <w:r>
            <w:t xml:space="preserve">Escrow</w:t>
          </w:r>
          <w:r>
            <w:tab/>
          </w:r>
          <w:r>
            <w:t xml:space="preserve">39</w:t>
          </w:r>
        </w:p>
        <w:p>
          <w:pPr>
            <w:pStyle w:val="TOC1"/>
            <w:tabs>
              <w:tab w:val="right" w:leader="dot" w:pos="9072"/>
            </w:tabs>
          </w:pPr>
          <w:r>
            <w:t xml:space="preserve">Total Cost of Ownership</w:t>
          </w:r>
          <w:r>
            <w:tab/>
          </w:r>
          <w:r>
            <w:t xml:space="preserve">40</w:t>
          </w:r>
        </w:p>
        <w:p>
          <w:pPr>
            <w:pStyle w:val="TOC2"/>
            <w:tabs>
              <w:tab w:val="right" w:leader="dot" w:pos="9072"/>
            </w:tabs>
          </w:pPr>
          <w:r>
            <w:t xml:space="preserve">TCO Framework</w:t>
          </w:r>
          <w:r>
            <w:tab/>
          </w:r>
          <w:r>
            <w:t xml:space="preserve">41</w:t>
          </w:r>
        </w:p>
        <w:p>
          <w:pPr>
            <w:pStyle w:val="TOC2"/>
            <w:tabs>
              <w:tab w:val="right" w:leader="dot" w:pos="9072"/>
            </w:tabs>
          </w:pPr>
          <w:r>
            <w:t xml:space="preserve">3-Year Model</w:t>
          </w:r>
          <w:r>
            <w:tab/>
          </w:r>
          <w:r>
            <w:t xml:space="preserve">42</w:t>
          </w:r>
        </w:p>
        <w:p>
          <w:pPr>
            <w:pStyle w:val="TOC2"/>
            <w:tabs>
              <w:tab w:val="right" w:leader="dot" w:pos="9072"/>
            </w:tabs>
          </w:pPr>
          <w:r>
            <w:t xml:space="preserve">5-Year Model</w:t>
          </w:r>
          <w:r>
            <w:tab/>
          </w:r>
          <w:r>
            <w:t xml:space="preserve">43</w:t>
          </w:r>
        </w:p>
        <w:p>
          <w:pPr>
            <w:pStyle w:val="TOC2"/>
            <w:tabs>
              <w:tab w:val="right" w:leader="dot" w:pos="9072"/>
            </w:tabs>
          </w:pPr>
          <w:r>
            <w:t xml:space="preserve">Comparative Analysis</w:t>
          </w:r>
          <w:r>
            <w:tab/>
          </w:r>
          <w:r>
            <w:t xml:space="preserve">44</w:t>
          </w:r>
        </w:p>
        <w:p>
          <w:pPr>
            <w:pStyle w:val="TOC1"/>
            <w:tabs>
              <w:tab w:val="right" w:leader="dot" w:pos="9072"/>
            </w:tabs>
          </w:pPr>
          <w:r>
            <w:t xml:space="preserve">Customer References</w:t>
          </w:r>
          <w:r>
            <w:tab/>
          </w:r>
          <w:r>
            <w:t xml:space="preserve">45</w:t>
          </w:r>
        </w:p>
        <w:p>
          <w:pPr>
            <w:pStyle w:val="TOC2"/>
            <w:tabs>
              <w:tab w:val="right" w:leader="dot" w:pos="9072"/>
            </w:tabs>
          </w:pPr>
          <w:r>
            <w:t xml:space="preserve">Track Record</w:t>
          </w:r>
          <w:r>
            <w:tab/>
          </w:r>
          <w:r>
            <w:t xml:space="preserve">46</w:t>
          </w:r>
        </w:p>
        <w:p>
          <w:pPr>
            <w:pStyle w:val="TOC2"/>
            <w:tabs>
              <w:tab w:val="right" w:leader="dot" w:pos="9072"/>
            </w:tabs>
          </w:pPr>
          <w:r>
            <w:t xml:space="preserve">Case Study: Commerzbank</w:t>
          </w:r>
          <w:r>
            <w:tab/>
          </w:r>
          <w:r>
            <w:t xml:space="preserve">47</w:t>
          </w:r>
        </w:p>
        <w:p>
          <w:pPr>
            <w:pStyle w:val="TOC2"/>
            <w:tabs>
              <w:tab w:val="right" w:leader="dot" w:pos="9072"/>
            </w:tabs>
          </w:pPr>
          <w:r>
            <w:t xml:space="preserve">Case Study: Mizuho Bank</w:t>
          </w:r>
          <w:r>
            <w:tab/>
          </w:r>
          <w:r>
            <w:t xml:space="preserve">48</w:t>
          </w:r>
        </w:p>
        <w:p>
          <w:pPr>
            <w:pStyle w:val="TOC1"/>
            <w:tabs>
              <w:tab w:val="right" w:leader="dot" w:pos="9072"/>
            </w:tabs>
          </w:pPr>
          <w:r>
            <w:t xml:space="preserve">Project Implementation and Delivery</w:t>
          </w:r>
          <w:r>
            <w:tab/>
          </w:r>
          <w:r>
            <w:t xml:space="preserve">49</w:t>
          </w:r>
        </w:p>
        <w:p>
          <w:pPr>
            <w:pStyle w:val="TOC2"/>
            <w:tabs>
              <w:tab w:val="right" w:leader="dot" w:pos="9072"/>
            </w:tabs>
          </w:pPr>
          <w:r>
            <w:t xml:space="preserve">Methodology</w:t>
          </w:r>
          <w:r>
            <w:tab/>
          </w:r>
          <w:r>
            <w:t xml:space="preserve">50</w:t>
          </w:r>
        </w:p>
        <w:p>
          <w:pPr>
            <w:pStyle w:val="TOC2"/>
            <w:tabs>
              <w:tab w:val="right" w:leader="dot" w:pos="9072"/>
            </w:tabs>
          </w:pPr>
          <w:r>
            <w:t xml:space="preserve">Timeline</w:t>
          </w:r>
          <w:r>
            <w:tab/>
          </w:r>
          <w:r>
            <w:t xml:space="preserve">51</w:t>
          </w:r>
        </w:p>
        <w:p>
          <w:pPr>
            <w:pStyle w:val="TOC2"/>
            <w:tabs>
              <w:tab w:val="right" w:leader="dot" w:pos="9072"/>
            </w:tabs>
          </w:pPr>
          <w:r>
            <w:t xml:space="preserve">Client Responsibilities</w:t>
          </w:r>
          <w:r>
            <w:tab/>
          </w:r>
          <w:r>
            <w:t xml:space="preserve">52</w:t>
          </w:r>
        </w:p>
        <w:p>
          <w:pPr>
            <w:pStyle w:val="TOC1"/>
            <w:tabs>
              <w:tab w:val="right" w:leader="dot" w:pos="9072"/>
            </w:tabs>
          </w:pPr>
          <w:r>
            <w:t xml:space="preserve">Support Appendix</w:t>
          </w:r>
          <w:r>
            <w:tab/>
          </w:r>
          <w:r>
            <w:t xml:space="preserve">53</w:t>
          </w:r>
        </w:p>
        <w:p>
          <w:pPr>
            <w:pStyle w:val="TOC2"/>
            <w:tabs>
              <w:tab w:val="right" w:leader="dot" w:pos="9072"/>
            </w:tabs>
          </w:pPr>
          <w:r>
            <w:t xml:space="preserve">Support Operations</w:t>
          </w:r>
          <w:r>
            <w:tab/>
          </w:r>
          <w:r>
            <w:t xml:space="preserve">54</w:t>
          </w:r>
        </w:p>
        <w:p>
          <w:pPr>
            <w:pStyle w:val="TOC2"/>
            <w:tabs>
              <w:tab w:val="right" w:leader="dot" w:pos="9072"/>
            </w:tabs>
          </w:pPr>
          <w:r>
            <w:t xml:space="preserve">Maintenance Schedule</w:t>
          </w:r>
          <w:r>
            <w:tab/>
          </w:r>
          <w:r>
            <w:t xml:space="preserve">55</w:t>
          </w:r>
        </w:p>
        <w:p>
          <w:pPr>
            <w:pStyle w:val="TOC1"/>
            <w:tabs>
              <w:tab w:val="right" w:leader="dot" w:pos="9072"/>
            </w:tabs>
          </w:pPr>
          <w:r>
            <w:t xml:space="preserve">Next Steps</w:t>
          </w:r>
          <w:r>
            <w:tab/>
          </w:r>
          <w:r>
            <w:t xml:space="preserve">56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05"/>
        <w:gridCol w:w="71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Tokenized Fixed Income Servicing and Distribution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Commercial International Bank (Egypt)</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COMMERCIAL-INTERNATIONAL-BANK-RFP-TOKENIZED-FIXED-INCOME-EGYPT-202603</w:t>
            </w:r>
          </w:p>
        </w:tc>
      </w:tr>
    </w:tbl>
    <w:p>
      <w:pPr>
        <w:spacing w:before="0" w:after="0" w:line="120" w:lineRule="exact"/>
      </w:pPr>
    </w:p>
    <w:p>
      <w:r>
        <w:br w:type="page"/>
      </w:r>
    </w:p>
    <w:p>
      <w:pPr>
        <w:pStyle w:val="H1"/>
        <w:numPr>
          <w:ilvl w:val="0"/>
          <w:numId w:val="1"/>
        </w:numPr>
      </w:pPr>
      <w:r>
        <w:t>Executive Summary</w:t>
      </w:r>
    </w:p>
    <w:p>
      <w:r>
        <w:rPr>
          <w:rFonts w:ascii="Figtree" w:hAnsi="Figtree"/>
          <w:b w:val="0"/>
          <w:i w:val="0"/>
          <w:sz w:val="22"/>
        </w:rPr>
        <w:t>Commercial International Bank requires a platform and delivery partner capable of bringing tokenized fixed income servicing and distribution to production with the discipline, transparency, and governance expected of a core regulated system operating under CBE and FRA oversight. This commercial proposal presents SettleMint's licensing, implementation, and support model for the Digital Asset Lifecycle Platform (DALP), structured to provide predictable costs, transparent assumptions, and a clear total cost of ownership across a three-to-five-year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supporting multiple bond types,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Egypt-resident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16x5 coverage,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To be finalized during commercial discussions based on validated scope</w:t>
      </w:r>
    </w:p>
    <w:p>
      <w:r>
        <w:rPr>
          <w:rFonts w:ascii="Figtree" w:hAnsi="Figtree"/>
          <w:b w:val="0"/>
          <w:i w:val="0"/>
          <w:sz w:val="22"/>
        </w:rPr>
        <w:t>The DALP licensing model uses predictable annual subscription pricing with no per-transaction, per-token, per-user, or per-asset fees. This means CIB can scale issuance volume, bond product range, and investor base without incurring incremental platform costs. Coupon distributions, compliance checks, and settlement operations, which occur at high frequency in production fixed income operations, carry zero marginal licensing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99"/>
        <w:gridCol w:w="44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Current Approach</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r>
      <w:tr>
        <w:trPr>
          <w:trHeight w:val="425" w:hRule="atLeast"/>
        </w:trPr>
        <w:tc>
          <w:tcPr>
            <w:tcW w:type="dxa" w:w="4873"/>
            <w:vAlign w:val="center"/>
          </w:tcPr>
          <w:p>
            <w:pPr>
              <w:spacing w:line="276" w:lineRule="auto" w:before="0" w:after="0"/>
            </w:pPr>
            <w:r/>
            <w:r>
              <w:rPr>
                <w:rFonts w:ascii="Figtree" w:hAnsi="Figtree"/>
                <w:b w:val="0"/>
                <w:i w:val="0"/>
                <w:sz w:val="20"/>
              </w:rPr>
              <w:t>Multiple point solutions assembled</w:t>
            </w:r>
          </w:p>
        </w:tc>
        <w:tc>
          <w:tcPr>
            <w:tcW w:type="dxa" w:w="4873"/>
            <w:vAlign w:val="center"/>
          </w:tcPr>
          <w:p>
            <w:pPr>
              <w:spacing w:line="276" w:lineRule="auto" w:before="0" w:after="0"/>
            </w:pPr>
            <w:r/>
            <w:r>
              <w:rPr>
                <w:rFonts w:ascii="Figtree" w:hAnsi="Figtree"/>
                <w:b w:val="0"/>
                <w:i w:val="0"/>
                <w:sz w:val="20"/>
              </w:rPr>
              <w:t>Single lifecycle platform</w:t>
            </w:r>
          </w:p>
        </w:tc>
      </w:tr>
      <w:tr>
        <w:trPr>
          <w:trHeight w:val="425" w:hRule="atLeast"/>
        </w:trPr>
        <w:tc>
          <w:tcPr>
            <w:tcW w:type="dxa" w:w="4873"/>
            <w:vAlign w:val="center"/>
          </w:tcPr>
          <w:p>
            <w:pPr>
              <w:spacing w:line="276" w:lineRule="auto" w:before="0" w:after="0"/>
            </w:pPr>
            <w:r/>
            <w:r>
              <w:rPr>
                <w:rFonts w:ascii="Figtree" w:hAnsi="Figtree"/>
                <w:b w:val="0"/>
                <w:i w:val="0"/>
                <w:sz w:val="20"/>
              </w:rPr>
              <w:t>Per-transaction or per-token pricing</w:t>
            </w:r>
          </w:p>
        </w:tc>
        <w:tc>
          <w:tcPr>
            <w:tcW w:type="dxa" w:w="4873"/>
            <w:vAlign w:val="center"/>
          </w:tcPr>
          <w:p>
            <w:pPr>
              <w:spacing w:line="276" w:lineRule="auto" w:before="0" w:after="0"/>
            </w:pPr>
            <w:r/>
            <w:r>
              <w:rPr>
                <w:rFonts w:ascii="Figtree" w:hAnsi="Figtree"/>
                <w:b w:val="0"/>
                <w:i w:val="0"/>
                <w:sz w:val="20"/>
              </w:rPr>
              <w:t>Flat annual subscription</w:t>
            </w:r>
          </w:p>
        </w:tc>
      </w:tr>
      <w:tr>
        <w:trPr>
          <w:trHeight w:val="425" w:hRule="atLeast"/>
        </w:trPr>
        <w:tc>
          <w:tcPr>
            <w:tcW w:type="dxa" w:w="4873"/>
            <w:vAlign w:val="center"/>
          </w:tcPr>
          <w:p>
            <w:pPr>
              <w:spacing w:line="276" w:lineRule="auto" w:before="0" w:after="0"/>
            </w:pPr>
            <w:r/>
            <w:r>
              <w:rPr>
                <w:rFonts w:ascii="Figtree" w:hAnsi="Figtree"/>
                <w:b w:val="0"/>
                <w:i w:val="0"/>
                <w:sz w:val="20"/>
              </w:rPr>
              <w:t>18 to 24 months custom development</w:t>
            </w:r>
          </w:p>
        </w:tc>
        <w:tc>
          <w:tcPr>
            <w:tcW w:type="dxa" w:w="4873"/>
            <w:vAlign w:val="center"/>
          </w:tcPr>
          <w:p>
            <w:pPr>
              <w:spacing w:line="276" w:lineRule="auto" w:before="0" w:after="0"/>
            </w:pPr>
            <w:r/>
            <w:r>
              <w:rPr>
                <w:rFonts w:ascii="Figtree" w:hAnsi="Figtree"/>
                <w:b w:val="0"/>
                <w:i w:val="0"/>
                <w:sz w:val="20"/>
              </w:rPr>
              <w:t>19-week production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Multi-vendor coordination overhead</w:t>
            </w:r>
          </w:p>
        </w:tc>
        <w:tc>
          <w:tcPr>
            <w:tcW w:type="dxa" w:w="4873"/>
            <w:vAlign w:val="center"/>
          </w:tcPr>
          <w:p>
            <w:pPr>
              <w:spacing w:line="276" w:lineRule="auto" w:before="0" w:after="0"/>
            </w:pPr>
            <w:r/>
            <w:r>
              <w:rPr>
                <w:rFonts w:ascii="Figtree" w:hAnsi="Figtree"/>
                <w:b w:val="0"/>
                <w:i w:val="0"/>
                <w:sz w:val="20"/>
              </w:rPr>
              <w:t>Single accountable platform partner</w:t>
            </w:r>
          </w:p>
        </w:tc>
      </w:tr>
    </w:tbl>
    <w:p>
      <w:pPr>
        <w:spacing w:before="0" w:after="0" w:line="120" w:lineRule="exact"/>
      </w:pPr>
    </w:p>
    <w:p>
      <w:r>
        <w:br w:type="page"/>
      </w:r>
    </w:p>
    <w:p>
      <w:pPr>
        <w:pStyle w:val="H1"/>
        <w:numPr>
          <w:ilvl w:val="0"/>
          <w:numId w:val="1"/>
        </w:numPr>
      </w:pPr>
      <w:r>
        <w:t>Investment Rationale</w:t>
      </w:r>
    </w:p>
    <w:p>
      <w:pPr>
        <w:pStyle w:val="H2"/>
        <w:numPr>
          <w:ilvl w:val="1"/>
          <w:numId w:val="1"/>
        </w:numPr>
      </w:pPr>
      <w:r>
        <w:t>Cost of Current Approach</w:t>
      </w:r>
    </w:p>
    <w:p>
      <w:r>
        <w:rPr>
          <w:rFonts w:ascii="Figtree" w:hAnsi="Figtree"/>
          <w:b w:val="0"/>
          <w:i w:val="0"/>
          <w:sz w:val="22"/>
        </w:rPr>
        <w:t>Financial institutions approaching tokenized fixed income through internal development or multi-vendor assembly face substantial hidden costs that go beyond software licensing. CIB's evaluation should consider the full operational burden of each alternative path.</w:t>
      </w:r>
    </w:p>
    <w:p>
      <w:r>
        <w:rPr>
          <w:rFonts w:ascii="Figtree" w:hAnsi="Figtree"/>
          <w:b/>
          <w:i w:val="0"/>
          <w:sz w:val="22"/>
        </w:rPr>
        <w:t>Internal build</w:t>
      </w:r>
      <w:r>
        <w:rPr>
          <w:rFonts w:ascii="Figtree" w:hAnsi="Figtree"/>
          <w:b w:val="0"/>
          <w:i w:val="0"/>
          <w:sz w:val="22"/>
        </w:rPr>
        <w:t xml:space="preserve"> requires assembling blockchain expertise, financial domain knowledge, compliance engineering, and operational tooling from scratch. Industry experience shows 18 to 24 months of custom development before a first production deployment, with ongoing maintenance requiring a dedicated engineering team of 5 to 8 specialists. The coordination cost of managing separate issuance, compliance, custody, settlement, and servicing components creates organizational overhead that compounds over time.</w:t>
      </w:r>
    </w:p>
    <w:p>
      <w:r>
        <w:rPr>
          <w:rFonts w:ascii="Figtree" w:hAnsi="Figtree"/>
          <w:b/>
          <w:i w:val="0"/>
          <w:sz w:val="22"/>
        </w:rPr>
        <w:t>Multi-vendor assembly</w:t>
      </w:r>
      <w:r>
        <w:rPr>
          <w:rFonts w:ascii="Figtree" w:hAnsi="Figtree"/>
          <w:b w:val="0"/>
          <w:i w:val="0"/>
          <w:sz w:val="22"/>
        </w:rPr>
        <w:t xml:space="preserve"> reduces development time but introduces its own costs. Each vendor integration requires separate API work, data mapping, error handling, and operational monitoring. SLA gaps between vendors create unowned responsibilities. When a compliance check fails during settlement, determining which vendor's system caused the failure and who is accountable for resolution becomes an operational burden. Nightly reconciliation between separate systems adds permanent operational cost.</w:t>
      </w:r>
    </w:p>
    <w:p>
      <w:r>
        <w:rPr>
          <w:rFonts w:ascii="Figtree" w:hAnsi="Figtree"/>
          <w:b/>
          <w:i w:val="0"/>
          <w:sz w:val="22"/>
        </w:rPr>
        <w:t>Pilot that cannot scale</w:t>
      </w:r>
      <w:r>
        <w:rPr>
          <w:rFonts w:ascii="Figtree" w:hAnsi="Figtree"/>
          <w:b w:val="0"/>
          <w:i w:val="0"/>
          <w:sz w:val="22"/>
        </w:rPr>
        <w:t xml:space="preserve"> is perhaps the most common cost pattern. An institution invests in a proof-of-concept that works in a controlled setting but lacks the lifecycle management, compliance depth, and operational tooling to scale into production. The result is a sunken investment plus the need to start over with a production-grade platform.</w:t>
      </w:r>
    </w:p>
    <w:p>
      <w:pPr>
        <w:pStyle w:val="H2"/>
        <w:numPr>
          <w:ilvl w:val="1"/>
          <w:numId w:val="1"/>
        </w:numPr>
      </w:pPr>
      <w:r>
        <w:t>Why DALP Changes Economics</w:t>
      </w:r>
    </w:p>
    <w:p>
      <w:r>
        <w:rPr>
          <w:rFonts w:ascii="Figtree" w:hAnsi="Figtree"/>
          <w:b w:val="0"/>
          <w:i w:val="0"/>
          <w:sz w:val="22"/>
        </w:rPr>
        <w:t>DALP changes the economic equation by consolidating the full fixed income lifecycle into a single platform with a single governance model, security posture, and operating framework. The economic impact operates across four dimensions.</w:t>
      </w:r>
    </w:p>
    <w:p>
      <w:r>
        <w:rPr>
          <w:rFonts w:ascii="Figtree" w:hAnsi="Figtree"/>
          <w:b/>
          <w:i w:val="0"/>
          <w:sz w:val="22"/>
        </w:rPr>
        <w:t>Eliminated integration tax.</w:t>
      </w:r>
      <w:r>
        <w:rPr>
          <w:rFonts w:ascii="Figtree" w:hAnsi="Figtree"/>
          <w:b w:val="0"/>
          <w:i w:val="0"/>
          <w:sz w:val="22"/>
        </w:rPr>
        <w:t xml:space="preserve"> Instead of integrating separate issuance, compliance, custody, settlement, and servicing components, CIB operates one platform. Each integration point that is eliminated removes API maintenance, error reconciliation, and vendor coordination cost.</w:t>
      </w:r>
    </w:p>
    <w:p>
      <w:r>
        <w:rPr>
          <w:rFonts w:ascii="Figtree" w:hAnsi="Figtree"/>
          <w:b/>
          <w:i w:val="0"/>
          <w:sz w:val="22"/>
        </w:rPr>
        <w:t>Included lifecycle capabilities.</w:t>
      </w:r>
      <w:r>
        <w:rPr>
          <w:rFonts w:ascii="Figtree" w:hAnsi="Figtree"/>
          <w:b w:val="0"/>
          <w:i w:val="0"/>
          <w:sz w:val="22"/>
        </w:rPr>
        <w:t xml:space="preserve"> Coupon calculation, maturity processing, compliance enforcement, and audit trail generation are built into the platform. These capabilities would each require separate procurement, integration, and maintenance in an assembled approach.</w:t>
      </w:r>
    </w:p>
    <w:p>
      <w:r>
        <w:rPr>
          <w:rFonts w:ascii="Figtree" w:hAnsi="Figtree"/>
          <w:b/>
          <w:i w:val="0"/>
          <w:sz w:val="22"/>
        </w:rPr>
        <w:t>Reuse across asset classes.</w:t>
      </w:r>
      <w:r>
        <w:rPr>
          <w:rFonts w:ascii="Figtree" w:hAnsi="Figtree"/>
          <w:b w:val="0"/>
          <w:i w:val="0"/>
          <w:sz w:val="22"/>
        </w:rPr>
        <w:t xml:space="preserve"> When CIB expands beyond bonds to equities, funds, or deposits, the same platform, compliance engine, and governance model applies. The marginal cost of adding a new asset class is configuration, not new procurement.</w:t>
      </w:r>
    </w:p>
    <w:p>
      <w:r>
        <w:rPr>
          <w:rFonts w:ascii="Figtree" w:hAnsi="Figtree"/>
          <w:b/>
          <w:i w:val="0"/>
          <w:sz w:val="22"/>
        </w:rPr>
        <w:t>Predictable cost profile.</w:t>
      </w:r>
      <w:r>
        <w:rPr>
          <w:rFonts w:ascii="Figtree" w:hAnsi="Figtree"/>
          <w:b w:val="0"/>
          <w:i w:val="0"/>
          <w:sz w:val="22"/>
        </w:rPr>
        <w:t xml:space="preserve"> The annual subscription model means CIB can plan technology budgets without volume-driven cost surprises. A bond programme that scales from 10 to 10,000 investors or from 5 to 50 issuances incurs no additional platform licensing cost.</w:t>
      </w:r>
    </w:p>
    <w:p>
      <w:pPr>
        <w:pStyle w:val="H2"/>
        <w:numPr>
          <w:ilvl w:val="1"/>
          <w:numId w:val="1"/>
        </w:numPr>
      </w:pPr>
      <w:r>
        <w:t>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1"/>
        <w:gridCol w:w="1800"/>
        <w:gridCol w:w="2423"/>
        <w:gridCol w:w="31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ROI Driver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Baseline (Without 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DALP-Enabled 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r>
      <w:tr>
        <w:trPr>
          <w:trHeight w:val="425" w:hRule="atLeast"/>
        </w:trPr>
        <w:tc>
          <w:tcPr>
            <w:tcW w:type="dxa" w:w="2436"/>
            <w:vAlign w:val="center"/>
          </w:tcPr>
          <w:p>
            <w:pPr>
              <w:spacing w:line="276" w:lineRule="auto" w:before="0" w:after="0"/>
            </w:pPr>
            <w:r/>
            <w:r>
              <w:rPr>
                <w:rFonts w:ascii="Figtree" w:hAnsi="Figtree"/>
                <w:b w:val="0"/>
                <w:i w:val="0"/>
                <w:sz w:val="20"/>
              </w:rPr>
              <w:t>Time-to-market</w:t>
            </w:r>
          </w:p>
        </w:tc>
        <w:tc>
          <w:tcPr>
            <w:tcW w:type="dxa" w:w="2436"/>
            <w:vAlign w:val="center"/>
          </w:tcPr>
          <w:p>
            <w:pPr>
              <w:spacing w:line="276" w:lineRule="auto" w:before="0" w:after="0"/>
            </w:pPr>
            <w:r/>
            <w:r>
              <w:rPr>
                <w:rFonts w:ascii="Figtree" w:hAnsi="Figtree"/>
                <w:b w:val="0"/>
                <w:i w:val="0"/>
                <w:sz w:val="20"/>
              </w:rPr>
              <w:t>18 to 24 months (build)</w:t>
            </w:r>
          </w:p>
        </w:tc>
        <w:tc>
          <w:tcPr>
            <w:tcW w:type="dxa" w:w="2436"/>
            <w:vAlign w:val="center"/>
          </w:tcPr>
          <w:p>
            <w:pPr>
              <w:spacing w:line="276" w:lineRule="auto" w:before="0" w:after="0"/>
            </w:pPr>
            <w:r/>
            <w:r>
              <w:rPr>
                <w:rFonts w:ascii="Figtree" w:hAnsi="Figtree"/>
                <w:b w:val="0"/>
                <w:i w:val="0"/>
                <w:sz w:val="20"/>
              </w:rPr>
              <w:t>19 weeks to production</w:t>
            </w:r>
          </w:p>
        </w:tc>
        <w:tc>
          <w:tcPr>
            <w:tcW w:type="dxa" w:w="2436"/>
            <w:vAlign w:val="center"/>
          </w:tcPr>
          <w:p>
            <w:pPr>
              <w:spacing w:line="276" w:lineRule="auto" w:before="0" w:after="0"/>
            </w:pPr>
            <w:r/>
            <w:r>
              <w:rPr>
                <w:rFonts w:ascii="Figtree" w:hAnsi="Figtree"/>
                <w:b w:val="0"/>
                <w:i w:val="0"/>
                <w:sz w:val="20"/>
              </w:rPr>
              <w:t>Phase-gated delivery with pre-built templates</w:t>
            </w:r>
          </w:p>
        </w:tc>
      </w:tr>
      <w:tr>
        <w:trPr>
          <w:trHeight w:val="425" w:hRule="atLeast"/>
        </w:trPr>
        <w:tc>
          <w:tcPr>
            <w:tcW w:type="dxa" w:w="2436"/>
            <w:vAlign w:val="center"/>
          </w:tcPr>
          <w:p>
            <w:pPr>
              <w:spacing w:line="276" w:lineRule="auto" w:before="0" w:after="0"/>
            </w:pPr>
            <w:r/>
            <w:r>
              <w:rPr>
                <w:rFonts w:ascii="Figtree" w:hAnsi="Figtree"/>
                <w:b w:val="0"/>
                <w:i w:val="0"/>
                <w:sz w:val="20"/>
              </w:rPr>
              <w:t>Settlement efficiency</w:t>
            </w:r>
          </w:p>
        </w:tc>
        <w:tc>
          <w:tcPr>
            <w:tcW w:type="dxa" w:w="2436"/>
            <w:vAlign w:val="center"/>
          </w:tcPr>
          <w:p>
            <w:pPr>
              <w:spacing w:line="276" w:lineRule="auto" w:before="0" w:after="0"/>
            </w:pPr>
            <w:r/>
            <w:r>
              <w:rPr>
                <w:rFonts w:ascii="Figtree" w:hAnsi="Figtree"/>
                <w:b w:val="0"/>
                <w:i w:val="0"/>
                <w:sz w:val="20"/>
              </w:rPr>
              <w:t>T+2 with reconciliation</w:t>
            </w:r>
          </w:p>
        </w:tc>
        <w:tc>
          <w:tcPr>
            <w:tcW w:type="dxa" w:w="2436"/>
            <w:vAlign w:val="center"/>
          </w:tcPr>
          <w:p>
            <w:pPr>
              <w:spacing w:line="276" w:lineRule="auto" w:before="0" w:after="0"/>
            </w:pPr>
            <w:r/>
            <w:r>
              <w:rPr>
                <w:rFonts w:ascii="Figtree" w:hAnsi="Figtree"/>
                <w:b w:val="0"/>
                <w:i w:val="0"/>
                <w:sz w:val="20"/>
              </w:rPr>
              <w:t>T+0 with deterministic finality</w:t>
            </w:r>
          </w:p>
        </w:tc>
        <w:tc>
          <w:tcPr>
            <w:tcW w:type="dxa" w:w="2436"/>
            <w:vAlign w:val="center"/>
          </w:tcPr>
          <w:p>
            <w:pPr>
              <w:spacing w:line="276" w:lineRule="auto" w:before="0" w:after="0"/>
            </w:pPr>
            <w:r/>
            <w:r>
              <w:rPr>
                <w:rFonts w:ascii="Figtree" w:hAnsi="Figtree"/>
                <w:b w:val="0"/>
                <w:i w:val="0"/>
                <w:sz w:val="20"/>
              </w:rPr>
              <w:t>Atomic DvP settlement</w:t>
            </w:r>
          </w:p>
        </w:tc>
      </w:tr>
      <w:tr>
        <w:trPr>
          <w:trHeight w:val="425" w:hRule="atLeast"/>
        </w:trPr>
        <w:tc>
          <w:tcPr>
            <w:tcW w:type="dxa" w:w="2436"/>
            <w:vAlign w:val="center"/>
          </w:tcPr>
          <w:p>
            <w:pPr>
              <w:spacing w:line="276" w:lineRule="auto" w:before="0" w:after="0"/>
            </w:pPr>
            <w:r/>
            <w:r>
              <w:rPr>
                <w:rFonts w:ascii="Figtree" w:hAnsi="Figtree"/>
                <w:b w:val="0"/>
                <w:i w:val="0"/>
                <w:sz w:val="20"/>
              </w:rPr>
              <w:t>Compliance operations</w:t>
            </w:r>
          </w:p>
        </w:tc>
        <w:tc>
          <w:tcPr>
            <w:tcW w:type="dxa" w:w="2436"/>
            <w:vAlign w:val="center"/>
          </w:tcPr>
          <w:p>
            <w:pPr>
              <w:spacing w:line="276" w:lineRule="auto" w:before="0" w:after="0"/>
            </w:pPr>
            <w:r/>
            <w:r>
              <w:rPr>
                <w:rFonts w:ascii="Figtree" w:hAnsi="Figtree"/>
                <w:b w:val="0"/>
                <w:i w:val="0"/>
                <w:sz w:val="20"/>
              </w:rPr>
              <w:t>Manual review per transfer</w:t>
            </w:r>
          </w:p>
        </w:tc>
        <w:tc>
          <w:tcPr>
            <w:tcW w:type="dxa" w:w="2436"/>
            <w:vAlign w:val="center"/>
          </w:tcPr>
          <w:p>
            <w:pPr>
              <w:spacing w:line="276" w:lineRule="auto" w:before="0" w:after="0"/>
            </w:pPr>
            <w:r/>
            <w:r>
              <w:rPr>
                <w:rFonts w:ascii="Figtree" w:hAnsi="Figtree"/>
                <w:b w:val="0"/>
                <w:i w:val="0"/>
                <w:sz w:val="20"/>
              </w:rPr>
              <w:t>Automated ex-ante enforcement</w:t>
            </w:r>
          </w:p>
        </w:tc>
        <w:tc>
          <w:tcPr>
            <w:tcW w:type="dxa" w:w="2436"/>
            <w:vAlign w:val="center"/>
          </w:tcPr>
          <w:p>
            <w:pPr>
              <w:spacing w:line="276" w:lineRule="auto" w:before="0" w:after="0"/>
            </w:pPr>
            <w:r/>
            <w:r>
              <w:rPr>
                <w:rFonts w:ascii="Figtree" w:hAnsi="Figtree"/>
                <w:b w:val="0"/>
                <w:i w:val="0"/>
                <w:sz w:val="20"/>
              </w:rPr>
              <w:t>18 compliance module types</w:t>
            </w:r>
          </w:p>
        </w:tc>
      </w:tr>
      <w:tr>
        <w:trPr>
          <w:trHeight w:val="425" w:hRule="atLeast"/>
        </w:trPr>
        <w:tc>
          <w:tcPr>
            <w:tcW w:type="dxa" w:w="2436"/>
            <w:vAlign w:val="center"/>
          </w:tcPr>
          <w:p>
            <w:pPr>
              <w:spacing w:line="276" w:lineRule="auto" w:before="0" w:after="0"/>
            </w:pPr>
            <w:r/>
            <w:r>
              <w:rPr>
                <w:rFonts w:ascii="Figtree" w:hAnsi="Figtree"/>
                <w:b w:val="0"/>
                <w:i w:val="0"/>
                <w:sz w:val="20"/>
              </w:rPr>
              <w:t>Operational headcount</w:t>
            </w:r>
          </w:p>
        </w:tc>
        <w:tc>
          <w:tcPr>
            <w:tcW w:type="dxa" w:w="2436"/>
            <w:vAlign w:val="center"/>
          </w:tcPr>
          <w:p>
            <w:pPr>
              <w:spacing w:line="276" w:lineRule="auto" w:before="0" w:after="0"/>
            </w:pPr>
            <w:r/>
            <w:r>
              <w:rPr>
                <w:rFonts w:ascii="Figtree" w:hAnsi="Figtree"/>
                <w:b w:val="0"/>
                <w:i w:val="0"/>
                <w:sz w:val="20"/>
              </w:rPr>
              <w:t>5 to 8 specialists (build)</w:t>
            </w:r>
          </w:p>
        </w:tc>
        <w:tc>
          <w:tcPr>
            <w:tcW w:type="dxa" w:w="2436"/>
            <w:vAlign w:val="center"/>
          </w:tcPr>
          <w:p>
            <w:pPr>
              <w:spacing w:line="276" w:lineRule="auto" w:before="0" w:after="0"/>
            </w:pPr>
            <w:r/>
            <w:r>
              <w:rPr>
                <w:rFonts w:ascii="Figtree" w:hAnsi="Figtree"/>
                <w:b w:val="0"/>
                <w:i w:val="0"/>
                <w:sz w:val="20"/>
              </w:rPr>
              <w:t>2 to 3 platform operators</w:t>
            </w:r>
          </w:p>
        </w:tc>
        <w:tc>
          <w:tcPr>
            <w:tcW w:type="dxa" w:w="2436"/>
            <w:vAlign w:val="center"/>
          </w:tcPr>
          <w:p>
            <w:pPr>
              <w:spacing w:line="276" w:lineRule="auto" w:before="0" w:after="0"/>
            </w:pPr>
            <w:r/>
            <w:r>
              <w:rPr>
                <w:rFonts w:ascii="Figtree" w:hAnsi="Figtree"/>
                <w:b w:val="0"/>
                <w:i w:val="0"/>
                <w:sz w:val="20"/>
              </w:rPr>
              <w:t>Pre-built servicing automation</w:t>
            </w:r>
          </w:p>
        </w:tc>
      </w:tr>
      <w:tr>
        <w:trPr>
          <w:trHeight w:val="425" w:hRule="atLeast"/>
        </w:trPr>
        <w:tc>
          <w:tcPr>
            <w:tcW w:type="dxa" w:w="2436"/>
            <w:vAlign w:val="center"/>
          </w:tcPr>
          <w:p>
            <w:pPr>
              <w:spacing w:line="276" w:lineRule="auto" w:before="0" w:after="0"/>
            </w:pPr>
            <w:r/>
            <w:r>
              <w:rPr>
                <w:rFonts w:ascii="Figtree" w:hAnsi="Figtree"/>
                <w:b w:val="0"/>
                <w:i w:val="0"/>
                <w:sz w:val="20"/>
              </w:rPr>
              <w:t>Multi-vendor coordination</w:t>
            </w:r>
          </w:p>
        </w:tc>
        <w:tc>
          <w:tcPr>
            <w:tcW w:type="dxa" w:w="2436"/>
            <w:vAlign w:val="center"/>
          </w:tcPr>
          <w:p>
            <w:pPr>
              <w:spacing w:line="276" w:lineRule="auto" w:before="0" w:after="0"/>
            </w:pPr>
            <w:r/>
            <w:r>
              <w:rPr>
                <w:rFonts w:ascii="Figtree" w:hAnsi="Figtree"/>
                <w:b w:val="0"/>
                <w:i w:val="0"/>
                <w:sz w:val="20"/>
              </w:rPr>
              <w:t>3+ vendor relationships</w:t>
            </w:r>
          </w:p>
        </w:tc>
        <w:tc>
          <w:tcPr>
            <w:tcW w:type="dxa" w:w="2436"/>
            <w:vAlign w:val="center"/>
          </w:tcPr>
          <w:p>
            <w:pPr>
              <w:spacing w:line="276" w:lineRule="auto" w:before="0" w:after="0"/>
            </w:pPr>
            <w:r/>
            <w:r>
              <w:rPr>
                <w:rFonts w:ascii="Figtree" w:hAnsi="Figtree"/>
                <w:b w:val="0"/>
                <w:i w:val="0"/>
                <w:sz w:val="20"/>
              </w:rPr>
              <w:t>Single platform partner</w:t>
            </w:r>
          </w:p>
        </w:tc>
        <w:tc>
          <w:tcPr>
            <w:tcW w:type="dxa" w:w="2436"/>
            <w:vAlign w:val="center"/>
          </w:tcPr>
          <w:p>
            <w:pPr>
              <w:spacing w:line="276" w:lineRule="auto" w:before="0" w:after="0"/>
            </w:pPr>
            <w:r/>
            <w:r>
              <w:rPr>
                <w:rFonts w:ascii="Figtree" w:hAnsi="Figtree"/>
                <w:b w:val="0"/>
                <w:i w:val="0"/>
                <w:sz w:val="20"/>
              </w:rPr>
              <w:t>Lifecycle coverage in one platform</w:t>
            </w:r>
          </w:p>
        </w:tc>
      </w:tr>
      <w:tr>
        <w:trPr>
          <w:trHeight w:val="425" w:hRule="atLeast"/>
        </w:trPr>
        <w:tc>
          <w:tcPr>
            <w:tcW w:type="dxa" w:w="2436"/>
            <w:vAlign w:val="center"/>
          </w:tcPr>
          <w:p>
            <w:pPr>
              <w:spacing w:line="276" w:lineRule="auto" w:before="0" w:after="0"/>
            </w:pPr>
            <w:r/>
            <w:r>
              <w:rPr>
                <w:rFonts w:ascii="Figtree" w:hAnsi="Figtree"/>
                <w:b w:val="0"/>
                <w:i w:val="0"/>
                <w:sz w:val="20"/>
              </w:rPr>
              <w:t>Audit preparation</w:t>
            </w:r>
          </w:p>
        </w:tc>
        <w:tc>
          <w:tcPr>
            <w:tcW w:type="dxa" w:w="2436"/>
            <w:vAlign w:val="center"/>
          </w:tcPr>
          <w:p>
            <w:pPr>
              <w:spacing w:line="276" w:lineRule="auto" w:before="0" w:after="0"/>
            </w:pPr>
            <w:r/>
            <w:r>
              <w:rPr>
                <w:rFonts w:ascii="Figtree" w:hAnsi="Figtree"/>
                <w:b w:val="0"/>
                <w:i w:val="0"/>
                <w:sz w:val="20"/>
              </w:rPr>
              <w:t>Manual evidence assembly</w:t>
            </w:r>
          </w:p>
        </w:tc>
        <w:tc>
          <w:tcPr>
            <w:tcW w:type="dxa" w:w="2436"/>
            <w:vAlign w:val="center"/>
          </w:tcPr>
          <w:p>
            <w:pPr>
              <w:spacing w:line="276" w:lineRule="auto" w:before="0" w:after="0"/>
            </w:pPr>
            <w:r/>
            <w:r>
              <w:rPr>
                <w:rFonts w:ascii="Figtree" w:hAnsi="Figtree"/>
                <w:b w:val="0"/>
                <w:i w:val="0"/>
                <w:sz w:val="20"/>
              </w:rPr>
              <w:t>Structured, exportable audit trails</w:t>
            </w:r>
          </w:p>
        </w:tc>
        <w:tc>
          <w:tcPr>
            <w:tcW w:type="dxa" w:w="2436"/>
            <w:vAlign w:val="center"/>
          </w:tcPr>
          <w:p>
            <w:pPr>
              <w:spacing w:line="276" w:lineRule="auto" w:before="0" w:after="0"/>
            </w:pPr>
            <w:r/>
            <w:r>
              <w:rPr>
                <w:rFonts w:ascii="Figtree" w:hAnsi="Figtree"/>
                <w:b w:val="0"/>
                <w:i w:val="0"/>
                <w:sz w:val="20"/>
              </w:rPr>
              <w:t>534 error codes, compliance records</w:t>
            </w:r>
          </w:p>
        </w:tc>
      </w:tr>
    </w:tbl>
    <w:p>
      <w:pPr>
        <w:spacing w:before="0" w:after="0" w:line="120" w:lineRule="exact"/>
      </w:pPr>
    </w:p>
    <w:p>
      <w:r>
        <w:rPr>
          <w:rFonts w:ascii="Figtree" w:hAnsi="Figtree"/>
          <w:b/>
          <w:i w:val="0"/>
          <w:sz w:val="22"/>
        </w:rPr>
        <w:t>Payback logic:</w:t>
      </w:r>
      <w:r>
        <w:rPr>
          <w:rFonts w:ascii="Figtree" w:hAnsi="Figtree"/>
          <w:b w:val="0"/>
          <w:i w:val="0"/>
          <w:sz w:val="22"/>
        </w:rPr>
        <w:t xml:space="preserve"> The primary payback driver is the difference between the cost of building or assembling equivalent capability versus the DALP subscription and implementation investment. Secondary payback comes from reduced operational headcount, eliminated reconciliation effort, and faster time-to-revenue from the fixed income programme.</w:t>
      </w:r>
    </w:p>
    <w:p>
      <w:r>
        <w:br w:type="page"/>
      </w:r>
    </w:p>
    <w:p>
      <w:pPr>
        <w:pStyle w:val="H1"/>
        <w:numPr>
          <w:ilvl w:val="0"/>
          <w:numId w:val="1"/>
        </w:numPr>
      </w:pPr>
      <w:r>
        <w:t>Licensing Model</w:t>
      </w:r>
    </w:p>
    <w:p>
      <w:pPr>
        <w:pStyle w:val="H2"/>
        <w:numPr>
          <w:ilvl w:val="1"/>
          <w:numId w:val="1"/>
        </w:numPr>
      </w:pPr>
      <w:r>
        <w:t>Philosophy</w:t>
      </w:r>
    </w:p>
    <w:p>
      <w:r>
        <w:rPr>
          <w:rFonts w:ascii="Figtree" w:hAnsi="Figtree"/>
          <w:b w:val="0"/>
          <w:i w:val="0"/>
          <w:sz w:val="22"/>
        </w:rPr>
        <w:t>DALP uses a platform licensing model designed for regulated institutions. The core principle is predictability: CIB pays a fixed annual subscription that includes the full platform capability set regardless of usage volume. There are no per-transaction fees, no per-token fees, no per-user fees, and no per-asset fees.</w:t>
      </w:r>
    </w:p>
    <w:p>
      <w:r>
        <w:rPr>
          <w:rFonts w:ascii="Figtree" w:hAnsi="Figtree"/>
          <w:b w:val="0"/>
          <w:i w:val="0"/>
          <w:sz w:val="22"/>
        </w:rPr>
        <w:t>This model is designed specifically for regulated financial institutions where transaction-based pricing creates cost anxiety that inhibits operational scaling. When every compliance check, coupon distribution, and settlement operation carries a marginal cost, institutions are incentivized to reduce the frequency of controls rather than increase them. DALP's flat subscription removes this misalignment.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2980"/>
        <w:gridCol w:w="349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Pricing Model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Platform License (DALP)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Transaction-Based</w:t>
            </w:r>
          </w:p>
        </w:tc>
      </w:tr>
      <w:tr>
        <w:trPr>
          <w:trHeight w:val="425" w:hRule="atLeast"/>
        </w:trPr>
        <w:tc>
          <w:tcPr>
            <w:tcW w:type="dxa" w:w="3249"/>
            <w:vAlign w:val="center"/>
          </w:tcPr>
          <w:p>
            <w:pPr>
              <w:spacing w:line="276" w:lineRule="auto" w:before="0" w:after="0"/>
            </w:pPr>
            <w:r/>
            <w:r>
              <w:rPr>
                <w:rFonts w:ascii="Figtree" w:hAnsi="Figtree"/>
                <w:b w:val="0"/>
                <w:i w:val="0"/>
                <w:sz w:val="20"/>
              </w:rPr>
              <w:t>Cost predictability</w:t>
            </w:r>
          </w:p>
        </w:tc>
        <w:tc>
          <w:tcPr>
            <w:tcW w:type="dxa" w:w="3249"/>
            <w:vAlign w:val="center"/>
          </w:tcPr>
          <w:p>
            <w:pPr>
              <w:spacing w:line="276" w:lineRule="auto" w:before="0" w:after="0"/>
            </w:pPr>
            <w:r/>
            <w:r>
              <w:rPr>
                <w:rFonts w:ascii="Figtree" w:hAnsi="Figtree"/>
                <w:b w:val="0"/>
                <w:i w:val="0"/>
                <w:sz w:val="20"/>
              </w:rPr>
              <w:t>Fixed annual fee</w:t>
            </w:r>
          </w:p>
        </w:tc>
        <w:tc>
          <w:tcPr>
            <w:tcW w:type="dxa" w:w="3249"/>
            <w:vAlign w:val="center"/>
          </w:tcPr>
          <w:p>
            <w:pPr>
              <w:spacing w:line="276" w:lineRule="auto" w:before="0" w:after="0"/>
            </w:pPr>
            <w:r/>
            <w:r>
              <w:rPr>
                <w:rFonts w:ascii="Figtree" w:hAnsi="Figtree"/>
                <w:b w:val="0"/>
                <w:i w:val="0"/>
                <w:sz w:val="20"/>
              </w:rPr>
              <w:t>Variable, volume-dependent</w:t>
            </w:r>
          </w:p>
        </w:tc>
      </w:tr>
      <w:tr>
        <w:trPr>
          <w:trHeight w:val="425" w:hRule="atLeast"/>
        </w:trPr>
        <w:tc>
          <w:tcPr>
            <w:tcW w:type="dxa" w:w="3249"/>
            <w:vAlign w:val="center"/>
          </w:tcPr>
          <w:p>
            <w:pPr>
              <w:spacing w:line="276" w:lineRule="auto" w:before="0" w:after="0"/>
            </w:pPr>
            <w:r/>
            <w:r>
              <w:rPr>
                <w:rFonts w:ascii="Figtree" w:hAnsi="Figtree"/>
                <w:b w:val="0"/>
                <w:i w:val="0"/>
                <w:sz w:val="20"/>
              </w:rPr>
              <w:t>Scaling incentive</w:t>
            </w:r>
          </w:p>
        </w:tc>
        <w:tc>
          <w:tcPr>
            <w:tcW w:type="dxa" w:w="3249"/>
            <w:vAlign w:val="center"/>
          </w:tcPr>
          <w:p>
            <w:pPr>
              <w:spacing w:line="276" w:lineRule="auto" w:before="0" w:after="0"/>
            </w:pPr>
            <w:r/>
            <w:r>
              <w:rPr>
                <w:rFonts w:ascii="Figtree" w:hAnsi="Figtree"/>
                <w:b w:val="0"/>
                <w:i w:val="0"/>
                <w:sz w:val="20"/>
              </w:rPr>
              <w:t>Scale freely</w:t>
            </w:r>
          </w:p>
        </w:tc>
        <w:tc>
          <w:tcPr>
            <w:tcW w:type="dxa" w:w="3249"/>
            <w:vAlign w:val="center"/>
          </w:tcPr>
          <w:p>
            <w:pPr>
              <w:spacing w:line="276" w:lineRule="auto" w:before="0" w:after="0"/>
            </w:pPr>
            <w:r/>
            <w:r>
              <w:rPr>
                <w:rFonts w:ascii="Figtree" w:hAnsi="Figtree"/>
                <w:b w:val="0"/>
                <w:i w:val="0"/>
                <w:sz w:val="20"/>
              </w:rPr>
              <w:t>Each transaction adds cost</w:t>
            </w:r>
          </w:p>
        </w:tc>
      </w:tr>
      <w:tr>
        <w:trPr>
          <w:trHeight w:val="425" w:hRule="atLeast"/>
        </w:trPr>
        <w:tc>
          <w:tcPr>
            <w:tcW w:type="dxa" w:w="3249"/>
            <w:vAlign w:val="center"/>
          </w:tcPr>
          <w:p>
            <w:pPr>
              <w:spacing w:line="276" w:lineRule="auto" w:before="0" w:after="0"/>
            </w:pPr>
            <w:r/>
            <w:r>
              <w:rPr>
                <w:rFonts w:ascii="Figtree" w:hAnsi="Figtree"/>
                <w:b w:val="0"/>
                <w:i w:val="0"/>
                <w:sz w:val="20"/>
              </w:rPr>
              <w:t>Compliance frequency</w:t>
            </w:r>
          </w:p>
        </w:tc>
        <w:tc>
          <w:tcPr>
            <w:tcW w:type="dxa" w:w="3249"/>
            <w:vAlign w:val="center"/>
          </w:tcPr>
          <w:p>
            <w:pPr>
              <w:spacing w:line="276" w:lineRule="auto" w:before="0" w:after="0"/>
            </w:pPr>
            <w:r/>
            <w:r>
              <w:rPr>
                <w:rFonts w:ascii="Figtree" w:hAnsi="Figtree"/>
                <w:b w:val="0"/>
                <w:i w:val="0"/>
                <w:sz w:val="20"/>
              </w:rPr>
              <w:t>No cost per check</w:t>
            </w:r>
          </w:p>
        </w:tc>
        <w:tc>
          <w:tcPr>
            <w:tcW w:type="dxa" w:w="3249"/>
            <w:vAlign w:val="center"/>
          </w:tcPr>
          <w:p>
            <w:pPr>
              <w:spacing w:line="276" w:lineRule="auto" w:before="0" w:after="0"/>
            </w:pPr>
            <w:r/>
            <w:r>
              <w:rPr>
                <w:rFonts w:ascii="Figtree" w:hAnsi="Figtree"/>
                <w:b w:val="0"/>
                <w:i w:val="0"/>
                <w:sz w:val="20"/>
              </w:rPr>
              <w:t>Cost per compliance check</w:t>
            </w:r>
          </w:p>
        </w:tc>
      </w:tr>
      <w:tr>
        <w:trPr>
          <w:trHeight w:val="425" w:hRule="atLeast"/>
        </w:trPr>
        <w:tc>
          <w:tcPr>
            <w:tcW w:type="dxa" w:w="3249"/>
            <w:vAlign w:val="center"/>
          </w:tcPr>
          <w:p>
            <w:pPr>
              <w:spacing w:line="276" w:lineRule="auto" w:before="0" w:after="0"/>
            </w:pPr>
            <w:r/>
            <w:r>
              <w:rPr>
                <w:rFonts w:ascii="Figtree" w:hAnsi="Figtree"/>
                <w:b w:val="0"/>
                <w:i w:val="0"/>
                <w:sz w:val="20"/>
              </w:rPr>
              <w:t>Budget planning</w:t>
            </w:r>
          </w:p>
        </w:tc>
        <w:tc>
          <w:tcPr>
            <w:tcW w:type="dxa" w:w="3249"/>
            <w:vAlign w:val="center"/>
          </w:tcPr>
          <w:p>
            <w:pPr>
              <w:spacing w:line="276" w:lineRule="auto" w:before="0" w:after="0"/>
            </w:pPr>
            <w:r/>
            <w:r>
              <w:rPr>
                <w:rFonts w:ascii="Figtree" w:hAnsi="Figtree"/>
                <w:b w:val="0"/>
                <w:i w:val="0"/>
                <w:sz w:val="20"/>
              </w:rPr>
              <w:t>Predictable</w:t>
            </w:r>
          </w:p>
        </w:tc>
        <w:tc>
          <w:tcPr>
            <w:tcW w:type="dxa" w:w="3249"/>
            <w:vAlign w:val="center"/>
          </w:tcPr>
          <w:p>
            <w:pPr>
              <w:spacing w:line="276" w:lineRule="auto" w:before="0" w:after="0"/>
            </w:pPr>
            <w:r/>
            <w:r>
              <w:rPr>
                <w:rFonts w:ascii="Figtree" w:hAnsi="Figtree"/>
                <w:b w:val="0"/>
                <w:i w:val="0"/>
                <w:sz w:val="20"/>
              </w:rPr>
              <w:t>Requires volume forecasting</w:t>
            </w:r>
          </w:p>
        </w:tc>
      </w:tr>
    </w:tbl>
    <w:p>
      <w:pPr>
        <w:spacing w:before="0" w:after="0" w:line="120" w:lineRule="exact"/>
      </w:pPr>
    </w:p>
    <w:p>
      <w:pPr>
        <w:pStyle w:val="H2"/>
        <w:numPr>
          <w:ilvl w:val="1"/>
          <w:numId w:val="1"/>
        </w:numPr>
      </w:pPr>
      <w:r>
        <w:t>What Is Included</w:t>
      </w:r>
    </w:p>
    <w:p>
      <w:r>
        <w:rPr>
          <w:rFonts w:ascii="Figtree" w:hAnsi="Figtree"/>
          <w:b w:val="0"/>
          <w:i w:val="0"/>
          <w:sz w:val="22"/>
        </w:rPr>
        <w:t>The DALP license includes the complete platform capability set: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66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Lifecycle Pillars</w:t>
            </w:r>
          </w:p>
        </w:tc>
        <w:tc>
          <w:tcPr>
            <w:tcW w:type="dxa" w:w="4873"/>
            <w:vAlign w:val="center"/>
          </w:tcPr>
          <w:p>
            <w:pPr>
              <w:spacing w:line="276" w:lineRule="auto" w:before="0" w:after="0"/>
            </w:pPr>
            <w:r/>
            <w:r>
              <w:rPr>
                <w:rFonts w:ascii="Figtree" w:hAnsi="Figtree"/>
                <w:b w:val="0"/>
                <w:i w:val="0"/>
                <w:sz w:val="20"/>
              </w:rPr>
              <w:t>Issuance, compliance, custody orchestration, settlement, servicing</w:t>
            </w:r>
          </w:p>
        </w:tc>
      </w:tr>
      <w:tr>
        <w:trPr>
          <w:trHeight w:val="425" w:hRule="atLeast"/>
        </w:trPr>
        <w:tc>
          <w:tcPr>
            <w:tcW w:type="dxa" w:w="4873"/>
            <w:vAlign w:val="center"/>
          </w:tcPr>
          <w:p>
            <w:pPr>
              <w:spacing w:line="276" w:lineRule="auto" w:before="0" w:after="0"/>
            </w:pPr>
            <w:r/>
            <w:r>
              <w:rPr>
                <w:rFonts w:ascii="Figtree" w:hAnsi="Figtree"/>
                <w:b w:val="0"/>
                <w:i w:val="0"/>
                <w:sz w:val="20"/>
              </w:rPr>
              <w:t>Asset Classes</w:t>
            </w:r>
          </w:p>
        </w:tc>
        <w:tc>
          <w:tcPr>
            <w:tcW w:type="dxa" w:w="4873"/>
            <w:vAlign w:val="center"/>
          </w:tcPr>
          <w:p>
            <w:pPr>
              <w:spacing w:line="276" w:lineRule="auto" w:before="0" w:after="0"/>
            </w:pPr>
            <w:r/>
            <w:r>
              <w:rPr>
                <w:rFonts w:ascii="Figtree" w:hAnsi="Figtree"/>
                <w:b w:val="0"/>
                <w:i w:val="0"/>
                <w:sz w:val="20"/>
              </w:rPr>
              <w:t>All 7 pre-built templates plus configurable token</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Modules</w:t>
            </w:r>
          </w:p>
        </w:tc>
        <w:tc>
          <w:tcPr>
            <w:tcW w:type="dxa" w:w="4873"/>
            <w:vAlign w:val="center"/>
          </w:tcPr>
          <w:p>
            <w:pPr>
              <w:spacing w:line="276" w:lineRule="auto" w:before="0" w:after="0"/>
            </w:pPr>
            <w:r/>
            <w:r>
              <w:rPr>
                <w:rFonts w:ascii="Figtree" w:hAnsi="Figtree"/>
                <w:b w:val="0"/>
                <w:i w:val="0"/>
                <w:sz w:val="20"/>
              </w:rPr>
              <w:t>All 18 module types</w:t>
            </w:r>
          </w:p>
        </w:tc>
      </w:tr>
      <w:tr>
        <w:trPr>
          <w:trHeight w:val="425" w:hRule="atLeast"/>
        </w:trPr>
        <w:tc>
          <w:tcPr>
            <w:tcW w:type="dxa" w:w="4873"/>
            <w:vAlign w:val="center"/>
          </w:tcPr>
          <w:p>
            <w:pPr>
              <w:spacing w:line="276" w:lineRule="auto" w:before="0" w:after="0"/>
            </w:pPr>
            <w:r/>
            <w:r>
              <w:rPr>
                <w:rFonts w:ascii="Figtree" w:hAnsi="Figtree"/>
                <w:b w:val="0"/>
                <w:i w:val="0"/>
                <w:sz w:val="20"/>
              </w:rPr>
              <w:t>APIs</w:t>
            </w:r>
          </w:p>
        </w:tc>
        <w:tc>
          <w:tcPr>
            <w:tcW w:type="dxa" w:w="4873"/>
            <w:vAlign w:val="center"/>
          </w:tcPr>
          <w:p>
            <w:pPr>
              <w:spacing w:line="276" w:lineRule="auto" w:before="0" w:after="0"/>
            </w:pPr>
            <w:r/>
            <w:r>
              <w:rPr>
                <w:rFonts w:ascii="Figtree" w:hAnsi="Figtree"/>
                <w:b w:val="0"/>
                <w:i w:val="0"/>
                <w:sz w:val="20"/>
              </w:rPr>
              <w:t>REST, GraphQL, webhooks, oRPC</w:t>
            </w:r>
          </w:p>
        </w:tc>
      </w:tr>
      <w:tr>
        <w:trPr>
          <w:trHeight w:val="425" w:hRule="atLeast"/>
        </w:trPr>
        <w:tc>
          <w:tcPr>
            <w:tcW w:type="dxa" w:w="4873"/>
            <w:vAlign w:val="center"/>
          </w:tcPr>
          <w:p>
            <w:pPr>
              <w:spacing w:line="276" w:lineRule="auto" w:before="0" w:after="0"/>
            </w:pPr>
            <w:r/>
            <w:r>
              <w:rPr>
                <w:rFonts w:ascii="Figtree" w:hAnsi="Figtree"/>
                <w:b w:val="0"/>
                <w:i w:val="0"/>
                <w:sz w:val="20"/>
              </w:rPr>
              <w:t>SDK and CLI</w:t>
            </w:r>
          </w:p>
        </w:tc>
        <w:tc>
          <w:tcPr>
            <w:tcW w:type="dxa" w:w="4873"/>
            <w:vAlign w:val="center"/>
          </w:tcPr>
          <w:p>
            <w:pPr>
              <w:spacing w:line="276" w:lineRule="auto" w:before="0" w:after="0"/>
            </w:pPr>
            <w:r/>
            <w:r>
              <w:rPr>
                <w:rFonts w:ascii="Figtree" w:hAnsi="Figtree"/>
                <w:b w:val="0"/>
                <w:i w:val="0"/>
                <w:sz w:val="20"/>
              </w:rPr>
              <w:t>Full typed SDK and 301 CLI commands</w:t>
            </w:r>
          </w:p>
        </w:tc>
      </w:tr>
      <w:tr>
        <w:trPr>
          <w:trHeight w:val="425" w:hRule="atLeast"/>
        </w:trPr>
        <w:tc>
          <w:tcPr>
            <w:tcW w:type="dxa" w:w="4873"/>
            <w:vAlign w:val="center"/>
          </w:tcPr>
          <w:p>
            <w:pPr>
              <w:spacing w:line="276" w:lineRule="auto" w:before="0" w:after="0"/>
            </w:pPr>
            <w:r/>
            <w:r>
              <w:rPr>
                <w:rFonts w:ascii="Figtree" w:hAnsi="Figtree"/>
                <w:b w:val="0"/>
                <w:i w:val="0"/>
                <w:sz w:val="20"/>
              </w:rPr>
              <w:t>Observability</w:t>
            </w:r>
          </w:p>
        </w:tc>
        <w:tc>
          <w:tcPr>
            <w:tcW w:type="dxa" w:w="4873"/>
            <w:vAlign w:val="center"/>
          </w:tcPr>
          <w:p>
            <w:pPr>
              <w:spacing w:line="276" w:lineRule="auto" w:before="0" w:after="0"/>
            </w:pPr>
            <w:r/>
            <w:r>
              <w:rPr>
                <w:rFonts w:ascii="Figtree" w:hAnsi="Figtree"/>
                <w:b w:val="0"/>
                <w:i w:val="0"/>
                <w:sz w:val="20"/>
              </w:rPr>
              <w:t>Grafana dashboards, metrics, logs, traces</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Included in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Standards</w:t>
            </w:r>
          </w:p>
        </w:tc>
        <w:tc>
          <w:tcPr>
            <w:tcW w:type="dxa" w:w="4873"/>
            <w:vAlign w:val="center"/>
          </w:tcPr>
          <w:p>
            <w:pPr>
              <w:spacing w:line="276" w:lineRule="auto" w:before="0" w:after="0"/>
            </w:pPr>
            <w:r/>
            <w:r>
              <w:rPr>
                <w:rFonts w:ascii="Figtree" w:hAnsi="Figtree"/>
                <w:b w:val="0"/>
                <w:i w:val="0"/>
                <w:sz w:val="20"/>
              </w:rPr>
              <w:t>ERC-3643, OnchainID, ISO 20022 integration</w:t>
            </w:r>
          </w:p>
        </w:tc>
      </w:tr>
    </w:tbl>
    <w:p>
      <w:pPr>
        <w:spacing w:before="0" w:after="0" w:line="120" w:lineRule="exact"/>
      </w:pPr>
    </w:p>
    <w:p>
      <w:pPr>
        <w:pStyle w:val="H2"/>
        <w:numPr>
          <w:ilvl w:val="1"/>
          <w:numId w:val="1"/>
        </w:numPr>
      </w:pPr>
      <w:r>
        <w:t>What Varies</w:t>
      </w:r>
    </w:p>
    <w:p>
      <w:r>
        <w:rPr>
          <w:rFonts w:ascii="Figtree" w:hAnsi="Figtree"/>
          <w:b w:val="0"/>
          <w:i w:val="0"/>
          <w:sz w:val="22"/>
        </w:rPr>
        <w:t>Engagement-specific dimensions that affect the commercial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51"/>
        <w:gridCol w:w="3928"/>
        <w:gridCol w:w="29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Variable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CIB Recommendation</w:t>
            </w:r>
          </w:p>
        </w:tc>
      </w:tr>
      <w:tr>
        <w:trPr>
          <w:trHeight w:val="425" w:hRule="atLeast"/>
        </w:trPr>
        <w:tc>
          <w:tcPr>
            <w:tcW w:type="dxa" w:w="3249"/>
            <w:vAlign w:val="center"/>
          </w:tcPr>
          <w:p>
            <w:pPr>
              <w:spacing w:line="276" w:lineRule="auto" w:before="0" w:after="0"/>
            </w:pPr>
            <w:r/>
            <w:r>
              <w:rPr>
                <w:rFonts w:ascii="Figtree" w:hAnsi="Figtree"/>
                <w:b w:val="0"/>
                <w:i w:val="0"/>
                <w:sz w:val="20"/>
              </w:rPr>
              <w:t>Deployment model</w:t>
            </w:r>
          </w:p>
        </w:tc>
        <w:tc>
          <w:tcPr>
            <w:tcW w:type="dxa" w:w="3249"/>
            <w:vAlign w:val="center"/>
          </w:tcPr>
          <w:p>
            <w:pPr>
              <w:spacing w:line="276" w:lineRule="auto" w:before="0" w:after="0"/>
            </w:pPr>
            <w:r/>
            <w:r>
              <w:rPr>
                <w:rFonts w:ascii="Figtree" w:hAnsi="Figtree"/>
                <w:b w:val="0"/>
                <w:i w:val="0"/>
                <w:sz w:val="20"/>
              </w:rPr>
              <w:t>SaaS, dedicated cloud, on-premises, hybrid</w:t>
            </w:r>
          </w:p>
        </w:tc>
        <w:tc>
          <w:tcPr>
            <w:tcW w:type="dxa" w:w="3249"/>
            <w:vAlign w:val="center"/>
          </w:tcPr>
          <w:p>
            <w:pPr>
              <w:spacing w:line="276" w:lineRule="auto" w:before="0" w:after="0"/>
            </w:pPr>
            <w:r/>
            <w:r>
              <w:rPr>
                <w:rFonts w:ascii="Figtree" w:hAnsi="Figtree"/>
                <w:b w:val="0"/>
                <w:i w:val="0"/>
                <w:sz w:val="20"/>
              </w:rPr>
              <w:t>Dedicated cloud (Egypt-resident)</w:t>
            </w:r>
          </w:p>
        </w:tc>
      </w:tr>
      <w:tr>
        <w:trPr>
          <w:trHeight w:val="425" w:hRule="atLeast"/>
        </w:trPr>
        <w:tc>
          <w:tcPr>
            <w:tcW w:type="dxa" w:w="3249"/>
            <w:vAlign w:val="center"/>
          </w:tcPr>
          <w:p>
            <w:pPr>
              <w:spacing w:line="276" w:lineRule="auto" w:before="0" w:after="0"/>
            </w:pPr>
            <w:r/>
            <w:r>
              <w:rPr>
                <w:rFonts w:ascii="Figtree" w:hAnsi="Figtree"/>
                <w:b w:val="0"/>
                <w:i w:val="0"/>
                <w:sz w:val="20"/>
              </w:rPr>
              <w:t>Environment count</w:t>
            </w:r>
          </w:p>
        </w:tc>
        <w:tc>
          <w:tcPr>
            <w:tcW w:type="dxa" w:w="3249"/>
            <w:vAlign w:val="center"/>
          </w:tcPr>
          <w:p>
            <w:pPr>
              <w:spacing w:line="276" w:lineRule="auto" w:before="0" w:after="0"/>
            </w:pPr>
            <w:r/>
            <w:r>
              <w:rPr>
                <w:rFonts w:ascii="Figtree" w:hAnsi="Figtree"/>
                <w:b w:val="0"/>
                <w:i w:val="0"/>
                <w:sz w:val="20"/>
              </w:rPr>
              <w:t>Dev, staging, UAT, DR, production</w:t>
            </w:r>
          </w:p>
        </w:tc>
        <w:tc>
          <w:tcPr>
            <w:tcW w:type="dxa" w:w="3249"/>
            <w:vAlign w:val="center"/>
          </w:tcPr>
          <w:p>
            <w:pPr>
              <w:spacing w:line="276" w:lineRule="auto" w:before="0" w:after="0"/>
            </w:pPr>
            <w:r/>
            <w:r>
              <w:rPr>
                <w:rFonts w:ascii="Figtree" w:hAnsi="Figtree"/>
                <w:b w:val="0"/>
                <w:i w:val="0"/>
                <w:sz w:val="20"/>
              </w:rPr>
              <w:t>5 environments</w:t>
            </w:r>
          </w:p>
        </w:tc>
      </w:tr>
      <w:tr>
        <w:trPr>
          <w:trHeight w:val="425" w:hRule="atLeast"/>
        </w:trPr>
        <w:tc>
          <w:tcPr>
            <w:tcW w:type="dxa" w:w="3249"/>
            <w:vAlign w:val="center"/>
          </w:tcPr>
          <w:p>
            <w:pPr>
              <w:spacing w:line="276" w:lineRule="auto" w:before="0" w:after="0"/>
            </w:pPr>
            <w:r/>
            <w:r>
              <w:rPr>
                <w:rFonts w:ascii="Figtree" w:hAnsi="Figtree"/>
                <w:b w:val="0"/>
                <w:i w:val="0"/>
                <w:sz w:val="20"/>
              </w:rPr>
              <w:t>Network setup</w:t>
            </w:r>
          </w:p>
        </w:tc>
        <w:tc>
          <w:tcPr>
            <w:tcW w:type="dxa" w:w="3249"/>
            <w:vAlign w:val="center"/>
          </w:tcPr>
          <w:p>
            <w:pPr>
              <w:spacing w:line="276" w:lineRule="auto" w:before="0" w:after="0"/>
            </w:pPr>
            <w:r/>
            <w:r>
              <w:rPr>
                <w:rFonts w:ascii="Figtree" w:hAnsi="Figtree"/>
                <w:b w:val="0"/>
                <w:i w:val="0"/>
                <w:sz w:val="20"/>
              </w:rPr>
              <w:t>Public EVM, permissioned private</w:t>
            </w:r>
          </w:p>
        </w:tc>
        <w:tc>
          <w:tcPr>
            <w:tcW w:type="dxa" w:w="3249"/>
            <w:vAlign w:val="center"/>
          </w:tcPr>
          <w:p>
            <w:pPr>
              <w:spacing w:line="276" w:lineRule="auto" w:before="0" w:after="0"/>
            </w:pPr>
            <w:r/>
            <w:r>
              <w:rPr>
                <w:rFonts w:ascii="Figtree" w:hAnsi="Figtree"/>
                <w:b w:val="0"/>
                <w:i w:val="0"/>
                <w:sz w:val="20"/>
              </w:rPr>
              <w:t>Permissioned private</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Fireblocks, DFNS, HSM</w:t>
            </w:r>
          </w:p>
        </w:tc>
        <w:tc>
          <w:tcPr>
            <w:tcW w:type="dxa" w:w="3249"/>
            <w:vAlign w:val="center"/>
          </w:tcPr>
          <w:p>
            <w:pPr>
              <w:spacing w:line="276" w:lineRule="auto" w:before="0" w:after="0"/>
            </w:pPr>
            <w:r/>
            <w:r>
              <w:rPr>
                <w:rFonts w:ascii="Figtree" w:hAnsi="Figtree"/>
                <w:b w:val="0"/>
                <w:i w:val="0"/>
                <w:sz w:val="20"/>
              </w:rPr>
              <w:t>To be determined in Discovery</w:t>
            </w:r>
          </w:p>
        </w:tc>
      </w:tr>
      <w:tr>
        <w:trPr>
          <w:trHeight w:val="425" w:hRule="atLeast"/>
        </w:trPr>
        <w:tc>
          <w:tcPr>
            <w:tcW w:type="dxa" w:w="3249"/>
            <w:vAlign w:val="center"/>
          </w:tcPr>
          <w:p>
            <w:pPr>
              <w:spacing w:line="276" w:lineRule="auto" w:before="0" w:after="0"/>
            </w:pPr>
            <w:r/>
            <w:r>
              <w:rPr>
                <w:rFonts w:ascii="Figtree" w:hAnsi="Figtree"/>
                <w:b w:val="0"/>
                <w:i w:val="0"/>
                <w:sz w:val="20"/>
              </w:rPr>
              <w:t>Support tier</w:t>
            </w:r>
          </w:p>
        </w:tc>
        <w:tc>
          <w:tcPr>
            <w:tcW w:type="dxa" w:w="3249"/>
            <w:vAlign w:val="center"/>
          </w:tcPr>
          <w:p>
            <w:pPr>
              <w:spacing w:line="276" w:lineRule="auto" w:before="0" w:after="0"/>
            </w:pPr>
            <w:r/>
            <w:r>
              <w:rPr>
                <w:rFonts w:ascii="Figtree" w:hAnsi="Figtree"/>
                <w:b w:val="0"/>
                <w:i w:val="0"/>
                <w:sz w:val="20"/>
              </w:rPr>
              <w:t>Standard, Premium, Enterprise</w:t>
            </w:r>
          </w:p>
        </w:tc>
        <w:tc>
          <w:tcPr>
            <w:tcW w:type="dxa" w:w="3249"/>
            <w:vAlign w:val="center"/>
          </w:tcPr>
          <w:p>
            <w:pPr>
              <w:spacing w:line="276" w:lineRule="auto" w:before="0" w:after="0"/>
            </w:pPr>
            <w:r/>
            <w:r>
              <w:rPr>
                <w:rFonts w:ascii="Figtree" w:hAnsi="Figtree"/>
                <w:b w:val="0"/>
                <w:i w:val="0"/>
                <w:sz w:val="20"/>
              </w:rPr>
              <w:t>Premium</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19-week standard, extended, accelerated</w:t>
            </w:r>
          </w:p>
        </w:tc>
        <w:tc>
          <w:tcPr>
            <w:tcW w:type="dxa" w:w="3249"/>
            <w:vAlign w:val="center"/>
          </w:tcPr>
          <w:p>
            <w:pPr>
              <w:spacing w:line="276" w:lineRule="auto" w:before="0" w:after="0"/>
            </w:pPr>
            <w:r/>
            <w:r>
              <w:rPr>
                <w:rFonts w:ascii="Figtree" w:hAnsi="Figtree"/>
                <w:b w:val="0"/>
                <w:i w:val="0"/>
                <w:sz w:val="20"/>
              </w:rPr>
              <w:t>19-week standard</w:t>
            </w:r>
          </w:p>
        </w:tc>
      </w:tr>
    </w:tbl>
    <w:p>
      <w:pPr>
        <w:spacing w:before="0" w:after="0" w:line="120" w:lineRule="exact"/>
      </w:pPr>
    </w:p>
    <w:p>
      <w:pPr>
        <w:pStyle w:val="H2"/>
        <w:numPr>
          <w:ilvl w:val="1"/>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15"/>
        <w:gridCol w:w="2285"/>
        <w:gridCol w:w="3047"/>
        <w:gridCol w:w="24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i w:val="0"/>
                <w:sz w:val="20"/>
              </w:rPr>
              <w:t>Fit</w:t>
            </w:r>
          </w:p>
        </w:tc>
        <w:tc>
          <w:tcPr>
            <w:tcW w:type="dxa" w:w="2436"/>
            <w:vAlign w:val="center"/>
          </w:tcPr>
          <w:p>
            <w:pPr>
              <w:spacing w:line="276" w:lineRule="auto" w:before="0" w:after="0"/>
            </w:pPr>
            <w:r/>
            <w:r>
              <w:rPr>
                <w:rFonts w:ascii="Figtree" w:hAnsi="Figtree"/>
                <w:b w:val="0"/>
                <w:i w:val="0"/>
                <w:sz w:val="20"/>
              </w:rPr>
              <w:t>Focused first production use case</w:t>
            </w:r>
          </w:p>
        </w:tc>
        <w:tc>
          <w:tcPr>
            <w:tcW w:type="dxa" w:w="2436"/>
            <w:vAlign w:val="center"/>
          </w:tcPr>
          <w:p>
            <w:pPr>
              <w:spacing w:line="276" w:lineRule="auto" w:before="0" w:after="0"/>
            </w:pPr>
            <w:r/>
            <w:r>
              <w:rPr>
                <w:rFonts w:ascii="Figtree" w:hAnsi="Figtree"/>
                <w:b w:val="0"/>
                <w:i w:val="0"/>
                <w:sz w:val="20"/>
              </w:rPr>
              <w:t>Scaling across environments and integrations</w:t>
            </w:r>
          </w:p>
        </w:tc>
        <w:tc>
          <w:tcPr>
            <w:tcW w:type="dxa" w:w="2436"/>
            <w:vAlign w:val="center"/>
          </w:tcPr>
          <w:p>
            <w:pPr>
              <w:spacing w:line="276" w:lineRule="auto" w:before="0" w:after="0"/>
            </w:pPr>
            <w:r/>
            <w:r>
              <w:rPr>
                <w:rFonts w:ascii="Figtree" w:hAnsi="Figtree"/>
                <w:b w:val="0"/>
                <w:i w:val="0"/>
                <w:sz w:val="20"/>
              </w:rPr>
              <w:t>National-scale control requirements</w:t>
            </w:r>
          </w:p>
        </w:tc>
      </w:tr>
      <w:tr>
        <w:trPr>
          <w:trHeight w:val="425" w:hRule="atLeast"/>
        </w:trPr>
        <w:tc>
          <w:tcPr>
            <w:tcW w:type="dxa" w:w="2436"/>
            <w:vAlign w:val="center"/>
          </w:tcPr>
          <w:p>
            <w:pPr>
              <w:spacing w:line="276" w:lineRule="auto" w:before="0" w:after="0"/>
            </w:pPr>
            <w:r/>
            <w:r>
              <w:rPr>
                <w:rFonts w:ascii="Figtree" w:hAnsi="Figtree"/>
                <w:b w:val="0"/>
                <w:i w:val="0"/>
                <w:sz w:val="20"/>
              </w:rPr>
              <w:t>Asset classes</w:t>
            </w:r>
          </w:p>
        </w:tc>
        <w:tc>
          <w:tcPr>
            <w:tcW w:type="dxa" w:w="2436"/>
            <w:vAlign w:val="center"/>
          </w:tcPr>
          <w:p>
            <w:pPr>
              <w:spacing w:line="276" w:lineRule="auto" w:before="0" w:after="0"/>
            </w:pPr>
            <w:r/>
            <w:r>
              <w:rPr>
                <w:rFonts w:ascii="Figtree" w:hAnsi="Figtree"/>
                <w:b w:val="0"/>
                <w:i w:val="0"/>
                <w:sz w:val="20"/>
              </w:rPr>
              <w:t>Up to 2</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 custom</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Dev + production</w:t>
            </w:r>
          </w:p>
        </w:tc>
        <w:tc>
          <w:tcPr>
            <w:tcW w:type="dxa" w:w="2436"/>
            <w:vAlign w:val="center"/>
          </w:tcPr>
          <w:p>
            <w:pPr>
              <w:spacing w:line="276" w:lineRule="auto" w:before="0" w:after="0"/>
            </w:pPr>
            <w:r/>
            <w:r>
              <w:rPr>
                <w:rFonts w:ascii="Figtree" w:hAnsi="Figtree"/>
                <w:b w:val="0"/>
                <w:i w:val="0"/>
                <w:sz w:val="20"/>
              </w:rPr>
              <w:t>Dev + staging + UAT + DR + production</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Multiple providers</w:t>
            </w:r>
          </w:p>
        </w:tc>
        <w:tc>
          <w:tcPr>
            <w:tcW w:type="dxa" w:w="2436"/>
            <w:vAlign w:val="center"/>
          </w:tcPr>
          <w:p>
            <w:pPr>
              <w:spacing w:line="276" w:lineRule="auto" w:before="0" w:after="0"/>
            </w:pPr>
            <w:r/>
            <w:r>
              <w:rPr>
                <w:rFonts w:ascii="Figtree" w:hAnsi="Figtree"/>
                <w:b w:val="0"/>
                <w:i w:val="0"/>
                <w:sz w:val="20"/>
              </w:rPr>
              <w:t>Full HSM + multi-provider</w:t>
            </w:r>
          </w:p>
        </w:tc>
      </w:tr>
      <w:tr>
        <w:trPr>
          <w:trHeight w:val="425" w:hRule="atLeast"/>
        </w:trPr>
        <w:tc>
          <w:tcPr>
            <w:tcW w:type="dxa" w:w="2436"/>
            <w:vAlign w:val="center"/>
          </w:tcPr>
          <w:p>
            <w:pPr>
              <w:spacing w:line="276" w:lineRule="auto" w:before="0" w:after="0"/>
            </w:pPr>
            <w:r/>
            <w:r>
              <w:rPr>
                <w:rFonts w:ascii="Figtree" w:hAnsi="Figtree"/>
                <w:b w:val="0"/>
                <w:i w:val="0"/>
                <w:sz w:val="20"/>
              </w:rPr>
              <w:t>Compliance modules</w:t>
            </w:r>
          </w:p>
        </w:tc>
        <w:tc>
          <w:tcPr>
            <w:tcW w:type="dxa" w:w="2436"/>
            <w:vAlign w:val="center"/>
          </w:tcPr>
          <w:p>
            <w:pPr>
              <w:spacing w:line="276" w:lineRule="auto" w:before="0" w:after="0"/>
            </w:pPr>
            <w:r/>
            <w:r>
              <w:rPr>
                <w:rFonts w:ascii="Figtree" w:hAnsi="Figtree"/>
                <w:b w:val="0"/>
                <w:i w:val="0"/>
                <w:sz w:val="20"/>
              </w:rPr>
              <w:t>Core set</w:t>
            </w:r>
          </w:p>
        </w:tc>
        <w:tc>
          <w:tcPr>
            <w:tcW w:type="dxa" w:w="2436"/>
            <w:vAlign w:val="center"/>
          </w:tcPr>
          <w:p>
            <w:pPr>
              <w:spacing w:line="276" w:lineRule="auto" w:before="0" w:after="0"/>
            </w:pPr>
            <w:r/>
            <w:r>
              <w:rPr>
                <w:rFonts w:ascii="Figtree" w:hAnsi="Figtree"/>
                <w:b w:val="0"/>
                <w:i w:val="0"/>
                <w:sz w:val="20"/>
              </w:rPr>
              <w:t>Full 18 types</w:t>
            </w:r>
          </w:p>
        </w:tc>
        <w:tc>
          <w:tcPr>
            <w:tcW w:type="dxa" w:w="2436"/>
            <w:vAlign w:val="center"/>
          </w:tcPr>
          <w:p>
            <w:pPr>
              <w:spacing w:line="276" w:lineRule="auto" w:before="0" w:after="0"/>
            </w:pPr>
            <w:r/>
            <w:r>
              <w:rPr>
                <w:rFonts w:ascii="Figtree" w:hAnsi="Figtree"/>
                <w:b w:val="0"/>
                <w:i w:val="0"/>
                <w:sz w:val="20"/>
              </w:rPr>
              <w:t>Full + custom extensions</w:t>
            </w:r>
          </w:p>
        </w:tc>
      </w:tr>
      <w:tr>
        <w:trPr>
          <w:trHeight w:val="425" w:hRule="atLeast"/>
        </w:trPr>
        <w:tc>
          <w:tcPr>
            <w:tcW w:type="dxa" w:w="2436"/>
            <w:vAlign w:val="center"/>
          </w:tcPr>
          <w:p>
            <w:pPr>
              <w:spacing w:line="276" w:lineRule="auto" w:before="0" w:after="0"/>
            </w:pPr>
            <w:r/>
            <w:r>
              <w:rPr>
                <w:rFonts w:ascii="Figtree" w:hAnsi="Figtree"/>
                <w:b w:val="0"/>
                <w:i w:val="0"/>
                <w:sz w:val="20"/>
              </w:rPr>
              <w:t>API access</w:t>
            </w:r>
          </w:p>
        </w:tc>
        <w:tc>
          <w:tcPr>
            <w:tcW w:type="dxa" w:w="2436"/>
            <w:vAlign w:val="center"/>
          </w:tcPr>
          <w:p>
            <w:pPr>
              <w:spacing w:line="276" w:lineRule="auto" w:before="0" w:after="0"/>
            </w:pPr>
            <w:r/>
            <w:r>
              <w:rPr>
                <w:rFonts w:ascii="Figtree" w:hAnsi="Figtree"/>
                <w:b w:val="0"/>
                <w:i w:val="0"/>
                <w:sz w:val="20"/>
              </w:rPr>
              <w:t>REST, webhooks</w:t>
            </w:r>
          </w:p>
        </w:tc>
        <w:tc>
          <w:tcPr>
            <w:tcW w:type="dxa" w:w="2436"/>
            <w:vAlign w:val="center"/>
          </w:tcPr>
          <w:p>
            <w:pPr>
              <w:spacing w:line="276" w:lineRule="auto" w:before="0" w:after="0"/>
            </w:pPr>
            <w:r/>
            <w:r>
              <w:rPr>
                <w:rFonts w:ascii="Figtree" w:hAnsi="Figtree"/>
                <w:b w:val="0"/>
                <w:i w:val="0"/>
                <w:sz w:val="20"/>
              </w:rPr>
              <w:t>Full API surface</w:t>
            </w:r>
          </w:p>
        </w:tc>
        <w:tc>
          <w:tcPr>
            <w:tcW w:type="dxa" w:w="2436"/>
            <w:vAlign w:val="center"/>
          </w:tcPr>
          <w:p>
            <w:pPr>
              <w:spacing w:line="276" w:lineRule="auto" w:before="0" w:after="0"/>
            </w:pPr>
            <w:r/>
            <w:r>
              <w:rPr>
                <w:rFonts w:ascii="Figtree" w:hAnsi="Figtree"/>
                <w:b w:val="0"/>
                <w:i w:val="0"/>
                <w:sz w:val="20"/>
              </w:rPr>
              <w:t>Full + dedicated API gateway</w:t>
            </w:r>
          </w:p>
        </w:tc>
      </w:tr>
      <w:tr>
        <w:trPr>
          <w:trHeight w:val="425" w:hRule="atLeast"/>
        </w:trPr>
        <w:tc>
          <w:tcPr>
            <w:tcW w:type="dxa" w:w="2436"/>
            <w:vAlign w:val="center"/>
          </w:tcPr>
          <w:p>
            <w:pPr>
              <w:spacing w:line="276" w:lineRule="auto" w:before="0" w:after="0"/>
            </w:pPr>
            <w:r/>
            <w:r>
              <w:rPr>
                <w:rFonts w:ascii="Figtree" w:hAnsi="Figtree"/>
                <w:b w:val="0"/>
                <w:i w:val="0"/>
                <w:sz w:val="20"/>
              </w:rPr>
              <w:t>Support</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 (24/7)</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review</w:t>
            </w:r>
          </w:p>
        </w:tc>
        <w:tc>
          <w:tcPr>
            <w:tcW w:type="dxa" w:w="2436"/>
            <w:vAlign w:val="center"/>
          </w:tcPr>
          <w:p>
            <w:pPr>
              <w:spacing w:line="276" w:lineRule="auto" w:before="0" w:after="0"/>
            </w:pPr>
            <w:r/>
            <w:r>
              <w:rPr>
                <w:rFonts w:ascii="Figtree" w:hAnsi="Figtree"/>
                <w:b w:val="0"/>
                <w:i w:val="0"/>
                <w:sz w:val="20"/>
              </w:rPr>
              <w:t>Monthly review + SA access</w:t>
            </w:r>
          </w:p>
        </w:tc>
        <w:tc>
          <w:tcPr>
            <w:tcW w:type="dxa" w:w="2436"/>
            <w:vAlign w:val="center"/>
          </w:tcPr>
          <w:p>
            <w:pPr>
              <w:spacing w:line="276" w:lineRule="auto" w:before="0" w:after="0"/>
            </w:pPr>
            <w:r/>
            <w:r>
              <w:rPr>
                <w:rFonts w:ascii="Figtree" w:hAnsi="Figtree"/>
                <w:b w:val="0"/>
                <w:i w:val="0"/>
                <w:sz w:val="20"/>
              </w:rPr>
              <w:t>Continuous + dedicated team</w:t>
            </w:r>
          </w:p>
        </w:tc>
      </w:tr>
    </w:tbl>
    <w:p>
      <w:pPr>
        <w:spacing w:before="0" w:after="0" w:line="120" w:lineRule="exact"/>
      </w:pPr>
    </w:p>
    <w:p>
      <w:r>
        <w:rPr>
          <w:rFonts w:ascii="Figtree" w:hAnsi="Figtree"/>
          <w:b w:val="0"/>
          <w:i w:val="0"/>
          <w:sz w:val="22"/>
        </w:rPr>
        <w:t xml:space="preserve">SettleMint recommends </w:t>
      </w:r>
      <w:r>
        <w:rPr>
          <w:rFonts w:ascii="Figtree" w:hAnsi="Figtree"/>
          <w:b/>
          <w:i w:val="0"/>
          <w:sz w:val="22"/>
        </w:rPr>
        <w:t>Enterprise (Tier 2)</w:t>
      </w:r>
      <w:r>
        <w:rPr>
          <w:rFonts w:ascii="Figtree" w:hAnsi="Figtree"/>
          <w:b w:val="0"/>
          <w:i w:val="0"/>
          <w:sz w:val="22"/>
        </w:rPr>
        <w:t xml:space="preserve"> for CIB's fixed income programme, providing the multi-environment support, full compliance module set, and Premium support tier appropriate for a business-critical production deployment.</w:t>
      </w:r>
    </w:p>
    <w:p>
      <w:r>
        <w:br w:type="page"/>
      </w:r>
    </w:p>
    <w:p>
      <w:pPr>
        <w:pStyle w:val="H1"/>
        <w:numPr>
          <w:ilvl w:val="0"/>
          <w:numId w:val="1"/>
        </w:numPr>
      </w:pPr>
      <w:r>
        <w:t>Deployment Options and Pricing</w:t>
      </w:r>
    </w:p>
    <w:p>
      <w:pPr>
        <w:pStyle w:val="H2"/>
        <w:numPr>
          <w:ilvl w:val="1"/>
          <w:numId w:val="1"/>
        </w:numPr>
      </w:pPr>
      <w:r>
        <w:t>Model Overview</w:t>
      </w:r>
    </w:p>
    <w:p>
      <w:r>
        <w:rPr>
          <w:rFonts w:ascii="Figtree" w:hAnsi="Figtree"/>
          <w:b w:val="0"/>
          <w:i w:val="0"/>
          <w:sz w:val="22"/>
        </w:rPr>
        <w:t>All deployment models deliver the same DALP platform capabilities. The choice is driven by CIB's requirements for data residency, operational ownership, security posture, and time-to-deploy.</w:t>
      </w:r>
    </w:p>
    <w:p>
      <w:pPr>
        <w:pStyle w:val="H2"/>
        <w:numPr>
          <w:ilvl w:val="1"/>
          <w:numId w:val="1"/>
        </w:numPr>
      </w:pPr>
      <w:r>
        <w:t>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45"/>
        <w:gridCol w:w="1437"/>
        <w:gridCol w:w="2604"/>
        <w:gridCol w:w="1437"/>
        <w:gridCol w:w="134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Dedicated Cloud (Recommended)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SettleMint (dedicated)</w:t>
            </w:r>
          </w:p>
        </w:tc>
        <w:tc>
          <w:tcPr>
            <w:tcW w:type="dxa" w:w="1949"/>
            <w:vAlign w:val="center"/>
          </w:tcPr>
          <w:p>
            <w:pPr>
              <w:spacing w:line="276" w:lineRule="auto" w:before="0" w:after="0"/>
            </w:pPr>
            <w:r/>
            <w:r>
              <w:rPr>
                <w:rFonts w:ascii="Figtree" w:hAnsi="Figtree"/>
                <w:b w:val="0"/>
                <w:i w:val="0"/>
                <w:sz w:val="20"/>
              </w:rPr>
              <w:t>CIB</w:t>
            </w:r>
          </w:p>
        </w:tc>
        <w:tc>
          <w:tcPr>
            <w:tcW w:type="dxa" w:w="1949"/>
            <w:vAlign w:val="center"/>
          </w:tcPr>
          <w:p>
            <w:pPr>
              <w:spacing w:line="276" w:lineRule="auto" w:before="0" w:after="0"/>
            </w:pPr>
            <w:r/>
            <w:r>
              <w:rPr>
                <w:rFonts w:ascii="Figtree" w:hAnsi="Figtree"/>
                <w:b w:val="0"/>
                <w:i w:val="0"/>
                <w:sz w:val="20"/>
              </w:rPr>
              <w:t>Split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Regional</w:t>
            </w:r>
          </w:p>
        </w:tc>
        <w:tc>
          <w:tcPr>
            <w:tcW w:type="dxa" w:w="1949"/>
            <w:vAlign w:val="center"/>
          </w:tcPr>
          <w:p>
            <w:pPr>
              <w:spacing w:line="276" w:lineRule="auto" w:before="0" w:after="0"/>
            </w:pPr>
            <w:r/>
            <w:r>
              <w:rPr>
                <w:rFonts w:ascii="Figtree" w:hAnsi="Figtree"/>
                <w:b w:val="0"/>
                <w:i w:val="0"/>
                <w:sz w:val="20"/>
              </w:rPr>
              <w:t>Egypt-resident</w:t>
            </w:r>
          </w:p>
        </w:tc>
        <w:tc>
          <w:tcPr>
            <w:tcW w:type="dxa" w:w="1949"/>
            <w:vAlign w:val="center"/>
          </w:tcPr>
          <w:p>
            <w:pPr>
              <w:spacing w:line="276" w:lineRule="auto" w:before="0" w:after="0"/>
            </w:pPr>
            <w:r/>
            <w:r>
              <w:rPr>
                <w:rFonts w:ascii="Figtree" w:hAnsi="Figtree"/>
                <w:b w:val="0"/>
                <w:i w:val="0"/>
                <w:sz w:val="20"/>
              </w:rPr>
              <w:t>Full CIB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val="0"/>
                <w:i w:val="0"/>
                <w:sz w:val="20"/>
              </w:rPr>
              <w:t>Time-to-deploy</w:t>
            </w:r>
          </w:p>
        </w:tc>
        <w:tc>
          <w:tcPr>
            <w:tcW w:type="dxa" w:w="1949"/>
            <w:vAlign w:val="center"/>
          </w:tcPr>
          <w:p>
            <w:pPr>
              <w:spacing w:line="276" w:lineRule="auto" w:before="0" w:after="0"/>
            </w:pPr>
            <w:r/>
            <w:r>
              <w:rPr>
                <w:rFonts w:ascii="Figtree" w:hAnsi="Figtree"/>
                <w:b w:val="0"/>
                <w:i w:val="0"/>
                <w:sz w:val="20"/>
              </w:rPr>
              <w:t>4 to 6 weeks</w:t>
            </w:r>
          </w:p>
        </w:tc>
        <w:tc>
          <w:tcPr>
            <w:tcW w:type="dxa" w:w="1949"/>
            <w:vAlign w:val="center"/>
          </w:tcPr>
          <w:p>
            <w:pPr>
              <w:spacing w:line="276" w:lineRule="auto" w:before="0" w:after="0"/>
            </w:pPr>
            <w:r/>
            <w:r>
              <w:rPr>
                <w:rFonts w:ascii="Figtree" w:hAnsi="Figtree"/>
                <w:b w:val="0"/>
                <w:i w:val="0"/>
                <w:sz w:val="20"/>
              </w:rPr>
              <w:t>6 to 8 weeks</w:t>
            </w:r>
          </w:p>
        </w:tc>
        <w:tc>
          <w:tcPr>
            <w:tcW w:type="dxa" w:w="1949"/>
            <w:vAlign w:val="center"/>
          </w:tcPr>
          <w:p>
            <w:pPr>
              <w:spacing w:line="276" w:lineRule="auto" w:before="0" w:after="0"/>
            </w:pPr>
            <w:r/>
            <w:r>
              <w:rPr>
                <w:rFonts w:ascii="Figtree" w:hAnsi="Figtree"/>
                <w:b w:val="0"/>
                <w:i w:val="0"/>
                <w:sz w:val="20"/>
              </w:rPr>
              <w:t>12 to 16 weeks</w:t>
            </w:r>
          </w:p>
        </w:tc>
        <w:tc>
          <w:tcPr>
            <w:tcW w:type="dxa" w:w="1949"/>
            <w:vAlign w:val="center"/>
          </w:tcPr>
          <w:p>
            <w:pPr>
              <w:spacing w:line="276" w:lineRule="auto" w:before="0" w:after="0"/>
            </w:pPr>
            <w:r/>
            <w:r>
              <w:rPr>
                <w:rFonts w:ascii="Figtree" w:hAnsi="Figtree"/>
                <w:b w:val="0"/>
                <w:i w:val="0"/>
                <w:sz w:val="20"/>
              </w:rPr>
              <w:t>8 to 12 weeks</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Security posture</w:t>
            </w:r>
          </w:p>
        </w:tc>
        <w:tc>
          <w:tcPr>
            <w:tcW w:type="dxa" w:w="1949"/>
            <w:vAlign w:val="center"/>
          </w:tcPr>
          <w:p>
            <w:pPr>
              <w:spacing w:line="276" w:lineRule="auto" w:before="0" w:after="0"/>
            </w:pPr>
            <w:r/>
            <w:r>
              <w:rPr>
                <w:rFonts w:ascii="Figtree" w:hAnsi="Figtree"/>
                <w:b w:val="0"/>
                <w:i w:val="0"/>
                <w:sz w:val="20"/>
              </w:rPr>
              <w:t>SettleMint model</w:t>
            </w:r>
          </w:p>
        </w:tc>
        <w:tc>
          <w:tcPr>
            <w:tcW w:type="dxa" w:w="1949"/>
            <w:vAlign w:val="center"/>
          </w:tcPr>
          <w:p>
            <w:pPr>
              <w:spacing w:line="276" w:lineRule="auto" w:before="0" w:after="0"/>
            </w:pPr>
            <w:r/>
            <w:r>
              <w:rPr>
                <w:rFonts w:ascii="Figtree" w:hAnsi="Figtree"/>
                <w:b w:val="0"/>
                <w:i w:val="0"/>
                <w:sz w:val="20"/>
              </w:rPr>
              <w:t>Dedicated, CIB-reviewed</w:t>
            </w:r>
          </w:p>
        </w:tc>
        <w:tc>
          <w:tcPr>
            <w:tcW w:type="dxa" w:w="1949"/>
            <w:vAlign w:val="center"/>
          </w:tcPr>
          <w:p>
            <w:pPr>
              <w:spacing w:line="276" w:lineRule="auto" w:before="0" w:after="0"/>
            </w:pPr>
            <w:r/>
            <w:r>
              <w:rPr>
                <w:rFonts w:ascii="Figtree" w:hAnsi="Figtree"/>
                <w:b w:val="0"/>
                <w:i w:val="0"/>
                <w:sz w:val="20"/>
              </w:rPr>
              <w:t>CIB model</w:t>
            </w:r>
          </w:p>
        </w:tc>
        <w:tc>
          <w:tcPr>
            <w:tcW w:type="dxa" w:w="1949"/>
            <w:vAlign w:val="center"/>
          </w:tcPr>
          <w:p>
            <w:pPr>
              <w:spacing w:line="276" w:lineRule="auto" w:before="0" w:after="0"/>
            </w:pPr>
            <w:r/>
            <w:r>
              <w:rPr>
                <w:rFonts w:ascii="Figtree" w:hAnsi="Figtree"/>
                <w:b w:val="0"/>
                <w:i w:val="0"/>
                <w:sz w:val="20"/>
              </w:rPr>
              <w:t>Mixed</w:t>
            </w:r>
          </w:p>
        </w:tc>
      </w:tr>
    </w:tbl>
    <w:p>
      <w:pPr>
        <w:spacing w:before="0" w:after="0" w:line="120" w:lineRule="exact"/>
      </w:pPr>
    </w:p>
    <w:p>
      <w:pPr>
        <w:pStyle w:val="H2"/>
        <w:numPr>
          <w:ilvl w:val="1"/>
          <w:numId w:val="1"/>
        </w:numPr>
      </w:pPr>
      <w:r>
        <w:t>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3"/>
        <w:gridCol w:w="2186"/>
        <w:gridCol w:w="43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DALP Enterprise tier subscription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One-time</w:t>
            </w:r>
          </w:p>
        </w:tc>
        <w:tc>
          <w:tcPr>
            <w:tcW w:type="dxa" w:w="3249"/>
            <w:vAlign w:val="center"/>
          </w:tcPr>
          <w:p>
            <w:pPr>
              <w:spacing w:line="276" w:lineRule="auto" w:before="0" w:after="0"/>
            </w:pPr>
            <w:r/>
            <w:r>
              <w:rPr>
                <w:rFonts w:ascii="Figtree" w:hAnsi="Figtree"/>
                <w:b w:val="0"/>
                <w:i w:val="0"/>
                <w:sz w:val="20"/>
              </w:rPr>
              <w:t>19-week delivery programme</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Cloud hosting, compute, storage, network</w:t>
            </w:r>
          </w:p>
        </w:tc>
      </w:tr>
      <w:tr>
        <w:trPr>
          <w:trHeight w:val="425" w:hRule="atLeast"/>
        </w:trPr>
        <w:tc>
          <w:tcPr>
            <w:tcW w:type="dxa" w:w="3249"/>
            <w:vAlign w:val="center"/>
          </w:tcPr>
          <w:p>
            <w:pPr>
              <w:spacing w:line="276" w:lineRule="auto" w:before="0" w:after="0"/>
            </w:pPr>
            <w:r/>
            <w:r>
              <w:rPr>
                <w:rFonts w:ascii="Figtree" w:hAnsi="Figtree"/>
                <w:b w:val="0"/>
                <w:i w:val="0"/>
                <w:sz w:val="20"/>
              </w:rPr>
              <w:t>Support</w:t>
            </w:r>
          </w:p>
        </w:tc>
        <w:tc>
          <w:tcPr>
            <w:tcW w:type="dxa" w:w="3249"/>
            <w:vAlign w:val="center"/>
          </w:tcPr>
          <w:p>
            <w:pPr>
              <w:spacing w:line="276" w:lineRule="auto" w:before="0" w:after="0"/>
            </w:pPr>
            <w:r/>
            <w:r>
              <w:rPr>
                <w:rFonts w:ascii="Figtree" w:hAnsi="Figtree"/>
                <w:b w:val="0"/>
                <w:i w:val="0"/>
                <w:sz w:val="20"/>
              </w:rPr>
              <w:t>Recurring (annual)</w:t>
            </w:r>
          </w:p>
        </w:tc>
        <w:tc>
          <w:tcPr>
            <w:tcW w:type="dxa" w:w="3249"/>
            <w:vAlign w:val="center"/>
          </w:tcPr>
          <w:p>
            <w:pPr>
              <w:spacing w:line="276" w:lineRule="auto" w:before="0" w:after="0"/>
            </w:pPr>
            <w:r/>
            <w:r>
              <w:rPr>
                <w:rFonts w:ascii="Figtree" w:hAnsi="Figtree"/>
                <w:b w:val="0"/>
                <w:i w:val="0"/>
                <w:sz w:val="20"/>
              </w:rPr>
              <w:t>Premium support tier</w:t>
            </w:r>
          </w:p>
        </w:tc>
      </w:tr>
      <w:tr>
        <w:trPr>
          <w:trHeight w:val="425" w:hRule="atLeast"/>
        </w:trPr>
        <w:tc>
          <w:tcPr>
            <w:tcW w:type="dxa" w:w="3249"/>
            <w:vAlign w:val="center"/>
          </w:tcPr>
          <w:p>
            <w:pPr>
              <w:spacing w:line="276" w:lineRule="auto" w:before="0" w:after="0"/>
            </w:pPr>
            <w:r/>
            <w:r>
              <w:rPr>
                <w:rFonts w:ascii="Figtree" w:hAnsi="Figtree"/>
                <w:b w:val="0"/>
                <w:i w:val="0"/>
                <w:sz w:val="20"/>
              </w:rPr>
              <w:t>Training</w:t>
            </w:r>
          </w:p>
        </w:tc>
        <w:tc>
          <w:tcPr>
            <w:tcW w:type="dxa" w:w="3249"/>
            <w:vAlign w:val="center"/>
          </w:tcPr>
          <w:p>
            <w:pPr>
              <w:spacing w:line="276" w:lineRule="auto" w:before="0" w:after="0"/>
            </w:pPr>
            <w:r/>
            <w:r>
              <w:rPr>
                <w:rFonts w:ascii="Figtree" w:hAnsi="Figtree"/>
                <w:b w:val="0"/>
                <w:i w:val="0"/>
                <w:sz w:val="20"/>
              </w:rPr>
              <w:t>One-time</w:t>
            </w:r>
          </w:p>
        </w:tc>
        <w:tc>
          <w:tcPr>
            <w:tcW w:type="dxa" w:w="3249"/>
            <w:vAlign w:val="center"/>
          </w:tcPr>
          <w:p>
            <w:pPr>
              <w:spacing w:line="276" w:lineRule="auto" w:before="0" w:after="0"/>
            </w:pPr>
            <w:r/>
            <w:r>
              <w:rPr>
                <w:rFonts w:ascii="Figtree" w:hAnsi="Figtree"/>
                <w:b w:val="0"/>
                <w:i w:val="0"/>
                <w:sz w:val="20"/>
              </w:rPr>
              <w:t>3-track training programme</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One-time + recurring</w:t>
            </w:r>
          </w:p>
        </w:tc>
        <w:tc>
          <w:tcPr>
            <w:tcW w:type="dxa" w:w="3249"/>
            <w:vAlign w:val="center"/>
          </w:tcPr>
          <w:p>
            <w:pPr>
              <w:spacing w:line="276" w:lineRule="auto" w:before="0" w:after="0"/>
            </w:pPr>
            <w:r/>
            <w:r>
              <w:rPr>
                <w:rFonts w:ascii="Figtree" w:hAnsi="Figtree"/>
                <w:b w:val="0"/>
                <w:i w:val="0"/>
                <w:sz w:val="20"/>
              </w:rPr>
              <w:t>Custody provider fees (pass-through)</w:t>
            </w:r>
          </w:p>
        </w:tc>
      </w:tr>
    </w:tbl>
    <w:p>
      <w:pPr>
        <w:spacing w:before="0" w:after="0" w:line="120" w:lineRule="exact"/>
      </w:pPr>
    </w:p>
    <w:p>
      <w:pPr>
        <w:pStyle w:val="H2"/>
        <w:numPr>
          <w:ilvl w:val="1"/>
          <w:numId w:val="1"/>
        </w:numPr>
      </w:pPr>
      <w:r>
        <w:t>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74"/>
        <w:gridCol w:w="429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Increases Cost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Decreases Cost</w:t>
            </w:r>
          </w:p>
        </w:tc>
      </w:tr>
      <w:tr>
        <w:trPr>
          <w:trHeight w:val="425" w:hRule="atLeast"/>
        </w:trPr>
        <w:tc>
          <w:tcPr>
            <w:tcW w:type="dxa" w:w="4873"/>
            <w:vAlign w:val="center"/>
          </w:tcPr>
          <w:p>
            <w:pPr>
              <w:spacing w:line="276" w:lineRule="auto" w:before="0" w:after="0"/>
            </w:pPr>
            <w:r/>
            <w:r>
              <w:rPr>
                <w:rFonts w:ascii="Figtree" w:hAnsi="Figtree"/>
                <w:b w:val="0"/>
                <w:i w:val="0"/>
                <w:sz w:val="20"/>
              </w:rPr>
              <w:t>On-premises deployment</w:t>
            </w:r>
          </w:p>
        </w:tc>
        <w:tc>
          <w:tcPr>
            <w:tcW w:type="dxa" w:w="4873"/>
            <w:vAlign w:val="center"/>
          </w:tcPr>
          <w:p>
            <w:pPr>
              <w:spacing w:line="276" w:lineRule="auto" w:before="0" w:after="0"/>
            </w:pPr>
            <w:r/>
            <w:r>
              <w:rPr>
                <w:rFonts w:ascii="Figtree" w:hAnsi="Figtree"/>
                <w:b w:val="0"/>
                <w:i w:val="0"/>
                <w:sz w:val="20"/>
              </w:rPr>
              <w:t>Managed cloud deployment</w:t>
            </w:r>
          </w:p>
        </w:tc>
      </w:tr>
      <w:tr>
        <w:trPr>
          <w:trHeight w:val="425" w:hRule="atLeast"/>
        </w:trPr>
        <w:tc>
          <w:tcPr>
            <w:tcW w:type="dxa" w:w="4873"/>
            <w:vAlign w:val="center"/>
          </w:tcPr>
          <w:p>
            <w:pPr>
              <w:spacing w:line="276" w:lineRule="auto" w:before="0" w:after="0"/>
            </w:pPr>
            <w:r/>
            <w:r>
              <w:rPr>
                <w:rFonts w:ascii="Figtree" w:hAnsi="Figtree"/>
                <w:b w:val="0"/>
                <w:i w:val="0"/>
                <w:sz w:val="20"/>
              </w:rPr>
              <w:t>Multiple custody providers</w:t>
            </w:r>
          </w:p>
        </w:tc>
        <w:tc>
          <w:tcPr>
            <w:tcW w:type="dxa" w:w="4873"/>
            <w:vAlign w:val="center"/>
          </w:tcPr>
          <w:p>
            <w:pPr>
              <w:spacing w:line="276" w:lineRule="auto" w:before="0" w:after="0"/>
            </w:pPr>
            <w:r/>
            <w:r>
              <w:rPr>
                <w:rFonts w:ascii="Figtree" w:hAnsi="Figtree"/>
                <w:b w:val="0"/>
                <w:i w:val="0"/>
                <w:sz w:val="20"/>
              </w:rPr>
              <w:t>Single custody provider</w:t>
            </w:r>
          </w:p>
        </w:tc>
      </w:tr>
      <w:tr>
        <w:trPr>
          <w:trHeight w:val="425" w:hRule="atLeast"/>
        </w:trPr>
        <w:tc>
          <w:tcPr>
            <w:tcW w:type="dxa" w:w="4873"/>
            <w:vAlign w:val="center"/>
          </w:tcPr>
          <w:p>
            <w:pPr>
              <w:spacing w:line="276" w:lineRule="auto" w:before="0" w:after="0"/>
            </w:pPr>
            <w:r/>
            <w:r>
              <w:rPr>
                <w:rFonts w:ascii="Figtree" w:hAnsi="Figtree"/>
                <w:b w:val="0"/>
                <w:i w:val="0"/>
                <w:sz w:val="20"/>
              </w:rPr>
              <w:t>HSM key management</w:t>
            </w:r>
          </w:p>
        </w:tc>
        <w:tc>
          <w:tcPr>
            <w:tcW w:type="dxa" w:w="4873"/>
            <w:vAlign w:val="center"/>
          </w:tcPr>
          <w:p>
            <w:pPr>
              <w:spacing w:line="276" w:lineRule="auto" w:before="0" w:after="0"/>
            </w:pPr>
            <w:r/>
            <w:r>
              <w:rPr>
                <w:rFonts w:ascii="Figtree" w:hAnsi="Figtree"/>
                <w:b w:val="0"/>
                <w:i w:val="0"/>
                <w:sz w:val="20"/>
              </w:rPr>
              <w:t>Cloud secret manager</w:t>
            </w:r>
          </w:p>
        </w:tc>
      </w:tr>
      <w:tr>
        <w:trPr>
          <w:trHeight w:val="425" w:hRule="atLeast"/>
        </w:trPr>
        <w:tc>
          <w:tcPr>
            <w:tcW w:type="dxa" w:w="4873"/>
            <w:vAlign w:val="center"/>
          </w:tcPr>
          <w:p>
            <w:pPr>
              <w:spacing w:line="276" w:lineRule="auto" w:before="0" w:after="0"/>
            </w:pPr>
            <w:r/>
            <w:r>
              <w:rPr>
                <w:rFonts w:ascii="Figtree" w:hAnsi="Figtree"/>
                <w:b w:val="0"/>
                <w:i w:val="0"/>
                <w:sz w:val="20"/>
              </w:rPr>
              <w:t>Complex legacy integration</w:t>
            </w:r>
          </w:p>
        </w:tc>
        <w:tc>
          <w:tcPr>
            <w:tcW w:type="dxa" w:w="4873"/>
            <w:vAlign w:val="center"/>
          </w:tcPr>
          <w:p>
            <w:pPr>
              <w:spacing w:line="276" w:lineRule="auto" w:before="0" w:after="0"/>
            </w:pPr>
            <w:r/>
            <w:r>
              <w:rPr>
                <w:rFonts w:ascii="Figtree" w:hAnsi="Figtree"/>
                <w:b w:val="0"/>
                <w:i w:val="0"/>
                <w:sz w:val="20"/>
              </w:rPr>
              <w:t>Modern API-based systems</w:t>
            </w:r>
          </w:p>
        </w:tc>
      </w:tr>
      <w:tr>
        <w:trPr>
          <w:trHeight w:val="425" w:hRule="atLeast"/>
        </w:trPr>
        <w:tc>
          <w:tcPr>
            <w:tcW w:type="dxa" w:w="4873"/>
            <w:vAlign w:val="center"/>
          </w:tcPr>
          <w:p>
            <w:pPr>
              <w:spacing w:line="276" w:lineRule="auto" w:before="0" w:after="0"/>
            </w:pPr>
            <w:r/>
            <w:r>
              <w:rPr>
                <w:rFonts w:ascii="Figtree" w:hAnsi="Figtree"/>
                <w:b w:val="0"/>
                <w:i w:val="0"/>
                <w:sz w:val="20"/>
              </w:rPr>
              <w:t>Multi-region deployment</w:t>
            </w:r>
          </w:p>
        </w:tc>
        <w:tc>
          <w:tcPr>
            <w:tcW w:type="dxa" w:w="4873"/>
            <w:vAlign w:val="center"/>
          </w:tcPr>
          <w:p>
            <w:pPr>
              <w:spacing w:line="276" w:lineRule="auto" w:before="0" w:after="0"/>
            </w:pPr>
            <w:r/>
            <w:r>
              <w:rPr>
                <w:rFonts w:ascii="Figtree" w:hAnsi="Figtree"/>
                <w:b w:val="0"/>
                <w:i w:val="0"/>
                <w:sz w:val="20"/>
              </w:rPr>
              <w:t>Single-region deployment</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extensions</w:t>
            </w:r>
          </w:p>
        </w:tc>
        <w:tc>
          <w:tcPr>
            <w:tcW w:type="dxa" w:w="4873"/>
            <w:vAlign w:val="center"/>
          </w:tcPr>
          <w:p>
            <w:pPr>
              <w:spacing w:line="276" w:lineRule="auto" w:before="0" w:after="0"/>
            </w:pPr>
            <w:r/>
            <w:r>
              <w:rPr>
                <w:rFonts w:ascii="Figtree" w:hAnsi="Figtree"/>
                <w:b w:val="0"/>
                <w:i w:val="0"/>
                <w:sz w:val="20"/>
              </w:rPr>
              <w:t>Standard compliance modules</w:t>
            </w:r>
          </w:p>
        </w:tc>
      </w:tr>
      <w:tr>
        <w:trPr>
          <w:trHeight w:val="425" w:hRule="atLeast"/>
        </w:trPr>
        <w:tc>
          <w:tcPr>
            <w:tcW w:type="dxa" w:w="4873"/>
            <w:vAlign w:val="center"/>
          </w:tcPr>
          <w:p>
            <w:pPr>
              <w:spacing w:line="276" w:lineRule="auto" w:before="0" w:after="0"/>
            </w:pPr>
            <w:r/>
            <w:r>
              <w:rPr>
                <w:rFonts w:ascii="Figtree" w:hAnsi="Figtree"/>
                <w:b w:val="0"/>
                <w:i w:val="0"/>
                <w:sz w:val="20"/>
              </w:rPr>
              <w:t>Accelerated timeline</w:t>
            </w:r>
          </w:p>
        </w:tc>
        <w:tc>
          <w:tcPr>
            <w:tcW w:type="dxa" w:w="4873"/>
            <w:vAlign w:val="center"/>
          </w:tcPr>
          <w:p>
            <w:pPr>
              <w:spacing w:line="276" w:lineRule="auto" w:before="0" w:after="0"/>
            </w:pPr>
            <w:r/>
            <w:r>
              <w:rPr>
                <w:rFonts w:ascii="Figtree" w:hAnsi="Figtree"/>
                <w:b w:val="0"/>
                <w:i w:val="0"/>
                <w:sz w:val="20"/>
              </w:rPr>
              <w:t>Standard 19-week timeline</w:t>
            </w:r>
          </w:p>
        </w:tc>
      </w:tr>
      <w:tr>
        <w:trPr>
          <w:trHeight w:val="425" w:hRule="atLeast"/>
        </w:trPr>
        <w:tc>
          <w:tcPr>
            <w:tcW w:type="dxa" w:w="4873"/>
            <w:vAlign w:val="center"/>
          </w:tcPr>
          <w:p>
            <w:pPr>
              <w:spacing w:line="276" w:lineRule="auto" w:before="0" w:after="0"/>
            </w:pPr>
            <w:r/>
            <w:r>
              <w:rPr>
                <w:rFonts w:ascii="Figtree" w:hAnsi="Figtree"/>
                <w:b w:val="0"/>
                <w:i w:val="0"/>
                <w:sz w:val="20"/>
              </w:rPr>
              <w:t>Multi-year commitment discount</w:t>
            </w:r>
          </w:p>
        </w:tc>
        <w:tc>
          <w:tcPr>
            <w:tcW w:type="dxa" w:w="4873"/>
            <w:vAlign w:val="center"/>
          </w:tcPr>
          <w:p>
            <w:pPr>
              <w:spacing w:line="276" w:lineRule="auto" w:before="0" w:after="0"/>
            </w:pPr>
            <w:r/>
            <w:r>
              <w:rPr>
                <w:rFonts w:ascii="Figtree" w:hAnsi="Figtree"/>
                <w:b w:val="0"/>
                <w:i w:val="0"/>
                <w:sz w:val="20"/>
              </w:rPr>
              <w:t>Single-year commitment</w:t>
            </w:r>
          </w:p>
        </w:tc>
      </w:tr>
    </w:tbl>
    <w:p>
      <w:pPr>
        <w:spacing w:before="0" w:after="0" w:line="120" w:lineRule="exact"/>
      </w:pPr>
    </w:p>
    <w:p>
      <w:r>
        <w:br w:type="page"/>
      </w:r>
    </w:p>
    <w:p>
      <w:pPr>
        <w:pStyle w:val="H1"/>
        <w:numPr>
          <w:ilvl w:val="0"/>
          <w:numId w:val="1"/>
        </w:numPr>
      </w:pPr>
      <w:r>
        <w:t>Support and SLA Framework</w:t>
      </w:r>
    </w:p>
    <w:p>
      <w:pPr>
        <w:pStyle w:val="H2"/>
        <w:numPr>
          <w:ilvl w:val="1"/>
          <w:numId w:val="1"/>
        </w:numPr>
      </w:pPr>
      <w:r>
        <w:t>Tiers</w:t>
      </w: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CIB's fixed income programme. Premium provides the extended coverage hours, dedicated support engineer, and 2-hour P1 response time appropriate for a business-critical deployment operating under CBE regulatory oversight.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76"/>
        <w:gridCol w:w="1967"/>
        <w:gridCol w:w="3497"/>
        <w:gridCol w:w="153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07:00 to 22:00 CET + P1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Email, portal, Slack, phone</w:t>
            </w:r>
          </w:p>
        </w:tc>
        <w:tc>
          <w:tcPr>
            <w:tcW w:type="dxa" w:w="2436"/>
            <w:vAlign w:val="center"/>
          </w:tcPr>
          <w:p>
            <w:pPr>
              <w:spacing w:line="276" w:lineRule="auto" w:before="0" w:after="0"/>
            </w:pPr>
            <w:r/>
            <w:r>
              <w:rPr>
                <w:rFonts w:ascii="Figtree" w:hAnsi="Figtree"/>
                <w:b w:val="0"/>
                <w:i w:val="0"/>
                <w:sz w:val="20"/>
              </w:rPr>
              <w:t>All +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3</w:t>
            </w:r>
          </w:p>
        </w:tc>
        <w:tc>
          <w:tcPr>
            <w:tcW w:type="dxa" w:w="2436"/>
            <w:vAlign w:val="center"/>
          </w:tcPr>
          <w:p>
            <w:pPr>
              <w:spacing w:line="276" w:lineRule="auto" w:before="0" w:after="0"/>
            </w:pPr>
            <w:r/>
            <w:r>
              <w:rPr>
                <w:rFonts w:ascii="Figtree" w:hAnsi="Figtree"/>
                <w:b w:val="0"/>
                <w:i w:val="0"/>
                <w:sz w:val="20"/>
              </w:rPr>
              <w:t>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w:t>
            </w:r>
          </w:p>
        </w:tc>
        <w:tc>
          <w:tcPr>
            <w:tcW w:type="dxa" w:w="2436"/>
            <w:vAlign w:val="center"/>
          </w:tcPr>
          <w:p>
            <w:pPr>
              <w:spacing w:line="276" w:lineRule="auto" w:before="0" w:after="0"/>
            </w:pPr>
            <w:r/>
            <w:r>
              <w:rPr>
                <w:rFonts w:ascii="Figtree" w:hAnsi="Figtree"/>
                <w:b w:val="0"/>
                <w:i w:val="0"/>
                <w:sz w:val="20"/>
              </w:rPr>
              <w:t>99.95%</w:t>
            </w:r>
          </w:p>
        </w:tc>
        <w:tc>
          <w:tcPr>
            <w:tcW w:type="dxa" w:w="2436"/>
            <w:vAlign w:val="center"/>
          </w:tcPr>
          <w:p>
            <w:pPr>
              <w:spacing w:line="276" w:lineRule="auto" w:before="0" w:after="0"/>
            </w:pPr>
            <w:r/>
            <w:r>
              <w:rPr>
                <w:rFonts w:ascii="Figtree" w:hAnsi="Figtree"/>
                <w:b w:val="0"/>
                <w:i w:val="0"/>
                <w:sz w:val="20"/>
              </w:rPr>
              <w:t>99.99%</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Dedicated team</w:t>
            </w:r>
          </w:p>
        </w:tc>
      </w:tr>
      <w:tr>
        <w:trPr>
          <w:trHeight w:val="425" w:hRule="atLeast"/>
        </w:trPr>
        <w:tc>
          <w:tcPr>
            <w:tcW w:type="dxa" w:w="2436"/>
            <w:vAlign w:val="center"/>
          </w:tcPr>
          <w:p>
            <w:pPr>
              <w:spacing w:line="276" w:lineRule="auto" w:before="0" w:after="0"/>
            </w:pPr>
            <w:r/>
            <w:r>
              <w:rPr>
                <w:rFonts w:ascii="Figtree" w:hAnsi="Figtree"/>
                <w:b w:val="0"/>
                <w:i w:val="0"/>
                <w:sz w:val="20"/>
              </w:rPr>
              <w:t>Release cycle</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w:t>
            </w:r>
          </w:p>
        </w:tc>
      </w:tr>
      <w:tr>
        <w:trPr>
          <w:trHeight w:val="425" w:hRule="atLeast"/>
        </w:trPr>
        <w:tc>
          <w:tcPr>
            <w:tcW w:type="dxa" w:w="2436"/>
            <w:vAlign w:val="center"/>
          </w:tcPr>
          <w:p>
            <w:pPr>
              <w:spacing w:line="276" w:lineRule="auto" w:before="0" w:after="0"/>
            </w:pPr>
            <w:r/>
            <w:r>
              <w:rPr>
                <w:rFonts w:ascii="Figtree" w:hAnsi="Figtree"/>
                <w:b w:val="0"/>
                <w:i w:val="0"/>
                <w:sz w:val="20"/>
              </w:rPr>
              <w:t>Account review</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 + technical deep-dive</w:t>
            </w:r>
          </w:p>
        </w:tc>
        <w:tc>
          <w:tcPr>
            <w:tcW w:type="dxa" w:w="2436"/>
            <w:vAlign w:val="center"/>
          </w:tcPr>
          <w:p>
            <w:pPr>
              <w:spacing w:line="276" w:lineRule="auto" w:before="0" w:after="0"/>
            </w:pPr>
            <w:r/>
            <w:r>
              <w:rPr>
                <w:rFonts w:ascii="Figtree" w:hAnsi="Figtree"/>
                <w:b w:val="0"/>
                <w:i w:val="0"/>
                <w:sz w:val="20"/>
              </w:rPr>
              <w:t>Continuous</w:t>
            </w:r>
          </w:p>
        </w:tc>
      </w:tr>
    </w:tbl>
    <w:p>
      <w:pPr>
        <w:spacing w:before="0" w:after="0" w:line="120" w:lineRule="exact"/>
      </w:pPr>
    </w:p>
    <w:p>
      <w:pPr>
        <w:pStyle w:val="H2"/>
        <w:numPr>
          <w:ilvl w:val="1"/>
          <w:numId w:val="1"/>
        </w:numPr>
      </w:pPr>
      <w:r>
        <w:t>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8"/>
        <w:gridCol w:w="4306"/>
        <w:gridCol w:w="1466"/>
        <w:gridCol w:w="22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or major function unavailable</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business impact, partial workaround</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impairment</w:t>
            </w:r>
          </w:p>
        </w:tc>
        <w:tc>
          <w:tcPr>
            <w:tcW w:type="dxa" w:w="2436"/>
            <w:vAlign w:val="center"/>
          </w:tcPr>
          <w:p>
            <w:pPr>
              <w:spacing w:line="276" w:lineRule="auto" w:before="0" w:after="0"/>
            </w:pPr>
            <w:r/>
            <w:r>
              <w:rPr>
                <w:rFonts w:ascii="Figtree" w:hAnsi="Figtree"/>
                <w:b w:val="0"/>
                <w:i w:val="0"/>
                <w:sz w:val="20"/>
              </w:rPr>
              <w:t>8 business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issue, workaround available</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2"/>
        <w:numPr>
          <w:ilvl w:val="1"/>
          <w:numId w:val="1"/>
        </w:numPr>
      </w:pPr>
      <w:r>
        <w:t>Uptime SLA</w:t>
      </w:r>
    </w:p>
    <w:p>
      <w:r>
        <w:rPr>
          <w:rFonts w:ascii="Figtree" w:hAnsi="Figtree"/>
          <w:b w:val="0"/>
          <w:i w:val="0"/>
          <w:sz w:val="22"/>
        </w:rPr>
        <w:t>Premium support includes a 99.95% monthly uptime target for managed infrastructure, translating to a maximum of approximately 22 minutes of unplanned downtime per month. Uptime is measured against the platform's API availability and core lifecycle functions.</w:t>
      </w:r>
    </w:p>
    <w:p>
      <w:pPr>
        <w:pStyle w:val="H2"/>
        <w:numPr>
          <w:ilvl w:val="1"/>
          <w:numId w:val="1"/>
        </w:numPr>
      </w:pPr>
      <w:r>
        <w:t>Escalation</w:t>
      </w:r>
    </w:p>
    <w:p>
      <w:r>
        <w:rPr>
          <w:rFonts w:ascii="Figtree" w:hAnsi="Figtree"/>
          <w:b w:val="0"/>
          <w:i w:val="0"/>
          <w:sz w:val="22"/>
        </w:rPr>
        <w:t>Escalation follows a structured path: assigned support engineer, support team lead, engineering management, executive management. Automatic escalation triggers activate if response or resolution targets are at risk. CIB can initiate manual escalation at any time through the dedicated Slack channel or phone.</w:t>
      </w:r>
    </w:p>
    <w:p>
      <w:pPr>
        <w:pStyle w:val="H2"/>
        <w:numPr>
          <w:ilvl w:val="1"/>
          <w:numId w:val="1"/>
        </w:numPr>
      </w:pPr>
      <w:r>
        <w:t>Maintenance</w:t>
      </w:r>
    </w:p>
    <w:p>
      <w:r>
        <w:rPr>
          <w:rFonts w:ascii="Figtree" w:hAnsi="Figtree"/>
          <w:b w:val="0"/>
          <w:i w:val="0"/>
          <w:sz w:val="22"/>
        </w:rPr>
        <w:t>Scheduled maintenance windows are coordinated with CIB's change management process with minimum 72-hour advance notification. Monthly release cycles under Premium support include release notes, migration guides, and staged rollout. Critical security patches are deployed outside the standard cycle with 24-hour priority notification.</w:t>
      </w:r>
    </w:p>
    <w:p>
      <w:r>
        <w:br w:type="page"/>
      </w:r>
    </w:p>
    <w:p>
      <w:pPr>
        <w:pStyle w:val="H1"/>
        <w:numPr>
          <w:ilvl w:val="0"/>
          <w:numId w:val="1"/>
        </w:numPr>
      </w:pPr>
      <w:r>
        <w:t>Implementation Investment</w:t>
      </w:r>
    </w:p>
    <w:p>
      <w:pPr>
        <w:pStyle w:val="H2"/>
        <w:numPr>
          <w:ilvl w:val="1"/>
          <w:numId w:val="1"/>
        </w:numPr>
      </w:pPr>
      <w:r>
        <w:t>Methodology</w:t>
      </w:r>
    </w:p>
    <w:p>
      <w:r>
        <w:rPr>
          <w:rFonts w:ascii="Figtree" w:hAnsi="Figtree"/>
          <w:b w:val="0"/>
          <w:i w:val="0"/>
          <w:sz w:val="22"/>
        </w:rPr>
        <w:t>SettleMint follows a 19-week phase-gated implementation methodology with formal gate reviews between each phase. The methodology has been refined through production implementations at regulated banks, sovereign entities, and market infrastructure providers. Phase gates reduce delivery risk by requiring sign-off on defined deliverables before proceeding.</w:t>
      </w:r>
    </w:p>
    <w:p>
      <w:pPr>
        <w:pStyle w:val="H2"/>
        <w:numPr>
          <w:ilvl w:val="1"/>
          <w:numId w:val="1"/>
        </w:numPr>
      </w:pPr>
      <w:r>
        <w:t>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3"/>
        <w:gridCol w:w="764"/>
        <w:gridCol w:w="57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1 to 3</w:t>
            </w:r>
          </w:p>
        </w:tc>
        <w:tc>
          <w:tcPr>
            <w:tcW w:type="dxa" w:w="3249"/>
            <w:vAlign w:val="center"/>
          </w:tcPr>
          <w:p>
            <w:pPr>
              <w:spacing w:line="276" w:lineRule="auto" w:before="0" w:after="0"/>
            </w:pPr>
            <w:r/>
            <w:r>
              <w:rPr>
                <w:rFonts w:ascii="Figtree" w:hAnsi="Figtree"/>
                <w:b w:val="0"/>
                <w:i w:val="0"/>
                <w:sz w:val="20"/>
              </w:rPr>
              <w:t>Validate requirements, design architecture, map regulatory landscape</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4 to 7</w:t>
            </w:r>
          </w:p>
        </w:tc>
        <w:tc>
          <w:tcPr>
            <w:tcW w:type="dxa" w:w="3249"/>
            <w:vAlign w:val="center"/>
          </w:tcPr>
          <w:p>
            <w:pPr>
              <w:spacing w:line="276" w:lineRule="auto" w:before="0" w:after="0"/>
            </w:pPr>
            <w:r/>
            <w:r>
              <w:rPr>
                <w:rFonts w:ascii="Figtree" w:hAnsi="Figtree"/>
                <w:b w:val="0"/>
                <w:i w:val="0"/>
                <w:sz w:val="20"/>
              </w:rPr>
              <w:t>Provision environments, configure assets and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8 to 11</w:t>
            </w:r>
          </w:p>
        </w:tc>
        <w:tc>
          <w:tcPr>
            <w:tcW w:type="dxa" w:w="3249"/>
            <w:vAlign w:val="center"/>
          </w:tcPr>
          <w:p>
            <w:pPr>
              <w:spacing w:line="276" w:lineRule="auto" w:before="0" w:after="0"/>
            </w:pPr>
            <w:r/>
            <w:r>
              <w:rPr>
                <w:rFonts w:ascii="Figtree" w:hAnsi="Figtree"/>
                <w:b w:val="0"/>
                <w:i w:val="0"/>
                <w:sz w:val="20"/>
              </w:rPr>
              <w:t>Complete integrations, validate compliance enforcement end-to-end</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12 to 15</w:t>
            </w:r>
          </w:p>
        </w:tc>
        <w:tc>
          <w:tcPr>
            <w:tcW w:type="dxa" w:w="3249"/>
            <w:vAlign w:val="center"/>
          </w:tcPr>
          <w:p>
            <w:pPr>
              <w:spacing w:line="276" w:lineRule="auto" w:before="0" w:after="0"/>
            </w:pPr>
            <w:r/>
            <w:r>
              <w:rPr>
                <w:rFonts w:ascii="Figtree" w:hAnsi="Figtree"/>
                <w:b w:val="0"/>
                <w:i w:val="0"/>
                <w:sz w:val="20"/>
              </w:rPr>
              <w:t>Functional, NFR, security, DR testing, UAT, and training</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16 to 17</w:t>
            </w:r>
          </w:p>
        </w:tc>
        <w:tc>
          <w:tcPr>
            <w:tcW w:type="dxa" w:w="3249"/>
            <w:vAlign w:val="center"/>
          </w:tcPr>
          <w:p>
            <w:pPr>
              <w:spacing w:line="276" w:lineRule="auto" w:before="0" w:after="0"/>
            </w:pPr>
            <w:r/>
            <w:r>
              <w:rPr>
                <w:rFonts w:ascii="Figtree" w:hAnsi="Figtree"/>
                <w:b w:val="0"/>
                <w:i w:val="0"/>
                <w:sz w:val="20"/>
              </w:rPr>
              <w:t>Production cutover with controlled transition</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18 to 21</w:t>
            </w:r>
          </w:p>
        </w:tc>
        <w:tc>
          <w:tcPr>
            <w:tcW w:type="dxa" w:w="3249"/>
            <w:vAlign w:val="center"/>
          </w:tcPr>
          <w:p>
            <w:pPr>
              <w:spacing w:line="276" w:lineRule="auto" w:before="0" w:after="0"/>
            </w:pPr>
            <w:r/>
            <w:r>
              <w:rPr>
                <w:rFonts w:ascii="Figtree" w:hAnsi="Figtree"/>
                <w:b w:val="0"/>
                <w:i w:val="0"/>
                <w:sz w:val="20"/>
              </w:rPr>
              <w:t>Intensive monitoring, optimization, operational handover</w:t>
            </w:r>
          </w:p>
        </w:tc>
      </w:tr>
    </w:tbl>
    <w:p>
      <w:pPr>
        <w:spacing w:before="0" w:after="0" w:line="120" w:lineRule="exact"/>
      </w:pPr>
    </w:p>
    <w:p>
      <w:pPr>
        <w:pStyle w:val="H2"/>
        <w:numPr>
          <w:ilvl w:val="1"/>
          <w:numId w:val="1"/>
        </w:numPr>
      </w:pPr>
      <w:r>
        <w:t>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969"/>
        <w:gridCol w:w="1275"/>
        <w:gridCol w:w="38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Milestone: Gate 1 approval</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Milestone: Gate 2 approval</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Milestone: Gate 3 approval</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Milestone: Gate 4 approval</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Milestone: Gate 5 approval</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Fixed fee</w:t>
            </w:r>
          </w:p>
        </w:tc>
        <w:tc>
          <w:tcPr>
            <w:tcW w:type="dxa" w:w="3249"/>
            <w:vAlign w:val="center"/>
          </w:tcPr>
          <w:p>
            <w:pPr>
              <w:spacing w:line="276" w:lineRule="auto" w:before="0" w:after="0"/>
            </w:pPr>
            <w:r/>
            <w:r>
              <w:rPr>
                <w:rFonts w:ascii="Figtree" w:hAnsi="Figtree"/>
                <w:b w:val="0"/>
                <w:i w:val="0"/>
                <w:sz w:val="20"/>
              </w:rPr>
              <w:t>Completion of 4-week period</w:t>
            </w:r>
          </w:p>
        </w:tc>
      </w:tr>
    </w:tbl>
    <w:p>
      <w:pPr>
        <w:spacing w:before="0" w:after="0" w:line="120" w:lineRule="exact"/>
      </w:pPr>
    </w:p>
    <w:p>
      <w:r>
        <w:rPr>
          <w:rFonts w:ascii="Figtree" w:hAnsi="Figtree"/>
          <w:b w:val="0"/>
          <w:i w:val="0"/>
          <w:sz w:val="22"/>
        </w:rPr>
        <w:t>All implementation fees are milestone-based, payable upon completion and acceptance of each phase's deliverables. Specific pricing to be finalized during commercial discussions based on validated scope from the Discovery phase.</w:t>
      </w:r>
    </w:p>
    <w:p>
      <w:pPr>
        <w:pStyle w:val="H2"/>
        <w:numPr>
          <w:ilvl w:val="1"/>
          <w:numId w:val="1"/>
        </w:numPr>
      </w:pPr>
      <w:r>
        <w:t>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59"/>
        <w:gridCol w:w="461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Accelerators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Risk Factors</w:t>
            </w:r>
          </w:p>
        </w:tc>
      </w:tr>
      <w:tr>
        <w:trPr>
          <w:trHeight w:val="425" w:hRule="atLeast"/>
        </w:trPr>
        <w:tc>
          <w:tcPr>
            <w:tcW w:type="dxa" w:w="4873"/>
            <w:vAlign w:val="center"/>
          </w:tcPr>
          <w:p>
            <w:pPr>
              <w:spacing w:line="276" w:lineRule="auto" w:before="0" w:after="0"/>
            </w:pPr>
            <w:r/>
            <w:r>
              <w:rPr>
                <w:rFonts w:ascii="Figtree" w:hAnsi="Figtree"/>
                <w:b w:val="0"/>
                <w:i w:val="0"/>
                <w:sz w:val="20"/>
              </w:rPr>
              <w:t>Pre-built bond templates reduce configuration time</w:t>
            </w:r>
          </w:p>
        </w:tc>
        <w:tc>
          <w:tcPr>
            <w:tcW w:type="dxa" w:w="4873"/>
            <w:vAlign w:val="center"/>
          </w:tcPr>
          <w:p>
            <w:pPr>
              <w:spacing w:line="276" w:lineRule="auto" w:before="0" w:after="0"/>
            </w:pPr>
            <w:r/>
            <w:r>
              <w:rPr>
                <w:rFonts w:ascii="Figtree" w:hAnsi="Figtree"/>
                <w:b w:val="0"/>
                <w:i w:val="0"/>
                <w:sz w:val="20"/>
              </w:rPr>
              <w:t>On-premises deployment extends timeline by 4 to 8 weeks</w:t>
            </w:r>
          </w:p>
        </w:tc>
      </w:tr>
      <w:tr>
        <w:trPr>
          <w:trHeight w:val="425" w:hRule="atLeast"/>
        </w:trPr>
        <w:tc>
          <w:tcPr>
            <w:tcW w:type="dxa" w:w="4873"/>
            <w:vAlign w:val="center"/>
          </w:tcPr>
          <w:p>
            <w:pPr>
              <w:spacing w:line="276" w:lineRule="auto" w:before="0" w:after="0"/>
            </w:pPr>
            <w:r/>
            <w:r>
              <w:rPr>
                <w:rFonts w:ascii="Figtree" w:hAnsi="Figtree"/>
                <w:b w:val="0"/>
                <w:i w:val="0"/>
                <w:sz w:val="20"/>
              </w:rPr>
              <w:t>Standard compliance module templates for CBE/FRA alignment</w:t>
            </w:r>
          </w:p>
        </w:tc>
        <w:tc>
          <w:tcPr>
            <w:tcW w:type="dxa" w:w="4873"/>
            <w:vAlign w:val="center"/>
          </w:tcPr>
          <w:p>
            <w:pPr>
              <w:spacing w:line="276" w:lineRule="auto" w:before="0" w:after="0"/>
            </w:pPr>
            <w:r/>
            <w:r>
              <w:rPr>
                <w:rFonts w:ascii="Figtree" w:hAnsi="Figtree"/>
                <w:b w:val="0"/>
                <w:i w:val="0"/>
                <w:sz w:val="20"/>
              </w:rPr>
              <w:t>Complex legacy core banking integration may add 2 to 4 weeks</w:t>
            </w:r>
          </w:p>
        </w:tc>
      </w:tr>
      <w:tr>
        <w:trPr>
          <w:trHeight w:val="425" w:hRule="atLeast"/>
        </w:trPr>
        <w:tc>
          <w:tcPr>
            <w:tcW w:type="dxa" w:w="4873"/>
            <w:vAlign w:val="center"/>
          </w:tcPr>
          <w:p>
            <w:pPr>
              <w:spacing w:line="276" w:lineRule="auto" w:before="0" w:after="0"/>
            </w:pPr>
            <w:r/>
            <w:r>
              <w:rPr>
                <w:rFonts w:ascii="Figtree" w:hAnsi="Figtree"/>
                <w:b w:val="0"/>
                <w:i w:val="0"/>
                <w:sz w:val="20"/>
              </w:rPr>
              <w:t>ISO 20022 payment rail integration patterns</w:t>
            </w:r>
          </w:p>
        </w:tc>
        <w:tc>
          <w:tcPr>
            <w:tcW w:type="dxa" w:w="4873"/>
            <w:vAlign w:val="center"/>
          </w:tcPr>
          <w:p>
            <w:pPr>
              <w:spacing w:line="276" w:lineRule="auto" w:before="0" w:after="0"/>
            </w:pPr>
            <w:r/>
            <w:r>
              <w:rPr>
                <w:rFonts w:ascii="Figtree" w:hAnsi="Figtree"/>
                <w:b w:val="0"/>
                <w:i w:val="0"/>
                <w:sz w:val="20"/>
              </w:rPr>
              <w:t>HSM custody setup requires additional lead time</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 from similar deployments</w:t>
            </w:r>
          </w:p>
        </w:tc>
        <w:tc>
          <w:tcPr>
            <w:tcW w:type="dxa" w:w="4873"/>
            <w:vAlign w:val="center"/>
          </w:tcPr>
          <w:p>
            <w:pPr>
              <w:spacing w:line="276" w:lineRule="auto" w:before="0" w:after="0"/>
            </w:pPr>
            <w:r/>
            <w:r>
              <w:rPr>
                <w:rFonts w:ascii="Figtree" w:hAnsi="Figtree"/>
                <w:b w:val="0"/>
                <w:i w:val="0"/>
                <w:sz w:val="20"/>
              </w:rPr>
              <w:t>Regulatory approval dependencies outside SettleMint control</w:t>
            </w:r>
          </w:p>
        </w:tc>
      </w:tr>
      <w:tr>
        <w:trPr>
          <w:trHeight w:val="425" w:hRule="atLeast"/>
        </w:trPr>
        <w:tc>
          <w:tcPr>
            <w:tcW w:type="dxa" w:w="4873"/>
            <w:vAlign w:val="center"/>
          </w:tcPr>
          <w:p>
            <w:pPr>
              <w:spacing w:line="276" w:lineRule="auto" w:before="0" w:after="0"/>
            </w:pPr>
            <w:r/>
            <w:r>
              <w:rPr>
                <w:rFonts w:ascii="Figtree" w:hAnsi="Figtree"/>
                <w:b w:val="0"/>
                <w:i w:val="0"/>
                <w:sz w:val="20"/>
              </w:rPr>
              <w:t>SDK and CLI for rapid integration development</w:t>
            </w:r>
          </w:p>
        </w:tc>
        <w:tc>
          <w:tcPr>
            <w:tcW w:type="dxa" w:w="4873"/>
            <w:vAlign w:val="center"/>
          </w:tcPr>
          <w:p>
            <w:pPr>
              <w:spacing w:line="276" w:lineRule="auto" w:before="0" w:after="0"/>
            </w:pPr>
            <w:r/>
            <w:r>
              <w:rPr>
                <w:rFonts w:ascii="Figtree" w:hAnsi="Figtree"/>
                <w:b w:val="0"/>
                <w:i w:val="0"/>
                <w:sz w:val="20"/>
              </w:rPr>
              <w:t>Limited CIB resource availability extends Discovery</w:t>
            </w:r>
          </w:p>
        </w:tc>
      </w:tr>
    </w:tbl>
    <w:p>
      <w:pPr>
        <w:spacing w:before="0" w:after="0" w:line="120" w:lineRule="exact"/>
      </w:pPr>
    </w:p>
    <w:p>
      <w:pPr>
        <w:pStyle w:val="H2"/>
        <w:numPr>
          <w:ilvl w:val="1"/>
          <w:numId w:val="1"/>
        </w:numPr>
      </w:pPr>
      <w:r>
        <w:t>Training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1"/>
        <w:gridCol w:w="5484"/>
        <w:gridCol w:w="9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Configuration, monitoring, compliance management</w:t>
            </w:r>
          </w:p>
        </w:tc>
        <w:tc>
          <w:tcPr>
            <w:tcW w:type="dxa" w:w="3249"/>
            <w:vAlign w:val="center"/>
          </w:tcPr>
          <w:p>
            <w:pPr>
              <w:spacing w:line="276" w:lineRule="auto" w:before="0" w:after="0"/>
            </w:pPr>
            <w:r/>
            <w:r>
              <w:rPr>
                <w:rFonts w:ascii="Figtree" w:hAnsi="Figtree"/>
                <w:b w:val="0"/>
                <w:i w:val="0"/>
                <w:sz w:val="20"/>
              </w:rPr>
              <w:t>3 days</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developers</w:t>
            </w:r>
          </w:p>
        </w:tc>
        <w:tc>
          <w:tcPr>
            <w:tcW w:type="dxa" w:w="3249"/>
            <w:vAlign w:val="center"/>
          </w:tcPr>
          <w:p>
            <w:pPr>
              <w:spacing w:line="276" w:lineRule="auto" w:before="0" w:after="0"/>
            </w:pPr>
            <w:r/>
            <w:r>
              <w:rPr>
                <w:rFonts w:ascii="Figtree" w:hAnsi="Figtree"/>
                <w:b w:val="0"/>
                <w:i w:val="0"/>
                <w:sz w:val="20"/>
              </w:rPr>
              <w:t>API, SDK, CLI, webhook patterns</w:t>
            </w:r>
          </w:p>
        </w:tc>
        <w:tc>
          <w:tcPr>
            <w:tcW w:type="dxa" w:w="3249"/>
            <w:vAlign w:val="center"/>
          </w:tcPr>
          <w:p>
            <w:pPr>
              <w:spacing w:line="276" w:lineRule="auto" w:before="0" w:after="0"/>
            </w:pPr>
            <w:r/>
            <w:r>
              <w:rPr>
                <w:rFonts w:ascii="Figtree" w:hAnsi="Figtree"/>
                <w:b w:val="0"/>
                <w:i w:val="0"/>
                <w:sz w:val="20"/>
              </w:rPr>
              <w:t>2 days</w:t>
            </w:r>
          </w:p>
        </w:tc>
      </w:tr>
      <w:tr>
        <w:trPr>
          <w:trHeight w:val="425" w:hRule="atLeast"/>
        </w:trPr>
        <w:tc>
          <w:tcPr>
            <w:tcW w:type="dxa" w:w="3249"/>
            <w:vAlign w:val="center"/>
          </w:tcPr>
          <w:p>
            <w:pPr>
              <w:spacing w:line="276" w:lineRule="auto" w:before="0" w:after="0"/>
            </w:pPr>
            <w:r/>
            <w:r>
              <w:rPr>
                <w:rFonts w:ascii="Figtree" w:hAnsi="Figtree"/>
                <w:b w:val="0"/>
                <w:i w:val="0"/>
                <w:sz w:val="20"/>
              </w:rPr>
              <w:t>Business operations</w:t>
            </w:r>
          </w:p>
        </w:tc>
        <w:tc>
          <w:tcPr>
            <w:tcW w:type="dxa" w:w="3249"/>
            <w:vAlign w:val="center"/>
          </w:tcPr>
          <w:p>
            <w:pPr>
              <w:spacing w:line="276" w:lineRule="auto" w:before="0" w:after="0"/>
            </w:pPr>
            <w:r/>
            <w:r>
              <w:rPr>
                <w:rFonts w:ascii="Figtree" w:hAnsi="Figtree"/>
                <w:b w:val="0"/>
                <w:i w:val="0"/>
                <w:sz w:val="20"/>
              </w:rPr>
              <w:t>Bond lifecycle, servicing oversight, reporting</w:t>
            </w:r>
          </w:p>
        </w:tc>
        <w:tc>
          <w:tcPr>
            <w:tcW w:type="dxa" w:w="3249"/>
            <w:vAlign w:val="center"/>
          </w:tcPr>
          <w:p>
            <w:pPr>
              <w:spacing w:line="276" w:lineRule="auto" w:before="0" w:after="0"/>
            </w:pPr>
            <w:r/>
            <w:r>
              <w:rPr>
                <w:rFonts w:ascii="Figtree" w:hAnsi="Figtree"/>
                <w:b w:val="0"/>
                <w:i w:val="0"/>
                <w:sz w:val="20"/>
              </w:rPr>
              <w:t>2 days</w:t>
            </w:r>
          </w:p>
        </w:tc>
      </w:tr>
    </w:tbl>
    <w:p>
      <w:pPr>
        <w:spacing w:before="0" w:after="0" w:line="120" w:lineRule="exact"/>
      </w:pPr>
    </w:p>
    <w:p>
      <w:r>
        <w:br w:type="page"/>
      </w:r>
    </w:p>
    <w:p>
      <w:pPr>
        <w:pStyle w:val="H1"/>
        <w:numPr>
          <w:ilvl w:val="0"/>
          <w:numId w:val="1"/>
        </w:numPr>
      </w:pPr>
      <w:r>
        <w:t>Commercial Terms</w:t>
      </w:r>
    </w:p>
    <w:p>
      <w:pPr>
        <w:pStyle w:val="H2"/>
        <w:numPr>
          <w:ilvl w:val="1"/>
          <w:numId w:val="1"/>
        </w:numPr>
      </w:pPr>
      <w:r>
        <w:t>Contract Structure</w:t>
      </w:r>
    </w:p>
    <w:p>
      <w:r>
        <w:rPr>
          <w:rFonts w:ascii="Figtree" w:hAnsi="Figtree"/>
          <w:b w:val="0"/>
          <w:i w:val="0"/>
          <w:sz w:val="22"/>
        </w:rPr>
        <w:t>The commercial engagement comprises three primary agreements: the DALP Platform License Agreement (annual subscription), the Implementation Services Agreement (project delivery), and the Support Services Agreement (ongoing operational support). Each agreement can be co-terminated or renewed independently, providing CIB with flexibility in managing the commercial relationship.</w:t>
      </w:r>
    </w:p>
    <w:p>
      <w:pPr>
        <w:pStyle w:val="H2"/>
        <w:numPr>
          <w:ilvl w:val="1"/>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68"/>
        <w:gridCol w:w="2801"/>
        <w:gridCol w:w="32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w:t>
            </w:r>
          </w:p>
        </w:tc>
        <w:tc>
          <w:tcPr>
            <w:tcW w:type="dxa" w:w="3249"/>
            <w:vAlign w:val="center"/>
          </w:tcPr>
          <w:p>
            <w:pPr>
              <w:spacing w:line="276" w:lineRule="auto" w:before="0" w:after="0"/>
            </w:pPr>
            <w:r/>
            <w:r>
              <w:rPr>
                <w:rFonts w:ascii="Figtree" w:hAnsi="Figtree"/>
                <w:b w:val="0"/>
                <w:i w:val="0"/>
                <w:sz w:val="20"/>
              </w:rPr>
              <w:t>Annual</w:t>
            </w:r>
          </w:p>
        </w:tc>
        <w:tc>
          <w:tcPr>
            <w:tcW w:type="dxa" w:w="3249"/>
            <w:vAlign w:val="center"/>
          </w:tcPr>
          <w:p>
            <w:pPr>
              <w:spacing w:line="276" w:lineRule="auto" w:before="0" w:after="0"/>
            </w:pPr>
            <w:r/>
            <w:r>
              <w:rPr>
                <w:rFonts w:ascii="Figtree" w:hAnsi="Figtree"/>
                <w:b w:val="0"/>
                <w:i w:val="0"/>
                <w:sz w:val="20"/>
              </w:rPr>
              <w:t>Contract execution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w:t>
            </w:r>
          </w:p>
        </w:tc>
        <w:tc>
          <w:tcPr>
            <w:tcW w:type="dxa" w:w="3249"/>
            <w:vAlign w:val="center"/>
          </w:tcPr>
          <w:p>
            <w:pPr>
              <w:spacing w:line="276" w:lineRule="auto" w:before="0" w:after="0"/>
            </w:pPr>
            <w:r/>
            <w:r>
              <w:rPr>
                <w:rFonts w:ascii="Figtree" w:hAnsi="Figtree"/>
                <w:b w:val="0"/>
                <w:i w:val="0"/>
                <w:sz w:val="20"/>
              </w:rPr>
              <w:t>Phase gate acceptance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Annual (or quarterly)</w:t>
            </w:r>
          </w:p>
        </w:tc>
        <w:tc>
          <w:tcPr>
            <w:tcW w:type="dxa" w:w="3249"/>
            <w:vAlign w:val="center"/>
          </w:tcPr>
          <w:p>
            <w:pPr>
              <w:spacing w:line="276" w:lineRule="auto" w:before="0" w:after="0"/>
            </w:pPr>
            <w:r/>
            <w:r>
              <w:rPr>
                <w:rFonts w:ascii="Figtree" w:hAnsi="Figtree"/>
                <w:b w:val="0"/>
                <w:i w:val="0"/>
                <w:sz w:val="20"/>
              </w:rPr>
              <w:t>Go-live</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w:t>
            </w:r>
          </w:p>
        </w:tc>
        <w:tc>
          <w:tcPr>
            <w:tcW w:type="dxa" w:w="3249"/>
            <w:vAlign w:val="center"/>
          </w:tcPr>
          <w:p>
            <w:pPr>
              <w:spacing w:line="276" w:lineRule="auto" w:before="0" w:after="0"/>
            </w:pPr>
            <w:r/>
            <w:r>
              <w:rPr>
                <w:rFonts w:ascii="Figtree" w:hAnsi="Figtree"/>
                <w:b w:val="0"/>
                <w:i w:val="0"/>
                <w:sz w:val="20"/>
              </w:rPr>
              <w:t>Monthly or annual</w:t>
            </w:r>
          </w:p>
        </w:tc>
        <w:tc>
          <w:tcPr>
            <w:tcW w:type="dxa" w:w="3249"/>
            <w:vAlign w:val="center"/>
          </w:tcPr>
          <w:p>
            <w:pPr>
              <w:spacing w:line="276" w:lineRule="auto" w:before="0" w:after="0"/>
            </w:pPr>
            <w:r/>
            <w:r>
              <w:rPr>
                <w:rFonts w:ascii="Figtree" w:hAnsi="Figtree"/>
                <w:b w:val="0"/>
                <w:i w:val="0"/>
                <w:sz w:val="20"/>
              </w:rPr>
              <w:t>Environment provisioning</w:t>
            </w:r>
          </w:p>
        </w:tc>
      </w:tr>
    </w:tbl>
    <w:p>
      <w:pPr>
        <w:spacing w:before="0" w:after="0" w:line="120" w:lineRule="exact"/>
      </w:pPr>
    </w:p>
    <w:p>
      <w:pPr>
        <w:pStyle w:val="H2"/>
        <w:numPr>
          <w:ilvl w:val="1"/>
          <w:numId w:val="1"/>
        </w:numPr>
      </w:pPr>
      <w:r>
        <w:t>Duration</w:t>
      </w:r>
    </w:p>
    <w:p>
      <w:r>
        <w:rPr>
          <w:rFonts w:ascii="Figtree" w:hAnsi="Figtree"/>
          <w:b w:val="0"/>
          <w:i w:val="0"/>
          <w:sz w:val="22"/>
        </w:rPr>
        <w:t>The recommended initial license term is 3 years, with the license term commencing upon contract execution. Multi-year commitments provide pricing advantages and align with the strategic nature of CIB's fixed income programme. The implementation timeline is separate from the license term; platform access begins during implementation to support configuration and testing.</w:t>
      </w:r>
    </w:p>
    <w:p>
      <w:pPr>
        <w:pStyle w:val="H2"/>
        <w:numPr>
          <w:ilvl w:val="1"/>
          <w:numId w:val="1"/>
        </w:numPr>
      </w:pPr>
      <w:r>
        <w:t>Renewal</w:t>
      </w:r>
    </w:p>
    <w:p>
      <w:r>
        <w:rPr>
          <w:rFonts w:ascii="Figtree" w:hAnsi="Figtree"/>
          <w:b w:val="0"/>
          <w:i w:val="0"/>
          <w:sz w:val="22"/>
        </w:rPr>
        <w:t>Renewal follows a 90-day notice process before term expiration. Renewal pricing is based on the then-current rate card with applicable loyalty adjustments. Early renewal discussions are welcomed to provide CIB with planning certainty.</w:t>
      </w:r>
    </w:p>
    <w:p>
      <w:pPr>
        <w:pStyle w:val="H2"/>
        <w:numPr>
          <w:ilvl w:val="1"/>
          <w:numId w:val="1"/>
        </w:numPr>
      </w:pPr>
      <w:r>
        <w:t>Termination</w:t>
      </w:r>
    </w:p>
    <w:p>
      <w:r>
        <w:rPr>
          <w:rFonts w:ascii="Figtree" w:hAnsi="Figtree"/>
          <w:b w:val="0"/>
          <w:i w:val="0"/>
          <w:sz w:val="22"/>
        </w:rPr>
        <w:t>Either party may terminate for material breach with a 30-day cure period. SettleMint provides 90 days of data export support following termination, ensuring CIB retains access to all platform data in standard formats. Post-termination transition support is available as a separately priced service if required.</w:t>
      </w:r>
    </w:p>
    <w:p>
      <w:pPr>
        <w:pStyle w:val="H2"/>
        <w:numPr>
          <w:ilvl w:val="1"/>
          <w:numId w:val="1"/>
        </w:numPr>
      </w:pPr>
      <w:r>
        <w:t>Intellectual Property</w:t>
      </w:r>
    </w:p>
    <w:p>
      <w:r>
        <w:rPr>
          <w:rFonts w:ascii="Figtree" w:hAnsi="Figtree"/>
          <w:b w:val="0"/>
          <w:i w:val="0"/>
          <w:sz w:val="22"/>
        </w:rPr>
        <w:t>DALP platform intellectual property remains the property of SettleMint NV. CIB retains full ownership of all data processed through the platform, including investor records, transaction history, compliance evidence, and operational data. Configuration work (bond templates, compliance module settings, integration mappings) created during implementation is jointly usable. Any custom integrations built by CIB using the SDK and APIs are CIB's property.</w:t>
      </w:r>
    </w:p>
    <w:p>
      <w:pPr>
        <w:pStyle w:val="H2"/>
        <w:numPr>
          <w:ilvl w:val="1"/>
          <w:numId w:val="1"/>
        </w:numPr>
      </w:pPr>
      <w:r>
        <w:t>Liability</w:t>
      </w:r>
    </w:p>
    <w:p>
      <w:r>
        <w:rPr>
          <w:rFonts w:ascii="Figtree" w:hAnsi="Figtree"/>
          <w:b w:val="0"/>
          <w:i w:val="0"/>
          <w:sz w:val="22"/>
        </w:rPr>
        <w:t>Liability is capped at the annual license and support fees paid by CIB in the 12 months preceding the claim. Exclusions apply to consequential damages, lost profits, and force majeure events. The specific liability framework is subject to final contract negotiation.</w:t>
      </w:r>
    </w:p>
    <w:p>
      <w:pPr>
        <w:pStyle w:val="H2"/>
        <w:numPr>
          <w:ilvl w:val="1"/>
          <w:numId w:val="1"/>
        </w:numPr>
      </w:pPr>
      <w:r>
        <w:t>Confidentiality</w:t>
      </w:r>
    </w:p>
    <w:p>
      <w:r>
        <w:rPr>
          <w:rFonts w:ascii="Figtree" w:hAnsi="Figtree"/>
          <w:b w:val="0"/>
          <w:i w:val="0"/>
          <w:sz w:val="22"/>
        </w:rPr>
        <w:t>Mutual confidentiality obligations apply for a period of 3 years following disclosure. Standard exceptions apply for publicly available information, independently developed information, and legally compelled disclosures. Both parties agree to protect each other's confidential information with the same degree of care applied to their own.</w:t>
      </w:r>
    </w:p>
    <w:p>
      <w:pPr>
        <w:pStyle w:val="H2"/>
        <w:numPr>
          <w:ilvl w:val="1"/>
          <w:numId w:val="1"/>
        </w:numPr>
      </w:pPr>
      <w:r>
        <w:t>Escrow</w:t>
      </w:r>
    </w:p>
    <w:p>
      <w:r>
        <w:rPr>
          <w:rFonts w:ascii="Figtree" w:hAnsi="Figtree"/>
          <w:b w:val="0"/>
          <w:i w:val="0"/>
          <w:sz w:val="22"/>
        </w:rPr>
        <w:t>Source code escrow can be arranged through an independent third-party escrow agent if CIB requires continuity assurance. Escrow release conditions, including vendor insolvency, material breach, or discontinuation of the product, are negotiated separately. Escrow is an optional mechanism available upon request.</w:t>
      </w:r>
    </w:p>
    <w:p>
      <w:r>
        <w:br w:type="page"/>
      </w:r>
    </w:p>
    <w:p>
      <w:pPr>
        <w:pStyle w:val="H1"/>
        <w:numPr>
          <w:ilvl w:val="0"/>
          <w:numId w:val="1"/>
        </w:numPr>
      </w:pPr>
      <w:r>
        <w:t>Total Cost of Ownership</w:t>
      </w:r>
    </w:p>
    <w:p>
      <w:pPr>
        <w:pStyle w:val="H2"/>
        <w:numPr>
          <w:ilvl w:val="1"/>
          <w:numId w:val="1"/>
        </w:numPr>
      </w:pPr>
      <w:r>
        <w:t>TCO Framework</w:t>
      </w:r>
    </w:p>
    <w:p>
      <w:r>
        <w:rPr>
          <w:rFonts w:ascii="Figtree" w:hAnsi="Figtree"/>
          <w:b w:val="0"/>
          <w:i w:val="0"/>
          <w:sz w:val="22"/>
        </w:rPr>
        <w:t>A meaningful TCO comparison for CIB's fixed income programme must account for more than software licensing. The total cost of operating a tokenized fixed income platform includes platform costs, infrastructure, implementation, ongoing support and maintenance, internal operational resources, integration maintenance, compliance operations, and audit preparation. DALP's value becomes apparent when these categories are compared across three alternatives: DALP deployment, internal build, and multi-vendor assembly.</w:t>
      </w:r>
    </w:p>
    <w:p>
      <w:pPr>
        <w:pStyle w:val="H2"/>
        <w:numPr>
          <w:ilvl w:val="1"/>
          <w:numId w:val="1"/>
        </w:numPr>
      </w:pPr>
      <w:r>
        <w:t>3-Year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46"/>
        <w:gridCol w:w="1658"/>
        <w:gridCol w:w="1560"/>
        <w:gridCol w:w="1560"/>
        <w:gridCol w:w="214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Annual fee</w:t>
            </w:r>
          </w:p>
        </w:tc>
        <w:tc>
          <w:tcPr>
            <w:tcW w:type="dxa" w:w="1949"/>
            <w:vAlign w:val="center"/>
          </w:tcPr>
          <w:p>
            <w:pPr>
              <w:spacing w:line="276" w:lineRule="auto" w:before="0" w:after="0"/>
            </w:pPr>
            <w:r/>
            <w:r>
              <w:rPr>
                <w:rFonts w:ascii="Figtree" w:hAnsi="Figtree"/>
                <w:b w:val="0"/>
                <w:i w:val="0"/>
                <w:sz w:val="20"/>
              </w:rPr>
              <w:t>Annual fee</w:t>
            </w:r>
          </w:p>
        </w:tc>
        <w:tc>
          <w:tcPr>
            <w:tcW w:type="dxa" w:w="1949"/>
            <w:vAlign w:val="center"/>
          </w:tcPr>
          <w:p>
            <w:pPr>
              <w:spacing w:line="276" w:lineRule="auto" w:before="0" w:after="0"/>
            </w:pPr>
            <w:r/>
            <w:r>
              <w:rPr>
                <w:rFonts w:ascii="Figtree" w:hAnsi="Figtree"/>
                <w:b w:val="0"/>
                <w:i w:val="0"/>
                <w:sz w:val="20"/>
              </w:rPr>
              <w:t>Annual fee</w:t>
            </w:r>
          </w:p>
        </w:tc>
        <w:tc>
          <w:tcPr>
            <w:tcW w:type="dxa" w:w="1949"/>
            <w:vAlign w:val="center"/>
          </w:tcPr>
          <w:p>
            <w:pPr>
              <w:spacing w:line="276" w:lineRule="auto" w:before="0" w:after="0"/>
            </w:pPr>
            <w:r/>
            <w:r>
              <w:rPr>
                <w:rFonts w:ascii="Figtree" w:hAnsi="Figtree"/>
                <w:b w:val="0"/>
                <w:i w:val="0"/>
                <w:sz w:val="20"/>
              </w:rPr>
              <w:t>3x annual fee</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Full programme</w:t>
            </w:r>
          </w:p>
        </w:tc>
        <w:tc>
          <w:tcPr>
            <w:tcW w:type="dxa" w:w="1949"/>
            <w:vAlign w:val="center"/>
          </w:tcPr>
          <w:p>
            <w:pPr>
              <w:spacing w:line="276" w:lineRule="auto" w:before="0" w:after="0"/>
            </w:pPr>
            <w:r/>
            <w:r>
              <w:rPr>
                <w:rFonts w:ascii="Figtree" w:hAnsi="Figtree"/>
                <w:b w:val="0"/>
                <w:i w:val="0"/>
                <w:sz w:val="20"/>
              </w:rPr>
              <w:t>None</w:t>
            </w:r>
          </w:p>
        </w:tc>
        <w:tc>
          <w:tcPr>
            <w:tcW w:type="dxa" w:w="1949"/>
            <w:vAlign w:val="center"/>
          </w:tcPr>
          <w:p>
            <w:pPr>
              <w:spacing w:line="276" w:lineRule="auto" w:before="0" w:after="0"/>
            </w:pPr>
            <w:r/>
            <w:r>
              <w:rPr>
                <w:rFonts w:ascii="Figtree" w:hAnsi="Figtree"/>
                <w:b w:val="0"/>
                <w:i w:val="0"/>
                <w:sz w:val="20"/>
              </w:rPr>
              <w:t>None</w:t>
            </w:r>
          </w:p>
        </w:tc>
        <w:tc>
          <w:tcPr>
            <w:tcW w:type="dxa" w:w="1949"/>
            <w:vAlign w:val="center"/>
          </w:tcPr>
          <w:p>
            <w:pPr>
              <w:spacing w:line="276" w:lineRule="auto" w:before="0" w:after="0"/>
            </w:pPr>
            <w:r/>
            <w:r>
              <w:rPr>
                <w:rFonts w:ascii="Figtree" w:hAnsi="Figtree"/>
                <w:b w:val="0"/>
                <w:i w:val="0"/>
                <w:sz w:val="20"/>
              </w:rPr>
              <w:t>One-time</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Annual hosting</w:t>
            </w:r>
          </w:p>
        </w:tc>
        <w:tc>
          <w:tcPr>
            <w:tcW w:type="dxa" w:w="1949"/>
            <w:vAlign w:val="center"/>
          </w:tcPr>
          <w:p>
            <w:pPr>
              <w:spacing w:line="276" w:lineRule="auto" w:before="0" w:after="0"/>
            </w:pPr>
            <w:r/>
            <w:r>
              <w:rPr>
                <w:rFonts w:ascii="Figtree" w:hAnsi="Figtree"/>
                <w:b w:val="0"/>
                <w:i w:val="0"/>
                <w:sz w:val="20"/>
              </w:rPr>
              <w:t>Annual hosting</w:t>
            </w:r>
          </w:p>
        </w:tc>
        <w:tc>
          <w:tcPr>
            <w:tcW w:type="dxa" w:w="1949"/>
            <w:vAlign w:val="center"/>
          </w:tcPr>
          <w:p>
            <w:pPr>
              <w:spacing w:line="276" w:lineRule="auto" w:before="0" w:after="0"/>
            </w:pPr>
            <w:r/>
            <w:r>
              <w:rPr>
                <w:rFonts w:ascii="Figtree" w:hAnsi="Figtree"/>
                <w:b w:val="0"/>
                <w:i w:val="0"/>
                <w:sz w:val="20"/>
              </w:rPr>
              <w:t>Annual hosting</w:t>
            </w:r>
          </w:p>
        </w:tc>
        <w:tc>
          <w:tcPr>
            <w:tcW w:type="dxa" w:w="1949"/>
            <w:vAlign w:val="center"/>
          </w:tcPr>
          <w:p>
            <w:pPr>
              <w:spacing w:line="276" w:lineRule="auto" w:before="0" w:after="0"/>
            </w:pPr>
            <w:r/>
            <w:r>
              <w:rPr>
                <w:rFonts w:ascii="Figtree" w:hAnsi="Figtree"/>
                <w:b w:val="0"/>
                <w:i w:val="0"/>
                <w:sz w:val="20"/>
              </w:rPr>
              <w:t>3x annual</w:t>
            </w:r>
          </w:p>
        </w:tc>
      </w:tr>
      <w:tr>
        <w:trPr>
          <w:trHeight w:val="425" w:hRule="atLeast"/>
        </w:trPr>
        <w:tc>
          <w:tcPr>
            <w:tcW w:type="dxa" w:w="1949"/>
            <w:vAlign w:val="center"/>
          </w:tcPr>
          <w:p>
            <w:pPr>
              <w:spacing w:line="276" w:lineRule="auto" w:before="0" w:after="0"/>
            </w:pPr>
            <w:r/>
            <w:r>
              <w:rPr>
                <w:rFonts w:ascii="Figtree" w:hAnsi="Figtree"/>
                <w:b w:val="0"/>
                <w:i w:val="0"/>
                <w:sz w:val="20"/>
              </w:rPr>
              <w:t>Support (Premium)</w:t>
            </w:r>
          </w:p>
        </w:tc>
        <w:tc>
          <w:tcPr>
            <w:tcW w:type="dxa" w:w="1949"/>
            <w:vAlign w:val="center"/>
          </w:tcPr>
          <w:p>
            <w:pPr>
              <w:spacing w:line="276" w:lineRule="auto" w:before="0" w:after="0"/>
            </w:pPr>
            <w:r/>
            <w:r>
              <w:rPr>
                <w:rFonts w:ascii="Figtree" w:hAnsi="Figtree"/>
                <w:b w:val="0"/>
                <w:i w:val="0"/>
                <w:sz w:val="20"/>
              </w:rPr>
              <w:t>Annual fee</w:t>
            </w:r>
          </w:p>
        </w:tc>
        <w:tc>
          <w:tcPr>
            <w:tcW w:type="dxa" w:w="1949"/>
            <w:vAlign w:val="center"/>
          </w:tcPr>
          <w:p>
            <w:pPr>
              <w:spacing w:line="276" w:lineRule="auto" w:before="0" w:after="0"/>
            </w:pPr>
            <w:r/>
            <w:r>
              <w:rPr>
                <w:rFonts w:ascii="Figtree" w:hAnsi="Figtree"/>
                <w:b w:val="0"/>
                <w:i w:val="0"/>
                <w:sz w:val="20"/>
              </w:rPr>
              <w:t>Annual fee</w:t>
            </w:r>
          </w:p>
        </w:tc>
        <w:tc>
          <w:tcPr>
            <w:tcW w:type="dxa" w:w="1949"/>
            <w:vAlign w:val="center"/>
          </w:tcPr>
          <w:p>
            <w:pPr>
              <w:spacing w:line="276" w:lineRule="auto" w:before="0" w:after="0"/>
            </w:pPr>
            <w:r/>
            <w:r>
              <w:rPr>
                <w:rFonts w:ascii="Figtree" w:hAnsi="Figtree"/>
                <w:b w:val="0"/>
                <w:i w:val="0"/>
                <w:sz w:val="20"/>
              </w:rPr>
              <w:t>Annual fee</w:t>
            </w:r>
          </w:p>
        </w:tc>
        <w:tc>
          <w:tcPr>
            <w:tcW w:type="dxa" w:w="1949"/>
            <w:vAlign w:val="center"/>
          </w:tcPr>
          <w:p>
            <w:pPr>
              <w:spacing w:line="276" w:lineRule="auto" w:before="0" w:after="0"/>
            </w:pPr>
            <w:r/>
            <w:r>
              <w:rPr>
                <w:rFonts w:ascii="Figtree" w:hAnsi="Figtree"/>
                <w:b w:val="0"/>
                <w:i w:val="0"/>
                <w:sz w:val="20"/>
              </w:rPr>
              <w:t>3x annual</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Initial programme</w:t>
            </w:r>
          </w:p>
        </w:tc>
        <w:tc>
          <w:tcPr>
            <w:tcW w:type="dxa" w:w="1949"/>
            <w:vAlign w:val="center"/>
          </w:tcPr>
          <w:p>
            <w:pPr>
              <w:spacing w:line="276" w:lineRule="auto" w:before="0" w:after="0"/>
            </w:pPr>
            <w:r/>
            <w:r>
              <w:rPr>
                <w:rFonts w:ascii="Figtree" w:hAnsi="Figtree"/>
                <w:b w:val="0"/>
                <w:i w:val="0"/>
                <w:sz w:val="20"/>
              </w:rPr>
              <w:t>Refresher</w:t>
            </w:r>
          </w:p>
        </w:tc>
        <w:tc>
          <w:tcPr>
            <w:tcW w:type="dxa" w:w="1949"/>
            <w:vAlign w:val="center"/>
          </w:tcPr>
          <w:p>
            <w:pPr>
              <w:spacing w:line="276" w:lineRule="auto" w:before="0" w:after="0"/>
            </w:pPr>
            <w:r/>
            <w:r>
              <w:rPr>
                <w:rFonts w:ascii="Figtree" w:hAnsi="Figtree"/>
                <w:b w:val="0"/>
                <w:i w:val="0"/>
                <w:sz w:val="20"/>
              </w:rPr>
              <w:t>Refresher</w:t>
            </w:r>
          </w:p>
        </w:tc>
        <w:tc>
          <w:tcPr>
            <w:tcW w:type="dxa" w:w="1949"/>
            <w:vAlign w:val="center"/>
          </w:tcPr>
          <w:p>
            <w:pPr>
              <w:spacing w:line="276" w:lineRule="auto" w:before="0" w:after="0"/>
            </w:pPr>
            <w:r/>
            <w:r>
              <w:rPr>
                <w:rFonts w:ascii="Figtree" w:hAnsi="Figtree"/>
                <w:b w:val="0"/>
                <w:i w:val="0"/>
                <w:sz w:val="20"/>
              </w:rPr>
              <w:t>Initial + 2x refresher</w:t>
            </w:r>
          </w:p>
        </w:tc>
      </w:tr>
      <w:tr>
        <w:trPr>
          <w:trHeight w:val="425" w:hRule="atLeast"/>
        </w:trPr>
        <w:tc>
          <w:tcPr>
            <w:tcW w:type="dxa" w:w="1949"/>
            <w:vAlign w:val="center"/>
          </w:tcPr>
          <w:p>
            <w:pPr>
              <w:spacing w:line="276" w:lineRule="auto" w:before="0" w:after="0"/>
            </w:pPr>
            <w:r/>
            <w:r>
              <w:rPr>
                <w:rFonts w:ascii="Figtree" w:hAnsi="Figtree"/>
                <w:b w:val="0"/>
                <w:i w:val="0"/>
                <w:sz w:val="20"/>
              </w:rPr>
              <w:t>CIB internal resources</w:t>
            </w:r>
          </w:p>
        </w:tc>
        <w:tc>
          <w:tcPr>
            <w:tcW w:type="dxa" w:w="1949"/>
            <w:vAlign w:val="center"/>
          </w:tcPr>
          <w:p>
            <w:pPr>
              <w:spacing w:line="276" w:lineRule="auto" w:before="0" w:after="0"/>
            </w:pPr>
            <w:r/>
            <w:r>
              <w:rPr>
                <w:rFonts w:ascii="Figtree" w:hAnsi="Figtree"/>
                <w:b w:val="0"/>
                <w:i w:val="0"/>
                <w:sz w:val="20"/>
              </w:rPr>
              <w:t>2 to 3 operators</w:t>
            </w:r>
          </w:p>
        </w:tc>
        <w:tc>
          <w:tcPr>
            <w:tcW w:type="dxa" w:w="1949"/>
            <w:vAlign w:val="center"/>
          </w:tcPr>
          <w:p>
            <w:pPr>
              <w:spacing w:line="276" w:lineRule="auto" w:before="0" w:after="0"/>
            </w:pPr>
            <w:r/>
            <w:r>
              <w:rPr>
                <w:rFonts w:ascii="Figtree" w:hAnsi="Figtree"/>
                <w:b w:val="0"/>
                <w:i w:val="0"/>
                <w:sz w:val="20"/>
              </w:rPr>
              <w:t>2 to 3 operators</w:t>
            </w:r>
          </w:p>
        </w:tc>
        <w:tc>
          <w:tcPr>
            <w:tcW w:type="dxa" w:w="1949"/>
            <w:vAlign w:val="center"/>
          </w:tcPr>
          <w:p>
            <w:pPr>
              <w:spacing w:line="276" w:lineRule="auto" w:before="0" w:after="0"/>
            </w:pPr>
            <w:r/>
            <w:r>
              <w:rPr>
                <w:rFonts w:ascii="Figtree" w:hAnsi="Figtree"/>
                <w:b w:val="0"/>
                <w:i w:val="0"/>
                <w:sz w:val="20"/>
              </w:rPr>
              <w:t>2 to 3 operators</w:t>
            </w:r>
          </w:p>
        </w:tc>
        <w:tc>
          <w:tcPr>
            <w:tcW w:type="dxa" w:w="1949"/>
            <w:vAlign w:val="center"/>
          </w:tcPr>
          <w:p>
            <w:pPr>
              <w:spacing w:line="276" w:lineRule="auto" w:before="0" w:after="0"/>
            </w:pPr>
            <w:r/>
            <w:r>
              <w:rPr>
                <w:rFonts w:ascii="Figtree" w:hAnsi="Figtree"/>
                <w:b w:val="0"/>
                <w:i w:val="0"/>
                <w:sz w:val="20"/>
              </w:rPr>
              <w:t>Ongoing</w:t>
            </w:r>
          </w:p>
        </w:tc>
      </w:tr>
    </w:tbl>
    <w:p>
      <w:pPr>
        <w:spacing w:before="0" w:after="0" w:line="120" w:lineRule="exact"/>
      </w:pPr>
    </w:p>
    <w:p>
      <w:r>
        <w:rPr>
          <w:rFonts w:ascii="Figtree" w:hAnsi="Figtree"/>
          <w:b w:val="0"/>
          <w:i w:val="0"/>
          <w:sz w:val="22"/>
        </w:rPr>
        <w:t>Note: Specific pricing to be determined following scope validation during the Discovery phase.</w:t>
      </w:r>
    </w:p>
    <w:p>
      <w:pPr>
        <w:pStyle w:val="H2"/>
        <w:numPr>
          <w:ilvl w:val="1"/>
          <w:numId w:val="1"/>
        </w:numPr>
      </w:pPr>
      <w:r>
        <w:t>5-Year Model</w:t>
      </w:r>
    </w:p>
    <w:p>
      <w:r>
        <w:rPr>
          <w:rFonts w:ascii="Figtree" w:hAnsi="Figtree"/>
          <w:b w:val="0"/>
          <w:i w:val="0"/>
          <w:sz w:val="22"/>
        </w:rPr>
        <w:t>Years 4 and 5 reflect steady-state operations with the potential for programme expansion. If CIB adds additional asset classes (equities, funds, deposits) in years 3 to 5, the incremental cost is limited to configuration and integration services; the platform license covers all asset classes. Multi-year license commitments provide pricing advantages that reduce the effective annual cost.</w:t>
      </w:r>
    </w:p>
    <w:p>
      <w:pPr>
        <w:pStyle w:val="H2"/>
        <w:numPr>
          <w:ilvl w:val="1"/>
          <w:numId w:val="1"/>
        </w:numPr>
      </w:pPr>
      <w:r>
        <w:t>Comparative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6"/>
        <w:gridCol w:w="2425"/>
        <w:gridCol w:w="2425"/>
        <w:gridCol w:w="22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Time to production</w:t>
            </w:r>
          </w:p>
        </w:tc>
        <w:tc>
          <w:tcPr>
            <w:tcW w:type="dxa" w:w="2436"/>
            <w:vAlign w:val="center"/>
          </w:tcPr>
          <w:p>
            <w:pPr>
              <w:spacing w:line="276" w:lineRule="auto" w:before="0" w:after="0"/>
            </w:pPr>
            <w:r/>
            <w:r>
              <w:rPr>
                <w:rFonts w:ascii="Figtree" w:hAnsi="Figtree"/>
                <w:b w:val="0"/>
                <w:i w:val="0"/>
                <w:sz w:val="20"/>
              </w:rPr>
              <w:t>19 weeks</w:t>
            </w:r>
          </w:p>
        </w:tc>
        <w:tc>
          <w:tcPr>
            <w:tcW w:type="dxa" w:w="2436"/>
            <w:vAlign w:val="center"/>
          </w:tcPr>
          <w:p>
            <w:pPr>
              <w:spacing w:line="276" w:lineRule="auto" w:before="0" w:after="0"/>
            </w:pPr>
            <w:r/>
            <w:r>
              <w:rPr>
                <w:rFonts w:ascii="Figtree" w:hAnsi="Figtree"/>
                <w:b w:val="0"/>
                <w:i w:val="0"/>
                <w:sz w:val="20"/>
              </w:rPr>
              <w:t>18 to 24 months</w:t>
            </w:r>
          </w:p>
        </w:tc>
        <w:tc>
          <w:tcPr>
            <w:tcW w:type="dxa" w:w="2436"/>
            <w:vAlign w:val="center"/>
          </w:tcPr>
          <w:p>
            <w:pPr>
              <w:spacing w:line="276" w:lineRule="auto" w:before="0" w:after="0"/>
            </w:pPr>
            <w:r/>
            <w:r>
              <w:rPr>
                <w:rFonts w:ascii="Figtree" w:hAnsi="Figtree"/>
                <w:b w:val="0"/>
                <w:i w:val="0"/>
                <w:sz w:val="20"/>
              </w:rPr>
              <w:t>9 to 12 months</w:t>
            </w:r>
          </w:p>
        </w:tc>
      </w:tr>
      <w:tr>
        <w:trPr>
          <w:trHeight w:val="425" w:hRule="atLeast"/>
        </w:trPr>
        <w:tc>
          <w:tcPr>
            <w:tcW w:type="dxa" w:w="2436"/>
            <w:vAlign w:val="center"/>
          </w:tcPr>
          <w:p>
            <w:pPr>
              <w:spacing w:line="276" w:lineRule="auto" w:before="0" w:after="0"/>
            </w:pPr>
            <w:r/>
            <w:r>
              <w:rPr>
                <w:rFonts w:ascii="Figtree" w:hAnsi="Figtree"/>
                <w:b w:val="0"/>
                <w:i w:val="0"/>
                <w:sz w:val="20"/>
              </w:rPr>
              <w:t>Ongoing engineering</w:t>
            </w:r>
          </w:p>
        </w:tc>
        <w:tc>
          <w:tcPr>
            <w:tcW w:type="dxa" w:w="2436"/>
            <w:vAlign w:val="center"/>
          </w:tcPr>
          <w:p>
            <w:pPr>
              <w:spacing w:line="276" w:lineRule="auto" w:before="0" w:after="0"/>
            </w:pPr>
            <w:r/>
            <w:r>
              <w:rPr>
                <w:rFonts w:ascii="Figtree" w:hAnsi="Figtree"/>
                <w:b w:val="0"/>
                <w:i w:val="0"/>
                <w:sz w:val="20"/>
              </w:rPr>
              <w:t>Platform operator (2 to 3)</w:t>
            </w:r>
          </w:p>
        </w:tc>
        <w:tc>
          <w:tcPr>
            <w:tcW w:type="dxa" w:w="2436"/>
            <w:vAlign w:val="center"/>
          </w:tcPr>
          <w:p>
            <w:pPr>
              <w:spacing w:line="276" w:lineRule="auto" w:before="0" w:after="0"/>
            </w:pPr>
            <w:r/>
            <w:r>
              <w:rPr>
                <w:rFonts w:ascii="Figtree" w:hAnsi="Figtree"/>
                <w:b w:val="0"/>
                <w:i w:val="0"/>
                <w:sz w:val="20"/>
              </w:rPr>
              <w:t>Full team (5 to 8)</w:t>
            </w:r>
          </w:p>
        </w:tc>
        <w:tc>
          <w:tcPr>
            <w:tcW w:type="dxa" w:w="2436"/>
            <w:vAlign w:val="center"/>
          </w:tcPr>
          <w:p>
            <w:pPr>
              <w:spacing w:line="276" w:lineRule="auto" w:before="0" w:after="0"/>
            </w:pPr>
            <w:r/>
            <w:r>
              <w:rPr>
                <w:rFonts w:ascii="Figtree" w:hAnsi="Figtree"/>
                <w:b w:val="0"/>
                <w:i w:val="0"/>
                <w:sz w:val="20"/>
              </w:rPr>
              <w:t>Integration team (3 to 5)</w:t>
            </w:r>
          </w:p>
        </w:tc>
      </w:tr>
      <w:tr>
        <w:trPr>
          <w:trHeight w:val="425" w:hRule="atLeast"/>
        </w:trPr>
        <w:tc>
          <w:tcPr>
            <w:tcW w:type="dxa" w:w="2436"/>
            <w:vAlign w:val="center"/>
          </w:tcPr>
          <w:p>
            <w:pPr>
              <w:spacing w:line="276" w:lineRule="auto" w:before="0" w:after="0"/>
            </w:pPr>
            <w:r/>
            <w:r>
              <w:rPr>
                <w:rFonts w:ascii="Figtree" w:hAnsi="Figtree"/>
                <w:b w:val="0"/>
                <w:i w:val="0"/>
                <w:sz w:val="20"/>
              </w:rPr>
              <w:t>Compliance maintenance</w:t>
            </w:r>
          </w:p>
        </w:tc>
        <w:tc>
          <w:tcPr>
            <w:tcW w:type="dxa" w:w="2436"/>
            <w:vAlign w:val="center"/>
          </w:tcPr>
          <w:p>
            <w:pPr>
              <w:spacing w:line="276" w:lineRule="auto" w:before="0" w:after="0"/>
            </w:pPr>
            <w:r/>
            <w:r>
              <w:rPr>
                <w:rFonts w:ascii="Figtree" w:hAnsi="Figtree"/>
                <w:b w:val="0"/>
                <w:i w:val="0"/>
                <w:sz w:val="20"/>
              </w:rPr>
              <w:t>Included (18 modules)</w:t>
            </w:r>
          </w:p>
        </w:tc>
        <w:tc>
          <w:tcPr>
            <w:tcW w:type="dxa" w:w="2436"/>
            <w:vAlign w:val="center"/>
          </w:tcPr>
          <w:p>
            <w:pPr>
              <w:spacing w:line="276" w:lineRule="auto" w:before="0" w:after="0"/>
            </w:pPr>
            <w:r/>
            <w:r>
              <w:rPr>
                <w:rFonts w:ascii="Figtree" w:hAnsi="Figtree"/>
                <w:b w:val="0"/>
                <w:i w:val="0"/>
                <w:sz w:val="20"/>
              </w:rPr>
              <w:t>Custom development</w:t>
            </w:r>
          </w:p>
        </w:tc>
        <w:tc>
          <w:tcPr>
            <w:tcW w:type="dxa" w:w="2436"/>
            <w:vAlign w:val="center"/>
          </w:tcPr>
          <w:p>
            <w:pPr>
              <w:spacing w:line="276" w:lineRule="auto" w:before="0" w:after="0"/>
            </w:pPr>
            <w:r/>
            <w:r>
              <w:rPr>
                <w:rFonts w:ascii="Figtree" w:hAnsi="Figtree"/>
                <w:b w:val="0"/>
                <w:i w:val="0"/>
                <w:sz w:val="20"/>
              </w:rPr>
              <w:t>Per-vendor compliance</w:t>
            </w:r>
          </w:p>
        </w:tc>
      </w:tr>
      <w:tr>
        <w:trPr>
          <w:trHeight w:val="425" w:hRule="atLeast"/>
        </w:trPr>
        <w:tc>
          <w:tcPr>
            <w:tcW w:type="dxa" w:w="2436"/>
            <w:vAlign w:val="center"/>
          </w:tcPr>
          <w:p>
            <w:pPr>
              <w:spacing w:line="276" w:lineRule="auto" w:before="0" w:after="0"/>
            </w:pPr>
            <w:r/>
            <w:r>
              <w:rPr>
                <w:rFonts w:ascii="Figtree" w:hAnsi="Figtree"/>
                <w:b w:val="0"/>
                <w:i w:val="0"/>
                <w:sz w:val="20"/>
              </w:rPr>
              <w:t>Settlement capability</w:t>
            </w:r>
          </w:p>
        </w:tc>
        <w:tc>
          <w:tcPr>
            <w:tcW w:type="dxa" w:w="2436"/>
            <w:vAlign w:val="center"/>
          </w:tcPr>
          <w:p>
            <w:pPr>
              <w:spacing w:line="276" w:lineRule="auto" w:before="0" w:after="0"/>
            </w:pPr>
            <w:r/>
            <w:r>
              <w:rPr>
                <w:rFonts w:ascii="Figtree" w:hAnsi="Figtree"/>
                <w:b w:val="0"/>
                <w:i w:val="0"/>
                <w:sz w:val="20"/>
              </w:rPr>
              <w:t>Atomic DvP, T+0</w:t>
            </w:r>
          </w:p>
        </w:tc>
        <w:tc>
          <w:tcPr>
            <w:tcW w:type="dxa" w:w="2436"/>
            <w:vAlign w:val="center"/>
          </w:tcPr>
          <w:p>
            <w:pPr>
              <w:spacing w:line="276" w:lineRule="auto" w:before="0" w:after="0"/>
            </w:pPr>
            <w:r/>
            <w:r>
              <w:rPr>
                <w:rFonts w:ascii="Figtree" w:hAnsi="Figtree"/>
                <w:b w:val="0"/>
                <w:i w:val="0"/>
                <w:sz w:val="20"/>
              </w:rPr>
              <w:t>Custom development required</w:t>
            </w:r>
          </w:p>
        </w:tc>
        <w:tc>
          <w:tcPr>
            <w:tcW w:type="dxa" w:w="2436"/>
            <w:vAlign w:val="center"/>
          </w:tcPr>
          <w:p>
            <w:pPr>
              <w:spacing w:line="276" w:lineRule="auto" w:before="0" w:after="0"/>
            </w:pPr>
            <w:r/>
            <w:r>
              <w:rPr>
                <w:rFonts w:ascii="Figtree" w:hAnsi="Figtree"/>
                <w:b w:val="0"/>
                <w:i w:val="0"/>
                <w:sz w:val="20"/>
              </w:rPr>
              <w:t>Integration dependent</w:t>
            </w:r>
          </w:p>
        </w:tc>
      </w:tr>
      <w:tr>
        <w:trPr>
          <w:trHeight w:val="425" w:hRule="atLeast"/>
        </w:trPr>
        <w:tc>
          <w:tcPr>
            <w:tcW w:type="dxa" w:w="2436"/>
            <w:vAlign w:val="center"/>
          </w:tcPr>
          <w:p>
            <w:pPr>
              <w:spacing w:line="276" w:lineRule="auto" w:before="0" w:after="0"/>
            </w:pPr>
            <w:r/>
            <w:r>
              <w:rPr>
                <w:rFonts w:ascii="Figtree" w:hAnsi="Figtree"/>
                <w:b w:val="0"/>
                <w:i w:val="0"/>
                <w:sz w:val="20"/>
              </w:rPr>
              <w:t>Lifecycle servicing</w:t>
            </w:r>
          </w:p>
        </w:tc>
        <w:tc>
          <w:tcPr>
            <w:tcW w:type="dxa" w:w="2436"/>
            <w:vAlign w:val="center"/>
          </w:tcPr>
          <w:p>
            <w:pPr>
              <w:spacing w:line="276" w:lineRule="auto" w:before="0" w:after="0"/>
            </w:pPr>
            <w:r/>
            <w:r>
              <w:rPr>
                <w:rFonts w:ascii="Figtree" w:hAnsi="Figtree"/>
                <w:b w:val="0"/>
                <w:i w:val="0"/>
                <w:sz w:val="20"/>
              </w:rPr>
              <w:t>Automated coupons, maturity</w:t>
            </w:r>
          </w:p>
        </w:tc>
        <w:tc>
          <w:tcPr>
            <w:tcW w:type="dxa" w:w="2436"/>
            <w:vAlign w:val="center"/>
          </w:tcPr>
          <w:p>
            <w:pPr>
              <w:spacing w:line="276" w:lineRule="auto" w:before="0" w:after="0"/>
            </w:pPr>
            <w:r/>
            <w:r>
              <w:rPr>
                <w:rFonts w:ascii="Figtree" w:hAnsi="Figtree"/>
                <w:b w:val="0"/>
                <w:i w:val="0"/>
                <w:sz w:val="20"/>
              </w:rPr>
              <w:t>Custom development required</w:t>
            </w:r>
          </w:p>
        </w:tc>
        <w:tc>
          <w:tcPr>
            <w:tcW w:type="dxa" w:w="2436"/>
            <w:vAlign w:val="center"/>
          </w:tcPr>
          <w:p>
            <w:pPr>
              <w:spacing w:line="276" w:lineRule="auto" w:before="0" w:after="0"/>
            </w:pPr>
            <w:r/>
            <w:r>
              <w:rPr>
                <w:rFonts w:ascii="Figtree" w:hAnsi="Figtree"/>
                <w:b w:val="0"/>
                <w:i w:val="0"/>
                <w:sz w:val="20"/>
              </w:rPr>
              <w:t>Partial, multi-vendor</w:t>
            </w:r>
          </w:p>
        </w:tc>
      </w:tr>
      <w:tr>
        <w:trPr>
          <w:trHeight w:val="425" w:hRule="atLeast"/>
        </w:trPr>
        <w:tc>
          <w:tcPr>
            <w:tcW w:type="dxa" w:w="2436"/>
            <w:vAlign w:val="center"/>
          </w:tcPr>
          <w:p>
            <w:pPr>
              <w:spacing w:line="276" w:lineRule="auto" w:before="0" w:after="0"/>
            </w:pPr>
            <w:r/>
            <w:r>
              <w:rPr>
                <w:rFonts w:ascii="Figtree" w:hAnsi="Figtree"/>
                <w:b w:val="0"/>
                <w:i w:val="0"/>
                <w:sz w:val="20"/>
              </w:rPr>
              <w:t>Multi-asset expansion</w:t>
            </w:r>
          </w:p>
        </w:tc>
        <w:tc>
          <w:tcPr>
            <w:tcW w:type="dxa" w:w="2436"/>
            <w:vAlign w:val="center"/>
          </w:tcPr>
          <w:p>
            <w:pPr>
              <w:spacing w:line="276" w:lineRule="auto" w:before="0" w:after="0"/>
            </w:pPr>
            <w:r/>
            <w:r>
              <w:rPr>
                <w:rFonts w:ascii="Figtree" w:hAnsi="Figtree"/>
                <w:b w:val="0"/>
                <w:i w:val="0"/>
                <w:sz w:val="20"/>
              </w:rPr>
              <w:t>Configuration only</w:t>
            </w:r>
          </w:p>
        </w:tc>
        <w:tc>
          <w:tcPr>
            <w:tcW w:type="dxa" w:w="2436"/>
            <w:vAlign w:val="center"/>
          </w:tcPr>
          <w:p>
            <w:pPr>
              <w:spacing w:line="276" w:lineRule="auto" w:before="0" w:after="0"/>
            </w:pPr>
            <w:r/>
            <w:r>
              <w:rPr>
                <w:rFonts w:ascii="Figtree" w:hAnsi="Figtree"/>
                <w:b w:val="0"/>
                <w:i w:val="0"/>
                <w:sz w:val="20"/>
              </w:rPr>
              <w:t>New development per asset</w:t>
            </w:r>
          </w:p>
        </w:tc>
        <w:tc>
          <w:tcPr>
            <w:tcW w:type="dxa" w:w="2436"/>
            <w:vAlign w:val="center"/>
          </w:tcPr>
          <w:p>
            <w:pPr>
              <w:spacing w:line="276" w:lineRule="auto" w:before="0" w:after="0"/>
            </w:pPr>
            <w:r/>
            <w:r>
              <w:rPr>
                <w:rFonts w:ascii="Figtree" w:hAnsi="Figtree"/>
                <w:b w:val="0"/>
                <w:i w:val="0"/>
                <w:sz w:val="20"/>
              </w:rPr>
              <w:t>New integration per asset</w:t>
            </w:r>
          </w:p>
        </w:tc>
      </w:tr>
      <w:tr>
        <w:trPr>
          <w:trHeight w:val="425" w:hRule="atLeast"/>
        </w:trPr>
        <w:tc>
          <w:tcPr>
            <w:tcW w:type="dxa" w:w="2436"/>
            <w:vAlign w:val="center"/>
          </w:tcPr>
          <w:p>
            <w:pPr>
              <w:spacing w:line="276" w:lineRule="auto" w:before="0" w:after="0"/>
            </w:pPr>
            <w:r/>
            <w:r>
              <w:rPr>
                <w:rFonts w:ascii="Figtree" w:hAnsi="Figtree"/>
                <w:b w:val="0"/>
                <w:i w:val="0"/>
                <w:sz w:val="20"/>
              </w:rPr>
              <w:t>Vendor coordination</w:t>
            </w:r>
          </w:p>
        </w:tc>
        <w:tc>
          <w:tcPr>
            <w:tcW w:type="dxa" w:w="2436"/>
            <w:vAlign w:val="center"/>
          </w:tcPr>
          <w:p>
            <w:pPr>
              <w:spacing w:line="276" w:lineRule="auto" w:before="0" w:after="0"/>
            </w:pPr>
            <w:r/>
            <w:r>
              <w:rPr>
                <w:rFonts w:ascii="Figtree" w:hAnsi="Figtree"/>
                <w:b w:val="0"/>
                <w:i w:val="0"/>
                <w:sz w:val="20"/>
              </w:rPr>
              <w:t>Single partner</w:t>
            </w:r>
          </w:p>
        </w:tc>
        <w:tc>
          <w:tcPr>
            <w:tcW w:type="dxa" w:w="2436"/>
            <w:vAlign w:val="center"/>
          </w:tcPr>
          <w:p>
            <w:pPr>
              <w:spacing w:line="276" w:lineRule="auto" w:before="0" w:after="0"/>
            </w:pPr>
            <w:r/>
            <w:r>
              <w:rPr>
                <w:rFonts w:ascii="Figtree" w:hAnsi="Figtree"/>
                <w:b w:val="0"/>
                <w:i w:val="0"/>
                <w:sz w:val="20"/>
              </w:rPr>
              <w:t>Internal teams</w:t>
            </w:r>
          </w:p>
        </w:tc>
        <w:tc>
          <w:tcPr>
            <w:tcW w:type="dxa" w:w="2436"/>
            <w:vAlign w:val="center"/>
          </w:tcPr>
          <w:p>
            <w:pPr>
              <w:spacing w:line="276" w:lineRule="auto" w:before="0" w:after="0"/>
            </w:pPr>
            <w:r/>
            <w:r>
              <w:rPr>
                <w:rFonts w:ascii="Figtree" w:hAnsi="Figtree"/>
                <w:b w:val="0"/>
                <w:i w:val="0"/>
                <w:sz w:val="20"/>
              </w:rPr>
              <w:t>3+ vendor relationships</w:t>
            </w:r>
          </w:p>
        </w:tc>
      </w:tr>
      <w:tr>
        <w:trPr>
          <w:trHeight w:val="425" w:hRule="atLeast"/>
        </w:trPr>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Structured, exportable</w:t>
            </w:r>
          </w:p>
        </w:tc>
        <w:tc>
          <w:tcPr>
            <w:tcW w:type="dxa" w:w="2436"/>
            <w:vAlign w:val="center"/>
          </w:tcPr>
          <w:p>
            <w:pPr>
              <w:spacing w:line="276" w:lineRule="auto" w:before="0" w:after="0"/>
            </w:pPr>
            <w:r/>
            <w:r>
              <w:rPr>
                <w:rFonts w:ascii="Figtree" w:hAnsi="Figtree"/>
                <w:b w:val="0"/>
                <w:i w:val="0"/>
                <w:sz w:val="20"/>
              </w:rPr>
              <w:t>Custom reporting</w:t>
            </w:r>
          </w:p>
        </w:tc>
        <w:tc>
          <w:tcPr>
            <w:tcW w:type="dxa" w:w="2436"/>
            <w:vAlign w:val="center"/>
          </w:tcPr>
          <w:p>
            <w:pPr>
              <w:spacing w:line="276" w:lineRule="auto" w:before="0" w:after="0"/>
            </w:pPr>
            <w:r/>
            <w:r>
              <w:rPr>
                <w:rFonts w:ascii="Figtree" w:hAnsi="Figtree"/>
                <w:b w:val="0"/>
                <w:i w:val="0"/>
                <w:sz w:val="20"/>
              </w:rPr>
              <w:t>Multi-system assembly</w:t>
            </w:r>
          </w:p>
        </w:tc>
      </w:tr>
    </w:tbl>
    <w:p>
      <w:pPr>
        <w:spacing w:before="0" w:after="0" w:line="120" w:lineRule="exact"/>
      </w:pPr>
    </w:p>
    <w:p>
      <w:r>
        <w:rPr>
          <w:rFonts w:ascii="Figtree" w:hAnsi="Figtree"/>
          <w:b w:val="0"/>
          <w:i w:val="0"/>
          <w:sz w:val="22"/>
        </w:rPr>
        <w:t>The cumulative cost advantage of DALP compounds over time. In year 1, the implementation investment is partially offset by avoiding 18+ months of internal development. By year 3, the elimination of multi-vendor coordination, custom compliance maintenance, and dedicated engineering teams creates significant cost separation. By year 5, with programme expansion across additional asset classes, the platform licensing model delivers further savings as each new asset class requires configuration rather than new procurement.</w:t>
      </w:r>
    </w:p>
    <w:p>
      <w:r>
        <w:br w:type="page"/>
      </w:r>
    </w:p>
    <w:p>
      <w:pPr>
        <w:pStyle w:val="H1"/>
        <w:numPr>
          <w:ilvl w:val="0"/>
          <w:numId w:val="1"/>
        </w:numPr>
      </w:pPr>
      <w:r>
        <w:t>Customer References</w:t>
      </w:r>
    </w:p>
    <w:p>
      <w:pPr>
        <w:pStyle w:val="H2"/>
        <w:numPr>
          <w:ilvl w:val="1"/>
          <w:numId w:val="1"/>
        </w:numPr>
      </w:pPr>
      <w:r>
        <w:t>Track Record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45"/>
        <w:gridCol w:w="1284"/>
        <w:gridCol w:w="1926"/>
        <w:gridCol w:w="1364"/>
        <w:gridCol w:w="305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 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ETP issuance, settlement</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Fixed income, settlement under 10s</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Singapore</w:t>
            </w:r>
          </w:p>
        </w:tc>
        <w:tc>
          <w:tcPr>
            <w:tcW w:type="dxa" w:w="1949"/>
            <w:vAlign w:val="center"/>
          </w:tcPr>
          <w:p>
            <w:pPr>
              <w:spacing w:line="276" w:lineRule="auto" w:before="0" w:after="0"/>
            </w:pPr>
            <w:r/>
            <w:r>
              <w:rPr>
                <w:rFonts w:ascii="Figtree" w:hAnsi="Figtree"/>
                <w:b w:val="0"/>
                <w:i w:val="0"/>
                <w:sz w:val="20"/>
              </w:rPr>
              <w:t>Security token engine</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Tier-1 bank, multi-asset</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w:t>
            </w:r>
          </w:p>
        </w:tc>
        <w:tc>
          <w:tcPr>
            <w:tcW w:type="dxa" w:w="1949"/>
            <w:vAlign w:val="center"/>
          </w:tcPr>
          <w:p>
            <w:pPr>
              <w:spacing w:line="276" w:lineRule="auto" w:before="0" w:after="0"/>
            </w:pPr>
            <w:r/>
            <w:r>
              <w:rPr>
                <w:rFonts w:ascii="Figtree" w:hAnsi="Figtree"/>
                <w:b w:val="0"/>
                <w:i w:val="0"/>
                <w:sz w:val="20"/>
              </w:rPr>
              <w:t>Asia, Africa, ME</w:t>
            </w:r>
          </w:p>
        </w:tc>
        <w:tc>
          <w:tcPr>
            <w:tcW w:type="dxa" w:w="1949"/>
            <w:vAlign w:val="center"/>
          </w:tcPr>
          <w:p>
            <w:pPr>
              <w:spacing w:line="276" w:lineRule="auto" w:before="0" w:after="0"/>
            </w:pPr>
            <w:r/>
            <w:r>
              <w:rPr>
                <w:rFonts w:ascii="Figtree" w:hAnsi="Figtree"/>
                <w:b w:val="0"/>
                <w:i w:val="0"/>
                <w:sz w:val="20"/>
              </w:rPr>
              <w:t>Digital exchange</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Institutional trading, MEA presence</w:t>
            </w:r>
          </w:p>
        </w:tc>
      </w:tr>
      <w:tr>
        <w:trPr>
          <w:trHeight w:val="425" w:hRule="atLeast"/>
        </w:trPr>
        <w:tc>
          <w:tcPr>
            <w:tcW w:type="dxa" w:w="1949"/>
            <w:vAlign w:val="center"/>
          </w:tcPr>
          <w:p>
            <w:pPr>
              <w:spacing w:line="276" w:lineRule="auto" w:before="0" w:after="0"/>
            </w:pPr>
            <w:r/>
            <w:r>
              <w:rPr>
                <w:rFonts w:ascii="Figtree" w:hAnsi="Figtree"/>
                <w:b w:val="0"/>
                <w:i w:val="0"/>
                <w:sz w:val="20"/>
              </w:rPr>
              <w:t>IsDB</w:t>
            </w:r>
          </w:p>
        </w:tc>
        <w:tc>
          <w:tcPr>
            <w:tcW w:type="dxa" w:w="1949"/>
            <w:vAlign w:val="center"/>
          </w:tcPr>
          <w:p>
            <w:pPr>
              <w:spacing w:line="276" w:lineRule="auto" w:before="0" w:after="0"/>
            </w:pPr>
            <w:r/>
            <w:r>
              <w:rPr>
                <w:rFonts w:ascii="Figtree" w:hAnsi="Figtree"/>
                <w:b w:val="0"/>
                <w:i w:val="0"/>
                <w:sz w:val="20"/>
              </w:rPr>
              <w:t>57 countries</w:t>
            </w:r>
          </w:p>
        </w:tc>
        <w:tc>
          <w:tcPr>
            <w:tcW w:type="dxa" w:w="1949"/>
            <w:vAlign w:val="center"/>
          </w:tcPr>
          <w:p>
            <w:pPr>
              <w:spacing w:line="276" w:lineRule="auto" w:before="0" w:after="0"/>
            </w:pPr>
            <w:r/>
            <w:r>
              <w:rPr>
                <w:rFonts w:ascii="Figtree" w:hAnsi="Figtree"/>
                <w:b w:val="0"/>
                <w:i w:val="0"/>
                <w:sz w:val="20"/>
              </w:rPr>
              <w:t>Subsidy distribution</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Multi-jurisdictional governance</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KSA</w:t>
            </w:r>
          </w:p>
        </w:tc>
        <w:tc>
          <w:tcPr>
            <w:tcW w:type="dxa" w:w="1949"/>
            <w:vAlign w:val="center"/>
          </w:tcPr>
          <w:p>
            <w:pPr>
              <w:spacing w:line="276" w:lineRule="auto" w:before="0" w:after="0"/>
            </w:pPr>
            <w:r/>
            <w:r>
              <w:rPr>
                <w:rFonts w:ascii="Figtree" w:hAnsi="Figtree"/>
                <w:b w:val="0"/>
                <w:i w:val="0"/>
                <w:sz w:val="20"/>
              </w:rPr>
              <w:t>Real estate tokenization</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National-scale, enterprise integration</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 with identity</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Identity-integrated finance</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Bond tokenization</w:t>
            </w:r>
          </w:p>
        </w:tc>
        <w:tc>
          <w:tcPr>
            <w:tcW w:type="dxa" w:w="1949"/>
            <w:vAlign w:val="center"/>
          </w:tcPr>
          <w:p>
            <w:pPr>
              <w:spacing w:line="276" w:lineRule="auto" w:before="0" w:after="0"/>
            </w:pPr>
            <w:r/>
            <w:r>
              <w:rPr>
                <w:rFonts w:ascii="Figtree" w:hAnsi="Figtree"/>
                <w:b w:val="0"/>
                <w:i w:val="0"/>
                <w:sz w:val="20"/>
              </w:rPr>
              <w:t>PoC to production</w:t>
            </w:r>
          </w:p>
        </w:tc>
        <w:tc>
          <w:tcPr>
            <w:tcW w:type="dxa" w:w="1949"/>
            <w:vAlign w:val="center"/>
          </w:tcPr>
          <w:p>
            <w:pPr>
              <w:spacing w:line="276" w:lineRule="auto" w:before="0" w:after="0"/>
            </w:pPr>
            <w:r/>
            <w:r>
              <w:rPr>
                <w:rFonts w:ascii="Figtree" w:hAnsi="Figtree"/>
                <w:b w:val="0"/>
                <w:i w:val="0"/>
                <w:sz w:val="20"/>
              </w:rPr>
              <w:t>Fixed income capability</w:t>
            </w:r>
          </w:p>
        </w:tc>
      </w:tr>
      <w:tr>
        <w:trPr>
          <w:trHeight w:val="425" w:hRule="atLeast"/>
        </w:trPr>
        <w:tc>
          <w:tcPr>
            <w:tcW w:type="dxa" w:w="1949"/>
            <w:vAlign w:val="center"/>
          </w:tcPr>
          <w:p>
            <w:pPr>
              <w:spacing w:line="276" w:lineRule="auto" w:before="0" w:after="0"/>
            </w:pPr>
            <w:r/>
            <w:r>
              <w:rPr>
                <w:rFonts w:ascii="Figtree" w:hAnsi="Figtree"/>
                <w:b w:val="0"/>
                <w:i w:val="0"/>
                <w:sz w:val="20"/>
              </w:rPr>
              <w:t>Maybank</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tokenization, XvP</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Atomic settlement</w:t>
            </w:r>
          </w:p>
        </w:tc>
      </w:tr>
    </w:tbl>
    <w:p>
      <w:pPr>
        <w:spacing w:before="0" w:after="0" w:line="120" w:lineRule="exact"/>
      </w:pPr>
    </w:p>
    <w:p>
      <w:pPr>
        <w:pStyle w:val="H2"/>
        <w:numPr>
          <w:ilvl w:val="1"/>
          <w:numId w:val="1"/>
        </w:numPr>
      </w:pPr>
      <w:r>
        <w:t>Case Study: Commerzbank</w:t>
      </w:r>
    </w:p>
    <w:p>
      <w:r>
        <w:rPr>
          <w:rFonts w:ascii="Figtree" w:hAnsi="Figtree"/>
          <w:b/>
          <w:i w:val="0"/>
          <w:sz w:val="22"/>
        </w:rPr>
        <w:t>Context:</w:t>
      </w:r>
      <w:r>
        <w:rPr>
          <w:rFonts w:ascii="Figtree" w:hAnsi="Figtree"/>
          <w:b w:val="0"/>
          <w:i w:val="0"/>
          <w:sz w:val="22"/>
        </w:rPr>
        <w:t xml:space="preserve"> Commerzbank required a hybrid on/off-chain solution for ETP issuance with integration to Boerse Stuttgart's listing service.</w:t>
      </w:r>
    </w:p>
    <w:p>
      <w:r>
        <w:rPr>
          <w:rFonts w:ascii="Figtree" w:hAnsi="Figtree"/>
          <w:b/>
          <w:i w:val="0"/>
          <w:sz w:val="22"/>
        </w:rPr>
        <w:t>Challenge:</w:t>
      </w:r>
      <w:r>
        <w:rPr>
          <w:rFonts w:ascii="Figtree" w:hAnsi="Figtree"/>
          <w:b w:val="0"/>
          <w:i w:val="0"/>
          <w:sz w:val="22"/>
        </w:rPr>
        <w:t xml:space="preserve"> Near real-time clearing and settlement under institutional regulatory oversight, with demonstrable cost advantages over traditional processes.</w:t>
      </w:r>
    </w:p>
    <w:p>
      <w:r>
        <w:rPr>
          <w:rFonts w:ascii="Figtree" w:hAnsi="Figtree"/>
          <w:b/>
          <w:i w:val="0"/>
          <w:sz w:val="22"/>
        </w:rPr>
        <w:t>Solution:</w:t>
      </w:r>
      <w:r>
        <w:rPr>
          <w:rFonts w:ascii="Figtree" w:hAnsi="Figtree"/>
          <w:b w:val="0"/>
          <w:i w:val="0"/>
          <w:sz w:val="22"/>
        </w:rPr>
        <w:t xml:space="preserve"> SettleMint delivered integrated listing, issuance, and settlement with trades cleared in near real time.</w:t>
      </w:r>
    </w:p>
    <w:p>
      <w:r>
        <w:rPr>
          <w:rFonts w:ascii="Figtree" w:hAnsi="Figtree"/>
          <w:b/>
          <w:i w:val="0"/>
          <w:sz w:val="22"/>
        </w:rPr>
        <w:t>Outcome:</w:t>
      </w:r>
      <w:r>
        <w:rPr>
          <w:rFonts w:ascii="Figtree" w:hAnsi="Figtree"/>
          <w:b w:val="0"/>
          <w:i w:val="0"/>
          <w:sz w:val="22"/>
        </w:rPr>
        <w:t xml:space="preserve"> Settlement in under 10 seconds. Model identified EUR 7M annual savings potential. Reduced counterparty risk through atomic settlement.</w:t>
      </w:r>
    </w:p>
    <w:p>
      <w:r>
        <w:rPr>
          <w:rFonts w:ascii="Figtree" w:hAnsi="Figtree"/>
          <w:b/>
          <w:i w:val="0"/>
          <w:sz w:val="22"/>
        </w:rPr>
        <w:t>Transferability:</w:t>
      </w:r>
      <w:r>
        <w:rPr>
          <w:rFonts w:ascii="Figtree" w:hAnsi="Figtree"/>
          <w:b w:val="0"/>
          <w:i w:val="0"/>
          <w:sz w:val="22"/>
        </w:rPr>
        <w:t xml:space="preserve"> Directly demonstrates fixed income platform capability, settlement speed, and institutional-grade operations in a European banking environment.</w:t>
      </w:r>
    </w:p>
    <w:p>
      <w:pPr>
        <w:pStyle w:val="H2"/>
        <w:numPr>
          <w:ilvl w:val="1"/>
          <w:numId w:val="1"/>
        </w:numPr>
      </w:pPr>
      <w:r>
        <w:t>Case Study: Mizuho Bank</w:t>
      </w:r>
    </w:p>
    <w:p>
      <w:r>
        <w:rPr>
          <w:rFonts w:ascii="Figtree" w:hAnsi="Figtree"/>
          <w:b/>
          <w:i w:val="0"/>
          <w:sz w:val="22"/>
        </w:rPr>
        <w:t>Context:</w:t>
      </w:r>
      <w:r>
        <w:rPr>
          <w:rFonts w:ascii="Figtree" w:hAnsi="Figtree"/>
          <w:b w:val="0"/>
          <w:i w:val="0"/>
          <w:sz w:val="22"/>
        </w:rPr>
        <w:t xml:space="preserve"> Mizuho required bond tokenization and trade finance capability using standard platform features, with the goal of enabling internal teams to operate independently.</w:t>
      </w:r>
    </w:p>
    <w:p>
      <w:r>
        <w:rPr>
          <w:rFonts w:ascii="Figtree" w:hAnsi="Figtree"/>
          <w:b/>
          <w:i w:val="0"/>
          <w:sz w:val="22"/>
        </w:rPr>
        <w:t>Challenge:</w:t>
      </w:r>
      <w:r>
        <w:rPr>
          <w:rFonts w:ascii="Figtree" w:hAnsi="Figtree"/>
          <w:b w:val="0"/>
          <w:i w:val="0"/>
          <w:sz w:val="22"/>
        </w:rPr>
        <w:t xml:space="preserve"> Deliver production-ready bond lifecycle capability without requiring ongoing custom development support.</w:t>
      </w:r>
    </w:p>
    <w:p>
      <w:r>
        <w:rPr>
          <w:rFonts w:ascii="Figtree" w:hAnsi="Figtree"/>
          <w:b/>
          <w:i w:val="0"/>
          <w:sz w:val="22"/>
        </w:rPr>
        <w:t>Solution:</w:t>
      </w:r>
      <w:r>
        <w:rPr>
          <w:rFonts w:ascii="Figtree" w:hAnsi="Figtree"/>
          <w:b w:val="0"/>
          <w:i w:val="0"/>
          <w:sz w:val="22"/>
        </w:rPr>
        <w:t xml:space="preserve"> DALP's standard bond templates and platform capabilities, configured for Mizuho's requirements.</w:t>
      </w:r>
    </w:p>
    <w:p>
      <w:r>
        <w:rPr>
          <w:rFonts w:ascii="Figtree" w:hAnsi="Figtree"/>
          <w:b/>
          <w:i w:val="0"/>
          <w:sz w:val="22"/>
        </w:rPr>
        <w:t>Outcome:</w:t>
      </w:r>
      <w:r>
        <w:rPr>
          <w:rFonts w:ascii="Figtree" w:hAnsi="Figtree"/>
          <w:b w:val="0"/>
          <w:i w:val="0"/>
          <w:sz w:val="22"/>
        </w:rPr>
        <w:t xml:space="preserve"> Proof of concept successfully completed in late 2025; currently advancing to production planning.</w:t>
      </w:r>
    </w:p>
    <w:p>
      <w:r>
        <w:rPr>
          <w:rFonts w:ascii="Figtree" w:hAnsi="Figtree"/>
          <w:b/>
          <w:i w:val="0"/>
          <w:sz w:val="22"/>
        </w:rPr>
        <w:t>Transferability:</w:t>
      </w:r>
      <w:r>
        <w:rPr>
          <w:rFonts w:ascii="Figtree" w:hAnsi="Figtree"/>
          <w:b w:val="0"/>
          <w:i w:val="0"/>
          <w:sz w:val="22"/>
        </w:rPr>
        <w:t xml:space="preserve"> Demonstrates DALP's bond-specific capabilities and the platform's ability to support institutional self-sufficiency after implementation.</w:t>
      </w:r>
    </w:p>
    <w:p>
      <w:r>
        <w:br w:type="page"/>
      </w:r>
    </w:p>
    <w:p>
      <w:pPr>
        <w:pStyle w:val="H1"/>
        <w:numPr>
          <w:ilvl w:val="0"/>
          <w:numId w:val="1"/>
        </w:numPr>
      </w:pPr>
      <w:r>
        <w:t>Project Implementation and Delivery</w:t>
      </w:r>
    </w:p>
    <w:p>
      <w:pPr>
        <w:pStyle w:val="H2"/>
        <w:numPr>
          <w:ilvl w:val="1"/>
          <w:numId w:val="1"/>
        </w:numPr>
      </w:pPr>
      <w:r>
        <w:t>Methodology</w:t>
      </w:r>
    </w:p>
    <w:p>
      <w:r>
        <w:rPr>
          <w:rFonts w:ascii="Figtree" w:hAnsi="Figtree"/>
          <w:b w:val="0"/>
          <w:i w:val="0"/>
          <w:sz w:val="22"/>
        </w:rPr>
        <w:t>The 19-week phase-gated implementation follows SettleMint's standard delivery methodology, refined through production deployments at regulated banks and sovereign entities. Each phase concludes with a formal gate review requiring CIB sign-off before proceeding.</w:t>
      </w:r>
    </w:p>
    <w:p>
      <w:pPr>
        <w:pStyle w:val="H2"/>
        <w:numPr>
          <w:ilvl w:val="1"/>
          <w:numId w:val="1"/>
        </w:numPr>
      </w:pPr>
      <w:r>
        <w:t>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9"/>
        <w:gridCol w:w="785"/>
        <w:gridCol w:w="553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Output</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Requirements</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Validated BRD, architecture, regulatory mapping</w:t>
            </w:r>
          </w:p>
        </w:tc>
      </w:tr>
      <w:tr>
        <w:trPr>
          <w:trHeight w:val="425" w:hRule="atLeast"/>
        </w:trPr>
        <w:tc>
          <w:tcPr>
            <w:tcW w:type="dxa" w:w="3249"/>
            <w:vAlign w:val="center"/>
          </w:tcPr>
          <w:p>
            <w:pPr>
              <w:spacing w:line="276" w:lineRule="auto" w:before="0" w:after="0"/>
            </w:pPr>
            <w:r/>
            <w:r>
              <w:rPr>
                <w:rFonts w:ascii="Figtree" w:hAnsi="Figtree"/>
                <w:b w:val="0"/>
                <w:i w:val="0"/>
                <w:sz w:val="20"/>
              </w:rPr>
              <w:t>Foundation and Setup</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Provisioned environments, configured assets and compliance</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Integrated platform, validated lifecycle workflows</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Test results, security assessment, UAT approval</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Production operational, monitoring active</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Stabilized operations, completed handover</w:t>
            </w:r>
          </w:p>
        </w:tc>
      </w:tr>
    </w:tbl>
    <w:p>
      <w:pPr>
        <w:spacing w:before="0" w:after="0" w:line="120" w:lineRule="exact"/>
      </w:pPr>
    </w:p>
    <w:p>
      <w:pPr>
        <w:pStyle w:val="H2"/>
        <w:numPr>
          <w:ilvl w:val="1"/>
          <w:numId w:val="1"/>
        </w:numPr>
      </w:pPr>
      <w:r>
        <w:t>Client Responsibilities</w:t>
      </w:r>
    </w:p>
    <w:p>
      <w:r>
        <w:rPr>
          <w:rFonts w:ascii="Figtree" w:hAnsi="Figtree"/>
          <w:b w:val="0"/>
          <w:i w:val="0"/>
          <w:sz w:val="22"/>
        </w:rPr>
        <w:t>CIB is responsible for designating a project sponsor and project manager, making stakeholders available for Discovery workshops, providing documentation on current systems and regulatory requirements, participating in architecture and gate reviews, provisioning access to integration target systems, and designating participants for training sessions.</w:t>
      </w:r>
    </w:p>
    <w:p>
      <w:r>
        <w:br w:type="page"/>
      </w:r>
    </w:p>
    <w:p>
      <w:pPr>
        <w:pStyle w:val="H1"/>
        <w:numPr>
          <w:ilvl w:val="0"/>
          <w:numId w:val="1"/>
        </w:numPr>
      </w:pPr>
      <w:r>
        <w:t>Support Appendix</w:t>
      </w:r>
    </w:p>
    <w:p>
      <w:pPr>
        <w:pStyle w:val="H2"/>
        <w:numPr>
          <w:ilvl w:val="1"/>
          <w:numId w:val="1"/>
        </w:numPr>
      </w:pPr>
      <w:r>
        <w:t>Support Operations</w:t>
      </w:r>
    </w:p>
    <w:p>
      <w:r>
        <w:rPr>
          <w:rFonts w:ascii="Figtree" w:hAnsi="Figtree"/>
          <w:b w:val="0"/>
          <w:i w:val="0"/>
          <w:sz w:val="22"/>
        </w:rPr>
        <w:t>The Premium support tier assigns a dedicated support engineer to CIB's account. This engineer maintains knowledge of CIB's specific deployment configuration, bond templates, compliance modules, integration architecture, and operational procedures, reducing resolution time and eliminating re-explanation overhead.</w:t>
      </w:r>
    </w:p>
    <w:p>
      <w:r>
        <w:rPr>
          <w:rFonts w:ascii="Figtree" w:hAnsi="Figtree"/>
          <w:b w:val="0"/>
          <w:i w:val="0"/>
          <w:sz w:val="22"/>
        </w:rPr>
        <w:t>Support interactions are logged in a dedicated ticketing system with SLA tracking, escalation triggers, and reporting. CIB receives monthly service reports covering ticket volumes, resolution times, SLA compliance, and platform availability metrics.</w:t>
      </w:r>
    </w:p>
    <w:p>
      <w:pPr>
        <w:pStyle w:val="H2"/>
        <w:numPr>
          <w:ilvl w:val="1"/>
          <w:numId w:val="1"/>
        </w:numPr>
      </w:pPr>
      <w:r>
        <w:t>Maintenance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194"/>
        <w:gridCol w:w="23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Notice</w:t>
            </w:r>
          </w:p>
        </w:tc>
      </w:tr>
      <w:tr>
        <w:trPr>
          <w:trHeight w:val="425" w:hRule="atLeast"/>
        </w:trPr>
        <w:tc>
          <w:tcPr>
            <w:tcW w:type="dxa" w:w="3249"/>
            <w:vAlign w:val="center"/>
          </w:tcPr>
          <w:p>
            <w:pPr>
              <w:spacing w:line="276" w:lineRule="auto" w:before="0" w:after="0"/>
            </w:pPr>
            <w:r/>
            <w:r>
              <w:rPr>
                <w:rFonts w:ascii="Figtree" w:hAnsi="Figtree"/>
                <w:b w:val="0"/>
                <w:i w:val="0"/>
                <w:sz w:val="20"/>
              </w:rPr>
              <w:t>Platform releases</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2 weeks advance</w:t>
            </w:r>
          </w:p>
        </w:tc>
      </w:tr>
      <w:tr>
        <w:trPr>
          <w:trHeight w:val="425" w:hRule="atLeast"/>
        </w:trPr>
        <w:tc>
          <w:tcPr>
            <w:tcW w:type="dxa" w:w="3249"/>
            <w:vAlign w:val="center"/>
          </w:tcPr>
          <w:p>
            <w:pPr>
              <w:spacing w:line="276" w:lineRule="auto" w:before="0" w:after="0"/>
            </w:pPr>
            <w:r/>
            <w:r>
              <w:rPr>
                <w:rFonts w:ascii="Figtree" w:hAnsi="Figtree"/>
                <w:b w:val="0"/>
                <w:i w:val="0"/>
                <w:sz w:val="20"/>
              </w:rPr>
              <w:t>Scheduled maintenance</w:t>
            </w:r>
          </w:p>
        </w:tc>
        <w:tc>
          <w:tcPr>
            <w:tcW w:type="dxa" w:w="3249"/>
            <w:vAlign w:val="center"/>
          </w:tcPr>
          <w:p>
            <w:pPr>
              <w:spacing w:line="276" w:lineRule="auto" w:before="0" w:after="0"/>
            </w:pPr>
            <w:r/>
            <w:r>
              <w:rPr>
                <w:rFonts w:ascii="Figtree" w:hAnsi="Figtree"/>
                <w:b w:val="0"/>
                <w:i w:val="0"/>
                <w:sz w:val="20"/>
              </w:rPr>
              <w:t>As needed</w:t>
            </w:r>
          </w:p>
        </w:tc>
        <w:tc>
          <w:tcPr>
            <w:tcW w:type="dxa" w:w="3249"/>
            <w:vAlign w:val="center"/>
          </w:tcPr>
          <w:p>
            <w:pPr>
              <w:spacing w:line="276" w:lineRule="auto" w:before="0" w:after="0"/>
            </w:pPr>
            <w:r/>
            <w:r>
              <w:rPr>
                <w:rFonts w:ascii="Figtree" w:hAnsi="Figtree"/>
                <w:b w:val="0"/>
                <w:i w:val="0"/>
                <w:sz w:val="20"/>
              </w:rPr>
              <w:t>72 hours minimum</w:t>
            </w:r>
          </w:p>
        </w:tc>
      </w:tr>
      <w:tr>
        <w:trPr>
          <w:trHeight w:val="425" w:hRule="atLeast"/>
        </w:trPr>
        <w:tc>
          <w:tcPr>
            <w:tcW w:type="dxa" w:w="3249"/>
            <w:vAlign w:val="center"/>
          </w:tcPr>
          <w:p>
            <w:pPr>
              <w:spacing w:line="276" w:lineRule="auto" w:before="0" w:after="0"/>
            </w:pPr>
            <w:r/>
            <w:r>
              <w:rPr>
                <w:rFonts w:ascii="Figtree" w:hAnsi="Figtree"/>
                <w:b w:val="0"/>
                <w:i w:val="0"/>
                <w:sz w:val="20"/>
              </w:rPr>
              <w:t>Security patches (critical)</w:t>
            </w:r>
          </w:p>
        </w:tc>
        <w:tc>
          <w:tcPr>
            <w:tcW w:type="dxa" w:w="3249"/>
            <w:vAlign w:val="center"/>
          </w:tcPr>
          <w:p>
            <w:pPr>
              <w:spacing w:line="276" w:lineRule="auto" w:before="0" w:after="0"/>
            </w:pPr>
            <w:r/>
            <w:r>
              <w:rPr>
                <w:rFonts w:ascii="Figtree" w:hAnsi="Figtree"/>
                <w:b w:val="0"/>
                <w:i w:val="0"/>
                <w:sz w:val="20"/>
              </w:rPr>
              <w:t>As needed</w:t>
            </w:r>
          </w:p>
        </w:tc>
        <w:tc>
          <w:tcPr>
            <w:tcW w:type="dxa" w:w="3249"/>
            <w:vAlign w:val="center"/>
          </w:tcPr>
          <w:p>
            <w:pPr>
              <w:spacing w:line="276" w:lineRule="auto" w:before="0" w:after="0"/>
            </w:pPr>
            <w:r/>
            <w:r>
              <w:rPr>
                <w:rFonts w:ascii="Figtree" w:hAnsi="Figtree"/>
                <w:b w:val="0"/>
                <w:i w:val="0"/>
                <w:sz w:val="20"/>
              </w:rPr>
              <w:t>24 hours</w:t>
            </w:r>
          </w:p>
        </w:tc>
      </w:tr>
      <w:tr>
        <w:trPr>
          <w:trHeight w:val="425" w:hRule="atLeast"/>
        </w:trPr>
        <w:tc>
          <w:tcPr>
            <w:tcW w:type="dxa" w:w="3249"/>
            <w:vAlign w:val="center"/>
          </w:tcPr>
          <w:p>
            <w:pPr>
              <w:spacing w:line="276" w:lineRule="auto" w:before="0" w:after="0"/>
            </w:pPr>
            <w:r/>
            <w:r>
              <w:rPr>
                <w:rFonts w:ascii="Figtree" w:hAnsi="Figtree"/>
                <w:b w:val="0"/>
                <w:i w:val="0"/>
                <w:sz w:val="20"/>
              </w:rPr>
              <w:t>Security patches (non-critical)</w:t>
            </w:r>
          </w:p>
        </w:tc>
        <w:tc>
          <w:tcPr>
            <w:tcW w:type="dxa" w:w="3249"/>
            <w:vAlign w:val="center"/>
          </w:tcPr>
          <w:p>
            <w:pPr>
              <w:spacing w:line="276" w:lineRule="auto" w:before="0" w:after="0"/>
            </w:pPr>
            <w:r/>
            <w:r>
              <w:rPr>
                <w:rFonts w:ascii="Figtree" w:hAnsi="Figtree"/>
                <w:b w:val="0"/>
                <w:i w:val="0"/>
                <w:sz w:val="20"/>
              </w:rPr>
              <w:t>Monthly release</w:t>
            </w:r>
          </w:p>
        </w:tc>
        <w:tc>
          <w:tcPr>
            <w:tcW w:type="dxa" w:w="3249"/>
            <w:vAlign w:val="center"/>
          </w:tcPr>
          <w:p>
            <w:pPr>
              <w:spacing w:line="276" w:lineRule="auto" w:before="0" w:after="0"/>
            </w:pPr>
            <w:r/>
            <w:r>
              <w:rPr>
                <w:rFonts w:ascii="Figtree" w:hAnsi="Figtree"/>
                <w:b w:val="0"/>
                <w:i w:val="0"/>
                <w:sz w:val="20"/>
              </w:rPr>
              <w:t>Standard cycle</w:t>
            </w:r>
          </w:p>
        </w:tc>
      </w:tr>
    </w:tbl>
    <w:p>
      <w:pPr>
        <w:spacing w:before="0" w:after="0" w:line="120" w:lineRule="exact"/>
      </w:pPr>
    </w:p>
    <w:p>
      <w:r>
        <w:br w:type="page"/>
      </w:r>
    </w:p>
    <w:p>
      <w:pPr>
        <w:pStyle w:val="H1"/>
        <w:numPr>
          <w:ilvl w:val="0"/>
          <w:numId w:val="1"/>
        </w:numPr>
      </w:pPr>
      <w:r>
        <w:t>Next Steps</w:t>
      </w:r>
    </w:p>
    <w:p>
      <w:r>
        <w:rPr>
          <w:rFonts w:ascii="Figtree" w:hAnsi="Figtree"/>
          <w:b w:val="0"/>
          <w:i w:val="0"/>
          <w:sz w:val="22"/>
        </w:rPr>
        <w:t>The following actions move CIB from proposal review to validated commercial agreement: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5"/>
        <w:gridCol w:w="3287"/>
        <w:gridCol w:w="1765"/>
        <w:gridCol w:w="15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2436"/>
            <w:vAlign w:val="center"/>
          </w:tcPr>
          <w:p>
            <w:pPr>
              <w:spacing w:line="276" w:lineRule="auto" w:before="0" w:after="0"/>
            </w:pPr>
            <w:r/>
            <w:r>
              <w:rPr>
                <w:rFonts w:ascii="Figtree" w:hAnsi="Figtree"/>
                <w:b w:val="0"/>
                <w:i w:val="0"/>
                <w:sz w:val="20"/>
              </w:rPr>
              <w:t>Proposal review and shortlisting</w:t>
            </w:r>
          </w:p>
        </w:tc>
        <w:tc>
          <w:tcPr>
            <w:tcW w:type="dxa" w:w="2436"/>
            <w:vAlign w:val="center"/>
          </w:tcPr>
          <w:p>
            <w:pPr>
              <w:spacing w:line="276" w:lineRule="auto" w:before="0" w:after="0"/>
            </w:pPr>
            <w:r/>
            <w:r>
              <w:rPr>
                <w:rFonts w:ascii="Figtree" w:hAnsi="Figtree"/>
                <w:b w:val="0"/>
                <w:i w:val="0"/>
                <w:sz w:val="20"/>
              </w:rPr>
              <w:t>Evaluate technical and commercial fit</w:t>
            </w:r>
          </w:p>
        </w:tc>
        <w:tc>
          <w:tcPr>
            <w:tcW w:type="dxa" w:w="2436"/>
            <w:vAlign w:val="center"/>
          </w:tcPr>
          <w:p>
            <w:pPr>
              <w:spacing w:line="276" w:lineRule="auto" w:before="0" w:after="0"/>
            </w:pPr>
            <w:r/>
            <w:r>
              <w:rPr>
                <w:rFonts w:ascii="Figtree" w:hAnsi="Figtree"/>
                <w:b w:val="0"/>
                <w:i w:val="0"/>
                <w:sz w:val="20"/>
              </w:rPr>
              <w:t>CIB Procurement</w:t>
            </w:r>
          </w:p>
        </w:tc>
        <w:tc>
          <w:tcPr>
            <w:tcW w:type="dxa" w:w="2436"/>
            <w:vAlign w:val="center"/>
          </w:tcPr>
          <w:p>
            <w:pPr>
              <w:spacing w:line="276" w:lineRule="auto" w:before="0" w:after="0"/>
            </w:pPr>
            <w:r/>
            <w:r>
              <w:rPr>
                <w:rFonts w:ascii="Figtree" w:hAnsi="Figtree"/>
                <w:b w:val="0"/>
                <w:i w:val="0"/>
                <w:sz w:val="20"/>
              </w:rPr>
              <w:t>2 weeks from submission</w:t>
            </w:r>
          </w:p>
        </w:tc>
      </w:tr>
      <w:tr>
        <w:trPr>
          <w:trHeight w:val="425" w:hRule="atLeast"/>
        </w:trPr>
        <w:tc>
          <w:tcPr>
            <w:tcW w:type="dxa" w:w="2436"/>
            <w:vAlign w:val="center"/>
          </w:tcPr>
          <w:p>
            <w:pPr>
              <w:spacing w:line="276" w:lineRule="auto" w:before="0" w:after="0"/>
            </w:pPr>
            <w:r/>
            <w:r>
              <w:rPr>
                <w:rFonts w:ascii="Figtree" w:hAnsi="Figtree"/>
                <w:b w:val="0"/>
                <w:i w:val="0"/>
                <w:sz w:val="20"/>
              </w:rPr>
              <w:t>Clarification session</w:t>
            </w:r>
          </w:p>
        </w:tc>
        <w:tc>
          <w:tcPr>
            <w:tcW w:type="dxa" w:w="2436"/>
            <w:vAlign w:val="center"/>
          </w:tcPr>
          <w:p>
            <w:pPr>
              <w:spacing w:line="276" w:lineRule="auto" w:before="0" w:after="0"/>
            </w:pPr>
            <w:r/>
            <w:r>
              <w:rPr>
                <w:rFonts w:ascii="Figtree" w:hAnsi="Figtree"/>
                <w:b w:val="0"/>
                <w:i w:val="0"/>
                <w:sz w:val="20"/>
              </w:rPr>
              <w:t>Address technical and commercial questions</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Within 1 week of shortlist</w:t>
            </w:r>
          </w:p>
        </w:tc>
      </w:tr>
      <w:tr>
        <w:trPr>
          <w:trHeight w:val="425" w:hRule="atLeast"/>
        </w:trPr>
        <w:tc>
          <w:tcPr>
            <w:tcW w:type="dxa" w:w="2436"/>
            <w:vAlign w:val="center"/>
          </w:tcPr>
          <w:p>
            <w:pPr>
              <w:spacing w:line="276" w:lineRule="auto" w:before="0" w:after="0"/>
            </w:pPr>
            <w:r/>
            <w:r>
              <w:rPr>
                <w:rFonts w:ascii="Figtree" w:hAnsi="Figtree"/>
                <w:b w:val="0"/>
                <w:i w:val="0"/>
                <w:sz w:val="20"/>
              </w:rPr>
              <w:t>Scoping workshop</w:t>
            </w:r>
          </w:p>
        </w:tc>
        <w:tc>
          <w:tcPr>
            <w:tcW w:type="dxa" w:w="2436"/>
            <w:vAlign w:val="center"/>
          </w:tcPr>
          <w:p>
            <w:pPr>
              <w:spacing w:line="276" w:lineRule="auto" w:before="0" w:after="0"/>
            </w:pPr>
            <w:r/>
            <w:r>
              <w:rPr>
                <w:rFonts w:ascii="Figtree" w:hAnsi="Figtree"/>
                <w:b w:val="0"/>
                <w:i w:val="0"/>
                <w:sz w:val="20"/>
              </w:rPr>
              <w:t>Validate requirements, refine architecture and pricing</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1 to 2 days</w:t>
            </w:r>
          </w:p>
        </w:tc>
      </w:tr>
      <w:tr>
        <w:trPr>
          <w:trHeight w:val="425" w:hRule="atLeast"/>
        </w:trPr>
        <w:tc>
          <w:tcPr>
            <w:tcW w:type="dxa" w:w="2436"/>
            <w:vAlign w:val="center"/>
          </w:tcPr>
          <w:p>
            <w:pPr>
              <w:spacing w:line="276" w:lineRule="auto" w:before="0" w:after="0"/>
            </w:pPr>
            <w:r/>
            <w:r>
              <w:rPr>
                <w:rFonts w:ascii="Figtree" w:hAnsi="Figtree"/>
                <w:b w:val="0"/>
                <w:i w:val="0"/>
                <w:sz w:val="20"/>
              </w:rPr>
              <w:t>Refined commercial offer</w:t>
            </w:r>
          </w:p>
        </w:tc>
        <w:tc>
          <w:tcPr>
            <w:tcW w:type="dxa" w:w="2436"/>
            <w:vAlign w:val="center"/>
          </w:tcPr>
          <w:p>
            <w:pPr>
              <w:spacing w:line="276" w:lineRule="auto" w:before="0" w:after="0"/>
            </w:pPr>
            <w:r/>
            <w:r>
              <w:rPr>
                <w:rFonts w:ascii="Figtree" w:hAnsi="Figtree"/>
                <w:b w:val="0"/>
                <w:i w:val="0"/>
                <w:sz w:val="20"/>
              </w:rPr>
              <w:t>Updated pricing based on validated scope</w:t>
            </w:r>
          </w:p>
        </w:tc>
        <w:tc>
          <w:tcPr>
            <w:tcW w:type="dxa" w:w="2436"/>
            <w:vAlign w:val="center"/>
          </w:tcPr>
          <w:p>
            <w:pPr>
              <w:spacing w:line="276" w:lineRule="auto" w:before="0" w:after="0"/>
            </w:pPr>
            <w:r/>
            <w:r>
              <w:rPr>
                <w:rFonts w:ascii="Figtree" w:hAnsi="Figtree"/>
                <w:b w:val="0"/>
                <w:i w:val="0"/>
                <w:sz w:val="20"/>
              </w:rPr>
              <w:t>SettleMint</w:t>
            </w:r>
          </w:p>
        </w:tc>
        <w:tc>
          <w:tcPr>
            <w:tcW w:type="dxa" w:w="2436"/>
            <w:vAlign w:val="center"/>
          </w:tcPr>
          <w:p>
            <w:pPr>
              <w:spacing w:line="276" w:lineRule="auto" w:before="0" w:after="0"/>
            </w:pPr>
            <w:r/>
            <w:r>
              <w:rPr>
                <w:rFonts w:ascii="Figtree" w:hAnsi="Figtree"/>
                <w:b w:val="0"/>
                <w:i w:val="0"/>
                <w:sz w:val="20"/>
              </w:rPr>
              <w:t>1 week after workshop</w:t>
            </w:r>
          </w:p>
        </w:tc>
      </w:tr>
      <w:tr>
        <w:trPr>
          <w:trHeight w:val="425" w:hRule="atLeast"/>
        </w:trPr>
        <w:tc>
          <w:tcPr>
            <w:tcW w:type="dxa" w:w="2436"/>
            <w:vAlign w:val="center"/>
          </w:tcPr>
          <w:p>
            <w:pPr>
              <w:spacing w:line="276" w:lineRule="auto" w:before="0" w:after="0"/>
            </w:pPr>
            <w:r/>
            <w:r>
              <w:rPr>
                <w:rFonts w:ascii="Figtree" w:hAnsi="Figtree"/>
                <w:b w:val="0"/>
                <w:i w:val="0"/>
                <w:sz w:val="20"/>
              </w:rPr>
              <w:t>Contract negotiation</w:t>
            </w:r>
          </w:p>
        </w:tc>
        <w:tc>
          <w:tcPr>
            <w:tcW w:type="dxa" w:w="2436"/>
            <w:vAlign w:val="center"/>
          </w:tcPr>
          <w:p>
            <w:pPr>
              <w:spacing w:line="276" w:lineRule="auto" w:before="0" w:after="0"/>
            </w:pPr>
            <w:r/>
            <w:r>
              <w:rPr>
                <w:rFonts w:ascii="Figtree" w:hAnsi="Figtree"/>
                <w:b w:val="0"/>
                <w:i w:val="0"/>
                <w:sz w:val="20"/>
              </w:rPr>
              <w:t>Finalize license, implementation, and support terms</w:t>
            </w:r>
          </w:p>
        </w:tc>
        <w:tc>
          <w:tcPr>
            <w:tcW w:type="dxa" w:w="2436"/>
            <w:vAlign w:val="center"/>
          </w:tcPr>
          <w:p>
            <w:pPr>
              <w:spacing w:line="276" w:lineRule="auto" w:before="0" w:after="0"/>
            </w:pPr>
            <w:r/>
            <w:r>
              <w:rPr>
                <w:rFonts w:ascii="Figtree" w:hAnsi="Figtree"/>
                <w:b w:val="0"/>
                <w:i w:val="0"/>
                <w:sz w:val="20"/>
              </w:rPr>
              <w:t>Joint (legal and procurement)</w:t>
            </w:r>
          </w:p>
        </w:tc>
        <w:tc>
          <w:tcPr>
            <w:tcW w:type="dxa" w:w="2436"/>
            <w:vAlign w:val="center"/>
          </w:tcPr>
          <w:p>
            <w:pPr>
              <w:spacing w:line="276" w:lineRule="auto" w:before="0" w:after="0"/>
            </w:pPr>
            <w:r/>
            <w:r>
              <w:rPr>
                <w:rFonts w:ascii="Figtree" w:hAnsi="Figtree"/>
                <w:b w:val="0"/>
                <w:i w:val="0"/>
                <w:sz w:val="20"/>
              </w:rPr>
              <w:t>2 to 4 weeks</w:t>
            </w:r>
          </w:p>
        </w:tc>
      </w:tr>
      <w:tr>
        <w:trPr>
          <w:trHeight w:val="425" w:hRule="atLeast"/>
        </w:trPr>
        <w:tc>
          <w:tcPr>
            <w:tcW w:type="dxa" w:w="2436"/>
            <w:vAlign w:val="center"/>
          </w:tcPr>
          <w:p>
            <w:pPr>
              <w:spacing w:line="276" w:lineRule="auto" w:before="0" w:after="0"/>
            </w:pPr>
            <w:r/>
            <w:r>
              <w:rPr>
                <w:rFonts w:ascii="Figtree" w:hAnsi="Figtree"/>
                <w:b w:val="0"/>
                <w:i w:val="0"/>
                <w:sz w:val="20"/>
              </w:rPr>
              <w:t>Contract execution and Discovery kickoff</w:t>
            </w:r>
          </w:p>
        </w:tc>
        <w:tc>
          <w:tcPr>
            <w:tcW w:type="dxa" w:w="2436"/>
            <w:vAlign w:val="center"/>
          </w:tcPr>
          <w:p>
            <w:pPr>
              <w:spacing w:line="276" w:lineRule="auto" w:before="0" w:after="0"/>
            </w:pPr>
            <w:r/>
            <w:r>
              <w:rPr>
                <w:rFonts w:ascii="Figtree" w:hAnsi="Figtree"/>
                <w:b w:val="0"/>
                <w:i w:val="0"/>
                <w:sz w:val="20"/>
              </w:rPr>
              <w:t>Commence Phase 1</w:t>
            </w:r>
          </w:p>
        </w:tc>
        <w:tc>
          <w:tcPr>
            <w:tcW w:type="dxa" w:w="2436"/>
            <w:vAlign w:val="center"/>
          </w:tcPr>
          <w:p>
            <w:pPr>
              <w:spacing w:line="276" w:lineRule="auto" w:before="0" w:after="0"/>
            </w:pPr>
            <w:r/>
            <w:r>
              <w:rPr>
                <w:rFonts w:ascii="Figtree" w:hAnsi="Figtree"/>
                <w:b w:val="0"/>
                <w:i w:val="0"/>
                <w:sz w:val="20"/>
              </w:rPr>
              <w:t>Joint</w:t>
            </w:r>
          </w:p>
        </w:tc>
        <w:tc>
          <w:tcPr>
            <w:tcW w:type="dxa" w:w="2436"/>
            <w:vAlign w:val="center"/>
          </w:tcPr>
          <w:p>
            <w:pPr>
              <w:spacing w:line="276" w:lineRule="auto" w:before="0" w:after="0"/>
            </w:pPr>
            <w:r/>
            <w:r>
              <w:rPr>
                <w:rFonts w:ascii="Figtree" w:hAnsi="Figtree"/>
                <w:b w:val="0"/>
                <w:i w:val="0"/>
                <w:sz w:val="20"/>
              </w:rPr>
              <w:t>Target: Q2 2026</w:t>
            </w:r>
          </w:p>
        </w:tc>
      </w:tr>
    </w:tbl>
    <w:p>
      <w:pPr>
        <w:spacing w:before="0" w:after="0" w:line="120" w:lineRule="exact"/>
      </w:pPr>
    </w:p>
    <w:p>
      <w:r>
        <w:rPr>
          <w:rFonts w:ascii="Figtree" w:hAnsi="Figtree"/>
          <w:b w:val="0"/>
          <w:i w:val="0"/>
          <w:sz w:val="22"/>
        </w:rPr>
        <w:t>SettleMint is prepared to arrange reference calls with existing banking clients to support CIB's evaluation, and to provide a guided platform demonstration tailored to CIB's specific fixed income requirements.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