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Crédit Agricole CIB is to adopt DALP as the configuration-led lifecycle, policy, evidence, and integration orchestration layer for tokenized green bonds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Crédit Agricole CIB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both operationally realistic and commercially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Crédit Agricole CIB wants a reusable platform, not a one-deal delivery. That is why the proposed model emphasizes reusable product templates, parameterized lifecycle events, policy binding, and audit-friendly exports. For Crédit Agricole CIB,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tokenized green bond issuance, ESG evidence capture and attestation, investor eligibility and sustainability reporting, and coupon, redemption, and post-issuance reporting.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Crédit Agricole CIB,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Crédit Agricole CIB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and internal auditors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Crédit Agricole CIB is broad: core issuance and treasury systems, ESG data and assurance providers, custody and registrar services, reporting warehouses and supervisory exports, and identity and access management.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Crédit Agricole CIB,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Crédit Agricole CIB,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Crédit Agricole CIB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Crédit Agricole CIB is not buying a pilot stack; it is buying an operating capability for tokenized green bonds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Crédit Agricole CIB can scale new products, legal entities, and corridors without rebuilding the control model each time.</w:t>
      </w:r>
    </w:p>
    <w:p>
      <w:r>
        <w:rPr>
          <w:rFonts w:ascii="Figtree" w:hAnsi="Figtree"/>
          <w:b w:val="0"/>
          <w:i w:val="0"/>
          <w:sz w:val="22"/>
        </w:rPr>
        <w:t>The relevant regulatory backdrop is MiCA, MiFID II, the EU Green Bond Regulation, SFDR, CSRD, DORA, GDPR, and AMF supervisory guidance for sustainable finance disclosures.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Crédit Agricole CIB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is intentionally designed to let Crédit Agricole CIB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Crédit Agricole CIB,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Crédit Agricole CIB.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9"/>
        <w:gridCol w:w="7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regulated green and sustainable finance digitization programmes; institutional bond workflows with configurable compliance controls; bank-led digital asset environments with evidence packaging for auditors and supervisors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