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Understanding Deutsche Bank's Programme Objectives</w:t>
            <w:rPr>
              <w:sz w:val="22"/>
              <w:rFonts w:ascii="Figtree" w:hAnsi="Figtree"/>
            </w:rPr>
          </w:r>
        </w:p>
        <w:p>
          <w:pPr>
            <w:ind w:left="1440"/>
          </w:pPr>
          <w:r>
            <w:t xml:space="preserve">The German Digital Securities Landscape</w:t>
            <w:rPr>
              <w:sz w:val="22"/>
              <w:rFonts w:ascii="Figtree" w:hAnsi="Figtree"/>
            </w:rPr>
          </w:r>
        </w:p>
        <w:p>
          <w:pPr>
            <w:ind w:left="720"/>
          </w:pPr>
          <w:r>
            <w:t xml:space="preserve">Proposed DALP Operating Model for Digital Bonds</w:t>
            <w:rPr>
              <w:sz w:val="22"/>
              <w:rFonts w:ascii="Figtree" w:hAnsi="Figtree"/>
            </w:rPr>
          </w:r>
        </w:p>
        <w:p>
          <w:pPr>
            <w:ind w:left="1440"/>
          </w:pPr>
          <w:r>
            <w:t xml:space="preserve">Bond Lifecycle Coverage</w:t>
            <w:rPr>
              <w:sz w:val="22"/>
              <w:rFonts w:ascii="Figtree" w:hAnsi="Figtree"/>
            </w:rPr>
          </w:r>
        </w:p>
        <w:p>
          <w:pPr>
            <w:ind w:left="1440"/>
          </w:pPr>
          <w:r>
            <w:t xml:space="preserve">Bond Configuration Parameters</w:t>
            <w:rPr>
              <w:sz w:val="22"/>
              <w:rFonts w:ascii="Figtree" w:hAnsi="Figtree"/>
            </w:rPr>
          </w:r>
        </w:p>
        <w:p>
          <w:pPr>
            <w:ind w:left="720"/>
          </w:pPr>
          <w:r>
            <w:t xml:space="preserve">Technical Architecture and Integration Boundaries</w:t>
            <w:rPr>
              <w:sz w:val="22"/>
              <w:rFonts w:ascii="Figtree" w:hAnsi="Figtree"/>
            </w:rPr>
          </w:r>
        </w:p>
        <w:p>
          <w:pPr>
            <w:ind w:left="1440"/>
          </w:pPr>
          <w:r>
            <w:t xml:space="preserve">Enterprise Integration for Deutsche Bank</w:t>
            <w:rPr>
              <w:sz w:val="22"/>
              <w:rFonts w:ascii="Figtree" w:hAnsi="Figtree"/>
            </w:rPr>
          </w:r>
        </w:p>
        <w:p>
          <w:pPr>
            <w:ind w:left="1440"/>
          </w:pPr>
          <w:r>
            <w:t xml:space="preserve">ISO 20022 Messaging</w:t>
            <w:rPr>
              <w:sz w:val="22"/>
              <w:rFonts w:ascii="Figtree" w:hAnsi="Figtree"/>
            </w:rPr>
          </w:r>
        </w:p>
        <w:p>
          <w:pPr>
            <w:ind w:left="720"/>
          </w:pPr>
          <w:r>
            <w:t xml:space="preserve">Settlement, Servicing, and Corporate Actions</w:t>
            <w:rPr>
              <w:sz w:val="22"/>
              <w:rFonts w:ascii="Figtree" w:hAnsi="Figtree"/>
            </w:rPr>
          </w:r>
        </w:p>
        <w:p>
          <w:pPr>
            <w:ind w:left="1440"/>
          </w:pPr>
          <w:r>
            <w:t xml:space="preserve">T+0 Settlement</w:t>
            <w:rPr>
              <w:sz w:val="22"/>
              <w:rFonts w:ascii="Figtree" w:hAnsi="Figtree"/>
            </w:rPr>
          </w:r>
        </w:p>
        <w:p>
          <w:pPr>
            <w:ind w:left="1440"/>
          </w:pPr>
          <w:r>
            <w:t xml:space="preserve">Coupon Processing</w:t>
            <w:rPr>
              <w:sz w:val="22"/>
              <w:rFonts w:ascii="Figtree" w:hAnsi="Figtree"/>
            </w:rPr>
          </w:r>
        </w:p>
        <w:p>
          <w:pPr>
            <w:ind w:left="1440"/>
          </w:pPr>
          <w:r>
            <w:t xml:space="preserve">Corporate Actions</w:t>
            <w:rPr>
              <w:sz w:val="22"/>
              <w:rFonts w:ascii="Figtree" w:hAnsi="Figtree"/>
            </w:rPr>
          </w:r>
        </w:p>
        <w:p>
          <w:pPr>
            <w:ind w:left="720"/>
          </w:pPr>
          <w:r>
            <w:t xml:space="preserve">Security, Resilience, and Operational Assurance</w:t>
            <w:rPr>
              <w:sz w:val="22"/>
              <w:rFonts w:ascii="Figtree" w:hAnsi="Figtree"/>
            </w:rPr>
          </w:r>
        </w:p>
        <w:p>
          <w:pPr>
            <w:ind w:left="1440"/>
          </w:pPr>
          <w:r>
            <w:t xml:space="preserve">G-SIB Grade Security</w:t>
            <w:rPr>
              <w:sz w:val="22"/>
              <w:rFonts w:ascii="Figtree" w:hAnsi="Figtree"/>
            </w:rPr>
          </w:r>
        </w:p>
        <w:p>
          <w:pPr>
            <w:ind w:left="1440"/>
          </w:pPr>
          <w:r>
            <w:t xml:space="preserve">Operational Resilience</w:t>
            <w:rPr>
              <w:sz w:val="22"/>
              <w:rFonts w:ascii="Figtree" w:hAnsi="Figtree"/>
            </w:rPr>
          </w:r>
        </w:p>
        <w:p>
          <w:pPr>
            <w:ind w:left="720"/>
          </w:pPr>
          <w:r>
            <w:t xml:space="preserve">Implementation Approach and Delivery Phases</w:t>
            <w:rPr>
              <w:sz w:val="22"/>
              <w:rFonts w:ascii="Figtree" w:hAnsi="Figtree"/>
            </w:rPr>
          </w:r>
        </w:p>
        <w:p>
          <w:pPr>
            <w:ind w:left="1440"/>
          </w:pPr>
          <w:r>
            <w:t xml:space="preserve">19-Week Implementation</w:t>
            <w:rPr>
              <w:sz w:val="22"/>
              <w:rFonts w:ascii="Figtree" w:hAnsi="Figtree"/>
            </w:rPr>
          </w:r>
        </w:p>
        <w:p>
          <w:pPr>
            <w:ind w:left="720"/>
          </w:pPr>
          <w:r>
            <w:t xml:space="preserve">Current Coverage, Dependencies, and Qualified Gaps</w:t>
            <w:rPr>
              <w:sz w:val="22"/>
              <w:rFonts w:ascii="Figtree" w:hAnsi="Figtree"/>
            </w:rPr>
          </w:r>
        </w:p>
        <w:p>
          <w:pPr>
            <w:ind w:left="1440"/>
          </w:pPr>
          <w:r>
            <w:t xml:space="preserve">Requirements Coverage</w:t>
            <w:rPr>
              <w:sz w:val="22"/>
              <w:rFonts w:ascii="Figtree" w:hAnsi="Figtree"/>
            </w:rPr>
          </w:r>
        </w:p>
        <w:p>
          <w:pPr>
            <w:ind w:left="1440"/>
          </w:pPr>
          <w:r>
            <w:t xml:space="preserve">Qualified Gaps</w:t>
            <w:rPr>
              <w:sz w:val="22"/>
              <w:rFonts w:ascii="Figtree" w:hAnsi="Figtree"/>
            </w:rPr>
          </w:r>
        </w:p>
        <w:p>
          <w:pPr>
            <w:ind w:left="720"/>
          </w:pPr>
          <w:r>
            <w:t xml:space="preserve">Relevant Delivery Evidence</w:t>
            <w:rPr>
              <w:sz w:val="22"/>
              <w:rFonts w:ascii="Figtree" w:hAnsi="Figtree"/>
            </w:rPr>
          </w:r>
        </w:p>
        <w:p>
          <w:pPr>
            <w:ind w:left="1440"/>
          </w:pPr>
          <w:r>
            <w:t xml:space="preserve">Commerzbank — German Bank, Production Digital Securities</w:t>
            <w:rPr>
              <w:sz w:val="22"/>
              <w:rFonts w:ascii="Figtree" w:hAnsi="Figtree"/>
            </w:rPr>
          </w:r>
        </w:p>
        <w:p>
          <w:pPr>
            <w:ind w:left="720"/>
          </w:pPr>
          <w:r>
            <w:t xml:space="preserve">Appendices</w:t>
            <w:rPr>
              <w:sz w:val="22"/>
              <w:rFonts w:ascii="Figtree" w:hAnsi="Figtree"/>
            </w:rPr>
          </w:r>
        </w:p>
        <w:p>
          <w:pPr>
            <w:ind w:left="1440"/>
          </w:pPr>
          <w:r>
            <w:t xml:space="preserve">Appendix A: 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Digital Bonds Issuance Platform</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Deutsche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DEUTSCHE-BANK-RFP-DIGITAL-BONDS-202603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Deutsche Bank's Programme Objectives</w:t>
      </w:r>
    </w:p>
    <w:p>
      <w:pPr>
        <w:pStyle w:val="ListParagraph"/>
        <w:numPr>
          <w:ilvl w:val="0"/>
          <w:numId w:val="4"/>
        </w:numPr>
      </w:pPr>
      <w:r>
        <w:rPr>
          <w:rFonts w:ascii="Figtree" w:hAnsi="Figtree"/>
          <w:b w:val="0"/>
          <w:i w:val="0"/>
          <w:sz w:val="22"/>
        </w:rPr>
        <w:t>Proposed DALP Operating Model for Digital Bonds</w:t>
      </w:r>
    </w:p>
    <w:p>
      <w:pPr>
        <w:pStyle w:val="ListParagraph"/>
        <w:numPr>
          <w:ilvl w:val="0"/>
          <w:numId w:val="4"/>
        </w:numPr>
      </w:pPr>
      <w:r>
        <w:rPr>
          <w:rFonts w:ascii="Figtree" w:hAnsi="Figtree"/>
          <w:b w:val="0"/>
          <w:i w:val="0"/>
          <w:sz w:val="22"/>
        </w:rPr>
        <w:t>Technical Architecture and Integration Boundaries</w:t>
      </w:r>
    </w:p>
    <w:p>
      <w:pPr>
        <w:pStyle w:val="ListParagraph"/>
        <w:numPr>
          <w:ilvl w:val="0"/>
          <w:numId w:val="4"/>
        </w:numPr>
      </w:pPr>
      <w:r>
        <w:rPr>
          <w:rFonts w:ascii="Figtree" w:hAnsi="Figtree"/>
          <w:b w:val="0"/>
          <w:i w:val="0"/>
          <w:sz w:val="22"/>
        </w:rPr>
        <w:t>Bond-Specific Smart Contract Architecture</w:t>
      </w:r>
    </w:p>
    <w:p>
      <w:pPr>
        <w:pStyle w:val="ListParagraph"/>
        <w:numPr>
          <w:ilvl w:val="0"/>
          <w:numId w:val="4"/>
        </w:numPr>
      </w:pPr>
      <w:r>
        <w:rPr>
          <w:rFonts w:ascii="Figtree" w:hAnsi="Figtree"/>
          <w:b w:val="0"/>
          <w:i w:val="0"/>
          <w:sz w:val="22"/>
        </w:rPr>
        <w:t>Identity, Compliance, and MiCA/eWpG Controls</w:t>
      </w:r>
    </w:p>
    <w:p>
      <w:pPr>
        <w:pStyle w:val="ListParagraph"/>
        <w:numPr>
          <w:ilvl w:val="0"/>
          <w:numId w:val="4"/>
        </w:numPr>
      </w:pPr>
      <w:r>
        <w:rPr>
          <w:rFonts w:ascii="Figtree" w:hAnsi="Figtree"/>
          <w:b w:val="0"/>
          <w:i w:val="0"/>
          <w:sz w:val="22"/>
        </w:rPr>
        <w:t>Settlement, Servicing, and Corporate Actions</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Deutsche Bank has identified digital bonds issuance as a strategic capability for modernizing its fixed-income operations. The German Electronic Securities Act (eWpG) and the EU Markets in Crypto-Assets Regulation (MiCA) have created the regulatory framework for digital securities issuance in Germany and across the European Union. The challenge is no longer regulatory permission — it is production-grade execution: building infrastructure that can issue, settle, service, and retire digital bonds at institutional scale within the control environment expected of a Global Systemically Important Bank (G-SIB).</w:t>
      </w:r>
    </w:p>
    <w:p>
      <w:r>
        <w:rPr>
          <w:rFonts w:ascii="Figtree" w:hAnsi="Figtree"/>
          <w:b w:val="0"/>
          <w:i w:val="0"/>
          <w:sz w:val="22"/>
        </w:rPr>
        <w:t>SettleMint's Digital Asset Lifecycle Platform (DALP) addresses this directly. DALP provides the full bond lifecycle — from structuring and issuance through coupon processing, corporate actions, and redemption at maturity — with compliance enforcement embedded at the smart contract level and enterprise integration designed for G-SIB control requirements.</w:t>
      </w:r>
    </w:p>
    <w:p>
      <w:r>
        <w:rPr>
          <w:rFonts w:ascii="Figtree" w:hAnsi="Figtree"/>
          <w:b/>
          <w:i w:val="0"/>
          <w:sz w:val="22"/>
        </w:rPr>
        <w:t>Why DALP fits Deutsche Bank's requirements:</w:t>
      </w:r>
    </w:p>
    <w:p>
      <w:pPr>
        <w:pStyle w:val="ListParagraph"/>
        <w:numPr>
          <w:ilvl w:val="0"/>
          <w:numId w:val="4"/>
        </w:numPr>
      </w:pPr>
      <w:r>
        <w:rPr>
          <w:rFonts w:ascii="Figtree" w:hAnsi="Figtree"/>
          <w:b/>
          <w:i w:val="0"/>
          <w:sz w:val="22"/>
        </w:rPr>
        <w:t>Production-proven bond infrastructure.</w:t>
      </w:r>
      <w:r>
        <w:rPr>
          <w:rFonts w:ascii="Figtree" w:hAnsi="Figtree"/>
          <w:b w:val="0"/>
          <w:i w:val="0"/>
          <w:sz w:val="22"/>
        </w:rPr>
        <w:t xml:space="preserve"> DALP powers Commerzbank's hybrid Exchange-Traded Product (ETP) issuance programme — listed on Boerse Stuttgart with settlement in under 10 seconds and projected annual savings of EUR 7 million. This is the most directly relevant reference for Deutsche Bank's digital bonds programme.</w:t>
      </w:r>
    </w:p>
    <w:p>
      <w:pPr>
        <w:pStyle w:val="ListParagraph"/>
        <w:numPr>
          <w:ilvl w:val="0"/>
          <w:numId w:val="4"/>
        </w:numPr>
      </w:pPr>
      <w:r>
        <w:rPr>
          <w:rFonts w:ascii="Figtree" w:hAnsi="Figtree"/>
          <w:b/>
          <w:i w:val="0"/>
          <w:sz w:val="22"/>
        </w:rPr>
        <w:t>MiCA and eWpG compliance readiness.</w:t>
      </w:r>
      <w:r>
        <w:rPr>
          <w:rFonts w:ascii="Figtree" w:hAnsi="Figtree"/>
          <w:b w:val="0"/>
          <w:i w:val="0"/>
          <w:sz w:val="22"/>
        </w:rPr>
        <w:t xml:space="preserve"> DALP's compliance engine supports jurisdiction-specific regulatory configurations including MiFID II reporting (RTS 25), eWpG crypto securities register requirements, and MiCA prudential controls. Compliance modules enforce investor eligibility, jurisdiction restrictions, and transfer restrictions at the smart contract level.</w:t>
      </w:r>
    </w:p>
    <w:p>
      <w:pPr>
        <w:pStyle w:val="ListParagraph"/>
        <w:numPr>
          <w:ilvl w:val="0"/>
          <w:numId w:val="4"/>
        </w:numPr>
      </w:pPr>
      <w:r>
        <w:rPr>
          <w:rFonts w:ascii="Figtree" w:hAnsi="Figtree"/>
          <w:b/>
          <w:i w:val="0"/>
          <w:sz w:val="22"/>
        </w:rPr>
        <w:t>G-SIB integration architecture.</w:t>
      </w:r>
      <w:r>
        <w:rPr>
          <w:rFonts w:ascii="Figtree" w:hAnsi="Figtree"/>
          <w:b w:val="0"/>
          <w:i w:val="0"/>
          <w:sz w:val="22"/>
        </w:rPr>
        <w:t xml:space="preserve"> DALP integrates with core banking systems, custody providers (including sub-custody arrangements), SWIFT messaging, TARGET2-Securities (T2S), and regulatory reporting through a comprehensive API surface. The platform is designed to sit inside Deutsche Bank's enterprise architecture without creating reconciliation sinkholes or unowned integration points.</w:t>
      </w:r>
    </w:p>
    <w:p>
      <w:pPr>
        <w:pStyle w:val="ListParagraph"/>
        <w:numPr>
          <w:ilvl w:val="0"/>
          <w:numId w:val="4"/>
        </w:numPr>
      </w:pPr>
      <w:r>
        <w:rPr>
          <w:rFonts w:ascii="Figtree" w:hAnsi="Figtree"/>
          <w:b/>
          <w:i w:val="0"/>
          <w:sz w:val="22"/>
        </w:rPr>
        <w:t>Deterministic settlement.</w:t>
      </w:r>
      <w:r>
        <w:rPr>
          <w:rFonts w:ascii="Figtree" w:hAnsi="Figtree"/>
          <w:b w:val="0"/>
          <w:i w:val="0"/>
          <w:sz w:val="22"/>
        </w:rPr>
        <w:t xml:space="preserve"> Under tested conditions (500 concurrent settlement instructions, 4-node validator network), DALP achieves median settlement latency of 2.3 seconds with P99 at 4.1 seconds using IBFT consensus. This provides T+0 settlement with deterministic finality — eliminating the confirmation-depth waiting required by probabilistic consensus mechanisms.</w:t>
      </w:r>
    </w:p>
    <w:p>
      <w:pPr>
        <w:jc w:val="center"/>
      </w:pPr>
      <w:r>
        <w:drawing>
          <wp:inline xmlns:a="http://schemas.openxmlformats.org/drawingml/2006/main" xmlns:pic="http://schemas.openxmlformats.org/drawingml/2006/picture">
            <wp:extent cx="5486400" cy="132961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329612"/>
                    </a:xfrm>
                    <a:prstGeom prst="rect"/>
                  </pic:spPr>
                </pic:pic>
              </a:graphicData>
            </a:graphic>
          </wp:inline>
        </w:drawing>
      </w:r>
    </w:p>
    <w:p>
      <w:r>
        <w:br w:type="page"/>
      </w:r>
    </w:p>
    <w:p>
      <w:pPr>
        <w:pStyle w:val="H2"/>
        <w:numPr>
          <w:ilvl w:val="1"/>
          <w:numId w:val="1"/>
        </w:numPr>
      </w:pPr>
      <w:r>
        <w:t>Understanding Deutsche Bank's Programme Objectives</w:t>
      </w:r>
    </w:p>
    <w:p>
      <w:pPr>
        <w:pStyle w:val="H3"/>
        <w:numPr>
          <w:ilvl w:val="2"/>
          <w:numId w:val="1"/>
        </w:numPr>
      </w:pPr>
      <w:r>
        <w:t>The German Digital Securities Landscape</w:t>
      </w:r>
    </w:p>
    <w:p>
      <w:r>
        <w:rPr>
          <w:rFonts w:ascii="Figtree" w:hAnsi="Figtree"/>
          <w:b w:val="0"/>
          <w:i w:val="0"/>
          <w:sz w:val="22"/>
        </w:rPr>
        <w:t>Germany's eWpG (Electronic Securities Act, effective June 2021) permits the issuance of electronic securities on distributed ledger technology, creating a regulated pathway for digital bonds. Combined with MiCA (effective June 2023 for asset-referenced tokens, December 2024 for full scope), the regulatory framework for digital bond issuance in Germany and across the EU is now established.</w:t>
      </w:r>
    </w:p>
    <w:p>
      <w:r>
        <w:rPr>
          <w:rFonts w:ascii="Figtree" w:hAnsi="Figtree"/>
          <w:b w:val="0"/>
          <w:i w:val="0"/>
          <w:sz w:val="22"/>
        </w:rPr>
        <w:t>Deutsche Bank's programme objectives center on three requirements:</w:t>
      </w:r>
    </w:p>
    <w:p>
      <w:r>
        <w:rPr>
          <w:rFonts w:ascii="Figtree" w:hAnsi="Figtree"/>
          <w:b/>
          <w:i w:val="0"/>
          <w:sz w:val="22"/>
        </w:rPr>
        <w:t>First, institutional-grade issuance infrastructure.</w:t>
      </w:r>
      <w:r>
        <w:rPr>
          <w:rFonts w:ascii="Figtree" w:hAnsi="Figtree"/>
          <w:b w:val="0"/>
          <w:i w:val="0"/>
          <w:sz w:val="22"/>
        </w:rPr>
        <w:t xml:space="preserve"> The platform must support the full bond lifecycle — structuring, primary issuance, secondary market settlement, coupon processing, corporate actions, and redemption — with the same control environment applied to traditional fixed-income operations.</w:t>
      </w:r>
    </w:p>
    <w:p>
      <w:r>
        <w:rPr>
          <w:rFonts w:ascii="Figtree" w:hAnsi="Figtree"/>
          <w:b/>
          <w:i w:val="0"/>
          <w:sz w:val="22"/>
        </w:rPr>
        <w:t>Second, regulatory compliance across jurisdictions.</w:t>
      </w:r>
      <w:r>
        <w:rPr>
          <w:rFonts w:ascii="Figtree" w:hAnsi="Figtree"/>
          <w:b w:val="0"/>
          <w:i w:val="0"/>
          <w:sz w:val="22"/>
        </w:rPr>
        <w:t xml:space="preserve"> Digital bonds issued under eWpG must comply with German securities law, BaFin supervision, MiCA requirements, and potentially MiFID II obligations for distribution across EU member states. The platform must support multi-jurisdictional compliance without requiring separate implementations per jurisdiction.</w:t>
      </w:r>
    </w:p>
    <w:p>
      <w:r>
        <w:rPr>
          <w:rFonts w:ascii="Figtree" w:hAnsi="Figtree"/>
          <w:b/>
          <w:i w:val="0"/>
          <w:sz w:val="22"/>
        </w:rPr>
        <w:t>Third, hybrid on-chain/off-chain coexistence.</w:t>
      </w:r>
      <w:r>
        <w:rPr>
          <w:rFonts w:ascii="Figtree" w:hAnsi="Figtree"/>
          <w:b w:val="0"/>
          <w:i w:val="0"/>
          <w:sz w:val="22"/>
        </w:rPr>
        <w:t xml:space="preserve"> Deutsche Bank's digital bonds programme will initially coexist with traditional fixed-income infrastructure. The platform must integrate with TARGET2-Securities, Clearstream, SWIFT, and existing core banking systems — operating as a component within the broader settlement ecosystem, not as a replacement for it.</w:t>
      </w:r>
    </w:p>
    <w:p>
      <w:pPr>
        <w:jc w:val="center"/>
      </w:pPr>
      <w:r>
        <w:drawing>
          <wp:inline xmlns:a="http://schemas.openxmlformats.org/drawingml/2006/main" xmlns:pic="http://schemas.openxmlformats.org/drawingml/2006/picture">
            <wp:extent cx="5486400" cy="6502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6502400"/>
                    </a:xfrm>
                    <a:prstGeom prst="rect"/>
                  </pic:spPr>
                </pic:pic>
              </a:graphicData>
            </a:graphic>
          </wp:inline>
        </w:drawing>
      </w:r>
    </w:p>
    <w:p>
      <w:r>
        <w:br w:type="page"/>
      </w:r>
    </w:p>
    <w:p>
      <w:pPr>
        <w:pStyle w:val="H2"/>
        <w:numPr>
          <w:ilvl w:val="1"/>
          <w:numId w:val="1"/>
        </w:numPr>
      </w:pPr>
      <w:r>
        <w:t>Proposed DALP Operating Model for Digital Bonds</w:t>
      </w:r>
    </w:p>
    <w:p>
      <w:pPr>
        <w:pStyle w:val="H3"/>
        <w:numPr>
          <w:ilvl w:val="2"/>
          <w:numId w:val="1"/>
        </w:numPr>
      </w:pPr>
      <w:r>
        <w:t>Bond Lifecycle Coverage</w:t>
      </w:r>
    </w:p>
    <w:p>
      <w:r>
        <w:rPr>
          <w:rFonts w:ascii="Figtree" w:hAnsi="Figtree"/>
          <w:b w:val="0"/>
          <w:i w:val="0"/>
          <w:sz w:val="22"/>
        </w:rPr>
        <w:t>DALP manages the complete bond lifecycle through configurable DALPAsset contracts:</w:t>
      </w:r>
    </w:p>
    <w:p>
      <w:pPr>
        <w:jc w:val="center"/>
      </w:pPr>
      <w:r>
        <w:drawing>
          <wp:inline xmlns:a="http://schemas.openxmlformats.org/drawingml/2006/main" xmlns:pic="http://schemas.openxmlformats.org/drawingml/2006/picture">
            <wp:extent cx="5486400" cy="779534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7795348"/>
                    </a:xfrm>
                    <a:prstGeom prst="rect"/>
                  </pic:spPr>
                </pic:pic>
              </a:graphicData>
            </a:graphic>
          </wp:inline>
        </w:drawing>
      </w:r>
    </w:p>
    <w:p>
      <w:pPr>
        <w:pStyle w:val="H3"/>
        <w:numPr>
          <w:ilvl w:val="2"/>
          <w:numId w:val="1"/>
        </w:numPr>
      </w:pPr>
      <w:r>
        <w:t>Bond Configuration Parameters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Parameter</w:t>
            </w:r>
          </w:p>
        </w:tc>
        <w:tc>
          <w:tcPr>
            <w:tcW w:type="dxa" w:w="3249"/>
            <w:vAlign w:val="center"/>
            <w:shd w:fill="000099" w:val="clear"/>
          </w:tcPr>
          <w:p>
            <w:r>
              <w:rPr>
                <w:b/>
                <w:color w:val="FFFFFF"/>
              </w:rPr>
            </w:r>
            <w:r>
              <w:rPr>
                <w:rFonts w:ascii="Figtree" w:hAnsi="Figtree"/>
                <w:b/>
                <w:i w:val="0"/>
                <w:color w:val="FFFFFF"/>
                <w:sz w:val="22"/>
              </w:rPr>
              <w:t>Description</w:t>
            </w:r>
          </w:p>
        </w:tc>
        <w:tc>
          <w:tcPr>
            <w:tcW w:type="dxa" w:w="3249"/>
            <w:vAlign w:val="center"/>
            <w:shd w:fill="000099" w:val="clear"/>
          </w:tcPr>
          <w:p>
            <w:r>
              <w:rPr>
                <w:b/>
                <w:color w:val="FFFFFF"/>
              </w:rPr>
            </w:r>
            <w:r>
              <w:rPr>
                <w:rFonts w:ascii="Figtree" w:hAnsi="Figtree"/>
                <w:b/>
                <w:i w:val="0"/>
                <w:color w:val="FFFFFF"/>
                <w:sz w:val="22"/>
              </w:rPr>
              <w:t>DALP Configuration</w:t>
            </w:r>
          </w:p>
        </w:tc>
      </w:tr>
      <w:tr>
        <w:trPr>
          <w:trHeight w:val="454" w:hRule="atLeast"/>
        </w:trPr>
        <w:tc>
          <w:tcPr>
            <w:tcW w:type="dxa" w:w="3249"/>
            <w:vAlign w:val="center"/>
          </w:tcPr>
          <w:p>
            <w:r/>
            <w:r>
              <w:rPr>
                <w:rFonts w:ascii="Figtree" w:hAnsi="Figtree"/>
                <w:b w:val="0"/>
                <w:i w:val="0"/>
                <w:sz w:val="22"/>
              </w:rPr>
              <w:t>ISIN</w:t>
            </w:r>
          </w:p>
        </w:tc>
        <w:tc>
          <w:tcPr>
            <w:tcW w:type="dxa" w:w="3249"/>
            <w:vAlign w:val="center"/>
          </w:tcPr>
          <w:p>
            <w:r/>
            <w:r>
              <w:rPr>
                <w:rFonts w:ascii="Figtree" w:hAnsi="Figtree"/>
                <w:b w:val="0"/>
                <w:i w:val="0"/>
                <w:sz w:val="22"/>
              </w:rPr>
              <w:t>International Securities Identification Number</w:t>
            </w:r>
          </w:p>
        </w:tc>
        <w:tc>
          <w:tcPr>
            <w:tcW w:type="dxa" w:w="3249"/>
            <w:vAlign w:val="center"/>
          </w:tcPr>
          <w:p>
            <w:r/>
            <w:r>
              <w:rPr>
                <w:rFonts w:ascii="Figtree" w:hAnsi="Figtree"/>
                <w:b w:val="0"/>
                <w:i w:val="0"/>
                <w:sz w:val="22"/>
              </w:rPr>
              <w:t>Validated per ISO 6166 at creation</w:t>
            </w:r>
          </w:p>
        </w:tc>
      </w:tr>
      <w:tr>
        <w:trPr>
          <w:trHeight w:val="454" w:hRule="atLeast"/>
        </w:trPr>
        <w:tc>
          <w:tcPr>
            <w:tcW w:type="dxa" w:w="3249"/>
            <w:vAlign w:val="center"/>
          </w:tcPr>
          <w:p>
            <w:r/>
            <w:r>
              <w:rPr>
                <w:rFonts w:ascii="Figtree" w:hAnsi="Figtree"/>
                <w:b w:val="0"/>
                <w:i w:val="0"/>
                <w:sz w:val="22"/>
              </w:rPr>
              <w:t>Face value</w:t>
            </w:r>
          </w:p>
        </w:tc>
        <w:tc>
          <w:tcPr>
            <w:tcW w:type="dxa" w:w="3249"/>
            <w:vAlign w:val="center"/>
          </w:tcPr>
          <w:p>
            <w:r/>
            <w:r>
              <w:rPr>
                <w:rFonts w:ascii="Figtree" w:hAnsi="Figtree"/>
                <w:b w:val="0"/>
                <w:i w:val="0"/>
                <w:sz w:val="22"/>
              </w:rPr>
              <w:t>Par value per bond</w:t>
            </w:r>
          </w:p>
        </w:tc>
        <w:tc>
          <w:tcPr>
            <w:tcW w:type="dxa" w:w="3249"/>
            <w:vAlign w:val="center"/>
          </w:tcPr>
          <w:p>
            <w:r/>
            <w:r>
              <w:rPr>
                <w:rFonts w:ascii="Figtree" w:hAnsi="Figtree"/>
                <w:b w:val="0"/>
                <w:i w:val="0"/>
                <w:sz w:val="22"/>
              </w:rPr>
              <w:t>Token denomination parameter</w:t>
            </w:r>
          </w:p>
        </w:tc>
      </w:tr>
      <w:tr>
        <w:trPr>
          <w:trHeight w:val="454" w:hRule="atLeast"/>
        </w:trPr>
        <w:tc>
          <w:tcPr>
            <w:tcW w:type="dxa" w:w="3249"/>
            <w:vAlign w:val="center"/>
          </w:tcPr>
          <w:p>
            <w:r/>
            <w:r>
              <w:rPr>
                <w:rFonts w:ascii="Figtree" w:hAnsi="Figtree"/>
                <w:b w:val="0"/>
                <w:i w:val="0"/>
                <w:sz w:val="22"/>
              </w:rPr>
              <w:t>Coupon rate</w:t>
            </w:r>
          </w:p>
        </w:tc>
        <w:tc>
          <w:tcPr>
            <w:tcW w:type="dxa" w:w="3249"/>
            <w:vAlign w:val="center"/>
          </w:tcPr>
          <w:p>
            <w:r/>
            <w:r>
              <w:rPr>
                <w:rFonts w:ascii="Figtree" w:hAnsi="Figtree"/>
                <w:b w:val="0"/>
                <w:i w:val="0"/>
                <w:sz w:val="22"/>
              </w:rPr>
              <w:t>Fixed or floating rate</w:t>
            </w:r>
          </w:p>
        </w:tc>
        <w:tc>
          <w:tcPr>
            <w:tcW w:type="dxa" w:w="3249"/>
            <w:vAlign w:val="center"/>
          </w:tcPr>
          <w:p>
            <w:r/>
            <w:r>
              <w:rPr>
                <w:rFonts w:ascii="Figtree" w:hAnsi="Figtree"/>
                <w:b w:val="0"/>
                <w:i w:val="0"/>
                <w:sz w:val="22"/>
              </w:rPr>
              <w:t>Yield feature configuration</w:t>
            </w:r>
          </w:p>
        </w:tc>
      </w:tr>
      <w:tr>
        <w:trPr>
          <w:trHeight w:val="454" w:hRule="atLeast"/>
        </w:trPr>
        <w:tc>
          <w:tcPr>
            <w:tcW w:type="dxa" w:w="3249"/>
            <w:vAlign w:val="center"/>
          </w:tcPr>
          <w:p>
            <w:r/>
            <w:r>
              <w:rPr>
                <w:rFonts w:ascii="Figtree" w:hAnsi="Figtree"/>
                <w:b w:val="0"/>
                <w:i w:val="0"/>
                <w:sz w:val="22"/>
              </w:rPr>
              <w:t>Coupon frequency</w:t>
            </w:r>
          </w:p>
        </w:tc>
        <w:tc>
          <w:tcPr>
            <w:tcW w:type="dxa" w:w="3249"/>
            <w:vAlign w:val="center"/>
          </w:tcPr>
          <w:p>
            <w:r/>
            <w:r>
              <w:rPr>
                <w:rFonts w:ascii="Figtree" w:hAnsi="Figtree"/>
                <w:b w:val="0"/>
                <w:i w:val="0"/>
                <w:sz w:val="22"/>
              </w:rPr>
              <w:t>Annual, semi-annual, quarterly</w:t>
            </w:r>
          </w:p>
        </w:tc>
        <w:tc>
          <w:tcPr>
            <w:tcW w:type="dxa" w:w="3249"/>
            <w:vAlign w:val="center"/>
          </w:tcPr>
          <w:p>
            <w:r/>
            <w:r>
              <w:rPr>
                <w:rFonts w:ascii="Figtree" w:hAnsi="Figtree"/>
                <w:b w:val="0"/>
                <w:i w:val="0"/>
                <w:sz w:val="22"/>
              </w:rPr>
              <w:t>Distribution schedule</w:t>
            </w:r>
          </w:p>
        </w:tc>
      </w:tr>
      <w:tr>
        <w:trPr>
          <w:trHeight w:val="454" w:hRule="atLeast"/>
        </w:trPr>
        <w:tc>
          <w:tcPr>
            <w:tcW w:type="dxa" w:w="3249"/>
            <w:vAlign w:val="center"/>
          </w:tcPr>
          <w:p>
            <w:r/>
            <w:r>
              <w:rPr>
                <w:rFonts w:ascii="Figtree" w:hAnsi="Figtree"/>
                <w:b w:val="0"/>
                <w:i w:val="0"/>
                <w:sz w:val="22"/>
              </w:rPr>
              <w:t>Day count convention</w:t>
            </w:r>
          </w:p>
        </w:tc>
        <w:tc>
          <w:tcPr>
            <w:tcW w:type="dxa" w:w="3249"/>
            <w:vAlign w:val="center"/>
          </w:tcPr>
          <w:p>
            <w:r/>
            <w:r>
              <w:rPr>
                <w:rFonts w:ascii="Figtree" w:hAnsi="Figtree"/>
                <w:b w:val="0"/>
                <w:i w:val="0"/>
                <w:sz w:val="22"/>
              </w:rPr>
              <w:t>30/360, ACT/360, ACT/365</w:t>
            </w:r>
          </w:p>
        </w:tc>
        <w:tc>
          <w:tcPr>
            <w:tcW w:type="dxa" w:w="3249"/>
            <w:vAlign w:val="center"/>
          </w:tcPr>
          <w:p>
            <w:r/>
            <w:r>
              <w:rPr>
                <w:rFonts w:ascii="Figtree" w:hAnsi="Figtree"/>
                <w:b w:val="0"/>
                <w:i w:val="0"/>
                <w:sz w:val="22"/>
              </w:rPr>
              <w:t>Calculation engine parameter</w:t>
            </w:r>
          </w:p>
        </w:tc>
      </w:tr>
      <w:tr>
        <w:trPr>
          <w:trHeight w:val="454" w:hRule="atLeast"/>
        </w:trPr>
        <w:tc>
          <w:tcPr>
            <w:tcW w:type="dxa" w:w="3249"/>
            <w:vAlign w:val="center"/>
          </w:tcPr>
          <w:p>
            <w:r/>
            <w:r>
              <w:rPr>
                <w:rFonts w:ascii="Figtree" w:hAnsi="Figtree"/>
                <w:b w:val="0"/>
                <w:i w:val="0"/>
                <w:sz w:val="22"/>
              </w:rPr>
              <w:t>Maturity date</w:t>
            </w:r>
          </w:p>
        </w:tc>
        <w:tc>
          <w:tcPr>
            <w:tcW w:type="dxa" w:w="3249"/>
            <w:vAlign w:val="center"/>
          </w:tcPr>
          <w:p>
            <w:r/>
            <w:r>
              <w:rPr>
                <w:rFonts w:ascii="Figtree" w:hAnsi="Figtree"/>
                <w:b w:val="0"/>
                <w:i w:val="0"/>
                <w:sz w:val="22"/>
              </w:rPr>
              <w:t>Bond expiry date</w:t>
            </w:r>
          </w:p>
        </w:tc>
        <w:tc>
          <w:tcPr>
            <w:tcW w:type="dxa" w:w="3249"/>
            <w:vAlign w:val="center"/>
          </w:tcPr>
          <w:p>
            <w:r/>
            <w:r>
              <w:rPr>
                <w:rFonts w:ascii="Figtree" w:hAnsi="Figtree"/>
                <w:b w:val="0"/>
                <w:i w:val="0"/>
                <w:sz w:val="22"/>
              </w:rPr>
              <w:t>Maturity &amp; Redemption feature</w:t>
            </w:r>
          </w:p>
        </w:tc>
      </w:tr>
      <w:tr>
        <w:trPr>
          <w:trHeight w:val="454" w:hRule="atLeast"/>
        </w:trPr>
        <w:tc>
          <w:tcPr>
            <w:tcW w:type="dxa" w:w="3249"/>
            <w:vAlign w:val="center"/>
          </w:tcPr>
          <w:p>
            <w:r/>
            <w:r>
              <w:rPr>
                <w:rFonts w:ascii="Figtree" w:hAnsi="Figtree"/>
                <w:b w:val="0"/>
                <w:i w:val="0"/>
                <w:sz w:val="22"/>
              </w:rPr>
              <w:t>Call/put provisions</w:t>
            </w:r>
          </w:p>
        </w:tc>
        <w:tc>
          <w:tcPr>
            <w:tcW w:type="dxa" w:w="3249"/>
            <w:vAlign w:val="center"/>
          </w:tcPr>
          <w:p>
            <w:r/>
            <w:r>
              <w:rPr>
                <w:rFonts w:ascii="Figtree" w:hAnsi="Figtree"/>
                <w:b w:val="0"/>
                <w:i w:val="0"/>
                <w:sz w:val="22"/>
              </w:rPr>
              <w:t>Early redemption rights</w:t>
            </w:r>
          </w:p>
        </w:tc>
        <w:tc>
          <w:tcPr>
            <w:tcW w:type="dxa" w:w="3249"/>
            <w:vAlign w:val="center"/>
          </w:tcPr>
          <w:p>
            <w:r/>
            <w:r>
              <w:rPr>
                <w:rFonts w:ascii="Figtree" w:hAnsi="Figtree"/>
                <w:b w:val="0"/>
                <w:i w:val="0"/>
                <w:sz w:val="22"/>
              </w:rPr>
              <w:t>Configurable lifecycle events</w:t>
            </w:r>
          </w:p>
        </w:tc>
      </w:tr>
      <w:tr>
        <w:trPr>
          <w:trHeight w:val="454" w:hRule="atLeast"/>
        </w:trPr>
        <w:tc>
          <w:tcPr>
            <w:tcW w:type="dxa" w:w="3249"/>
            <w:vAlign w:val="center"/>
          </w:tcPr>
          <w:p>
            <w:r/>
            <w:r>
              <w:rPr>
                <w:rFonts w:ascii="Figtree" w:hAnsi="Figtree"/>
                <w:b w:val="0"/>
                <w:i w:val="0"/>
                <w:sz w:val="22"/>
              </w:rPr>
              <w:t>Currency</w:t>
            </w:r>
          </w:p>
        </w:tc>
        <w:tc>
          <w:tcPr>
            <w:tcW w:type="dxa" w:w="3249"/>
            <w:vAlign w:val="center"/>
          </w:tcPr>
          <w:p>
            <w:r/>
            <w:r>
              <w:rPr>
                <w:rFonts w:ascii="Figtree" w:hAnsi="Figtree"/>
                <w:b w:val="0"/>
                <w:i w:val="0"/>
                <w:sz w:val="22"/>
              </w:rPr>
              <w:t>Denomination and settlement currency</w:t>
            </w:r>
          </w:p>
        </w:tc>
        <w:tc>
          <w:tcPr>
            <w:tcW w:type="dxa" w:w="3249"/>
            <w:vAlign w:val="center"/>
          </w:tcPr>
          <w:p>
            <w:r/>
            <w:r>
              <w:rPr>
                <w:rFonts w:ascii="Figtree" w:hAnsi="Figtree"/>
                <w:b w:val="0"/>
                <w:i w:val="0"/>
                <w:sz w:val="22"/>
              </w:rPr>
              <w:t>DALPAsset currency parameter</w:t>
            </w:r>
          </w:p>
        </w:tc>
      </w:tr>
      <w:tr>
        <w:trPr>
          <w:trHeight w:val="454" w:hRule="atLeast"/>
        </w:trPr>
        <w:tc>
          <w:tcPr>
            <w:tcW w:type="dxa" w:w="3249"/>
            <w:vAlign w:val="center"/>
          </w:tcPr>
          <w:p>
            <w:r/>
            <w:r>
              <w:rPr>
                <w:rFonts w:ascii="Figtree" w:hAnsi="Figtree"/>
                <w:b w:val="0"/>
                <w:i w:val="0"/>
                <w:sz w:val="22"/>
              </w:rPr>
              <w:t>Jurisdiction</w:t>
            </w:r>
          </w:p>
        </w:tc>
        <w:tc>
          <w:tcPr>
            <w:tcW w:type="dxa" w:w="3249"/>
            <w:vAlign w:val="center"/>
          </w:tcPr>
          <w:p>
            <w:r/>
            <w:r>
              <w:rPr>
                <w:rFonts w:ascii="Figtree" w:hAnsi="Figtree"/>
                <w:b w:val="0"/>
                <w:i w:val="0"/>
                <w:sz w:val="22"/>
              </w:rPr>
              <w:t>Governing law and regulatory framework</w:t>
            </w:r>
          </w:p>
        </w:tc>
        <w:tc>
          <w:tcPr>
            <w:tcW w:type="dxa" w:w="3249"/>
            <w:vAlign w:val="center"/>
          </w:tcPr>
          <w:p>
            <w:r/>
            <w:r>
              <w:rPr>
                <w:rFonts w:ascii="Figtree" w:hAnsi="Figtree"/>
                <w:b w:val="0"/>
                <w:i w:val="0"/>
                <w:sz w:val="22"/>
              </w:rPr>
              <w:t>Compliance module binding</w:t>
            </w:r>
          </w:p>
        </w:tc>
      </w:tr>
    </w:tbl>
    <w:p>
      <w:r>
        <w:br w:type="page"/>
      </w:r>
    </w:p>
    <w:p>
      <w:pPr>
        <w:pStyle w:val="H2"/>
        <w:numPr>
          <w:ilvl w:val="1"/>
          <w:numId w:val="1"/>
        </w:numPr>
      </w:pPr>
      <w:r>
        <w:t>Technical Architecture and Integration Boundaries</w:t>
      </w:r>
    </w:p>
    <w:p>
      <w:pPr>
        <w:pStyle w:val="H3"/>
        <w:numPr>
          <w:ilvl w:val="2"/>
          <w:numId w:val="1"/>
        </w:numPr>
      </w:pPr>
      <w:r>
        <w:t>Enterprise Integration for Deutsche Bank</w:t>
      </w:r>
    </w:p>
    <w:p>
      <w:pPr>
        <w:jc w:val="center"/>
      </w:pPr>
      <w:r>
        <w:drawing>
          <wp:inline xmlns:a="http://schemas.openxmlformats.org/drawingml/2006/main" xmlns:pic="http://schemas.openxmlformats.org/drawingml/2006/picture">
            <wp:extent cx="5486400" cy="1006308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0063089"/>
                    </a:xfrm>
                    <a:prstGeom prst="rect"/>
                  </pic:spPr>
                </pic:pic>
              </a:graphicData>
            </a:graphic>
          </wp:inline>
        </w:drawing>
      </w:r>
    </w:p>
    <w:p>
      <w:pPr>
        <w:pStyle w:val="H3"/>
        <w:numPr>
          <w:ilvl w:val="2"/>
          <w:numId w:val="1"/>
        </w:numPr>
      </w:pPr>
      <w:r>
        <w:t>ISO 20022 Messaging</w:t>
      </w:r>
    </w:p>
    <w:p>
      <w:r>
        <w:rPr>
          <w:rFonts w:ascii="Figtree" w:hAnsi="Figtree"/>
          <w:b w:val="0"/>
          <w:i w:val="0"/>
          <w:sz w:val="22"/>
        </w:rPr>
        <w:t>DALP supports integration with SWIFT and TARGET2-Securities through ISO 20022 message types: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Message Type</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Integration</w:t>
            </w:r>
          </w:p>
        </w:tc>
      </w:tr>
      <w:tr>
        <w:trPr>
          <w:trHeight w:val="454" w:hRule="atLeast"/>
        </w:trPr>
        <w:tc>
          <w:tcPr>
            <w:tcW w:type="dxa" w:w="3249"/>
            <w:vAlign w:val="center"/>
          </w:tcPr>
          <w:p>
            <w:r/>
            <w:r>
              <w:rPr>
                <w:rFonts w:ascii="Figtree" w:hAnsi="Figtree"/>
                <w:b w:val="0"/>
                <w:i w:val="0"/>
                <w:sz w:val="22"/>
              </w:rPr>
              <w:t>pain.001</w:t>
            </w:r>
          </w:p>
        </w:tc>
        <w:tc>
          <w:tcPr>
            <w:tcW w:type="dxa" w:w="3249"/>
            <w:vAlign w:val="center"/>
          </w:tcPr>
          <w:p>
            <w:r/>
            <w:r>
              <w:rPr>
                <w:rFonts w:ascii="Figtree" w:hAnsi="Figtree"/>
                <w:b w:val="0"/>
                <w:i w:val="0"/>
                <w:sz w:val="22"/>
              </w:rPr>
              <w:t>Payment initiation</w:t>
            </w:r>
          </w:p>
        </w:tc>
        <w:tc>
          <w:tcPr>
            <w:tcW w:type="dxa" w:w="3249"/>
            <w:vAlign w:val="center"/>
          </w:tcPr>
          <w:p>
            <w:r/>
            <w:r>
              <w:rPr>
                <w:rFonts w:ascii="Figtree" w:hAnsi="Figtree"/>
                <w:b w:val="0"/>
                <w:i w:val="0"/>
                <w:sz w:val="22"/>
              </w:rPr>
              <w:t>Settlement instruction creation</w:t>
            </w:r>
          </w:p>
        </w:tc>
      </w:tr>
      <w:tr>
        <w:trPr>
          <w:trHeight w:val="454" w:hRule="atLeast"/>
        </w:trPr>
        <w:tc>
          <w:tcPr>
            <w:tcW w:type="dxa" w:w="3249"/>
            <w:vAlign w:val="center"/>
          </w:tcPr>
          <w:p>
            <w:r/>
            <w:r>
              <w:rPr>
                <w:rFonts w:ascii="Figtree" w:hAnsi="Figtree"/>
                <w:b w:val="0"/>
                <w:i w:val="0"/>
                <w:sz w:val="22"/>
              </w:rPr>
              <w:t>pain.002</w:t>
            </w:r>
          </w:p>
        </w:tc>
        <w:tc>
          <w:tcPr>
            <w:tcW w:type="dxa" w:w="3249"/>
            <w:vAlign w:val="center"/>
          </w:tcPr>
          <w:p>
            <w:r/>
            <w:r>
              <w:rPr>
                <w:rFonts w:ascii="Figtree" w:hAnsi="Figtree"/>
                <w:b w:val="0"/>
                <w:i w:val="0"/>
                <w:sz w:val="22"/>
              </w:rPr>
              <w:t>Payment status</w:t>
            </w:r>
          </w:p>
        </w:tc>
        <w:tc>
          <w:tcPr>
            <w:tcW w:type="dxa" w:w="3249"/>
            <w:vAlign w:val="center"/>
          </w:tcPr>
          <w:p>
            <w:r/>
            <w:r>
              <w:rPr>
                <w:rFonts w:ascii="Figtree" w:hAnsi="Figtree"/>
                <w:b w:val="0"/>
                <w:i w:val="0"/>
                <w:sz w:val="22"/>
              </w:rPr>
              <w:t>Settlement confirmation</w:t>
            </w:r>
          </w:p>
        </w:tc>
      </w:tr>
      <w:tr>
        <w:trPr>
          <w:trHeight w:val="454" w:hRule="atLeast"/>
        </w:trPr>
        <w:tc>
          <w:tcPr>
            <w:tcW w:type="dxa" w:w="3249"/>
            <w:vAlign w:val="center"/>
          </w:tcPr>
          <w:p>
            <w:r/>
            <w:r>
              <w:rPr>
                <w:rFonts w:ascii="Figtree" w:hAnsi="Figtree"/>
                <w:b w:val="0"/>
                <w:i w:val="0"/>
                <w:sz w:val="22"/>
              </w:rPr>
              <w:t>semt.002</w:t>
            </w:r>
          </w:p>
        </w:tc>
        <w:tc>
          <w:tcPr>
            <w:tcW w:type="dxa" w:w="3249"/>
            <w:vAlign w:val="center"/>
          </w:tcPr>
          <w:p>
            <w:r/>
            <w:r>
              <w:rPr>
                <w:rFonts w:ascii="Figtree" w:hAnsi="Figtree"/>
                <w:b w:val="0"/>
                <w:i w:val="0"/>
                <w:sz w:val="22"/>
              </w:rPr>
              <w:t>Securities balance</w:t>
            </w:r>
          </w:p>
        </w:tc>
        <w:tc>
          <w:tcPr>
            <w:tcW w:type="dxa" w:w="3249"/>
            <w:vAlign w:val="center"/>
          </w:tcPr>
          <w:p>
            <w:r/>
            <w:r>
              <w:rPr>
                <w:rFonts w:ascii="Figtree" w:hAnsi="Figtree"/>
                <w:b w:val="0"/>
                <w:i w:val="0"/>
                <w:sz w:val="22"/>
              </w:rPr>
              <w:t>Position reconciliation</w:t>
            </w:r>
          </w:p>
        </w:tc>
      </w:tr>
      <w:tr>
        <w:trPr>
          <w:trHeight w:val="454" w:hRule="atLeast"/>
        </w:trPr>
        <w:tc>
          <w:tcPr>
            <w:tcW w:type="dxa" w:w="3249"/>
            <w:vAlign w:val="center"/>
          </w:tcPr>
          <w:p>
            <w:r/>
            <w:r>
              <w:rPr>
                <w:rFonts w:ascii="Figtree" w:hAnsi="Figtree"/>
                <w:b w:val="0"/>
                <w:i w:val="0"/>
                <w:sz w:val="22"/>
              </w:rPr>
              <w:t>sese.023</w:t>
            </w:r>
          </w:p>
        </w:tc>
        <w:tc>
          <w:tcPr>
            <w:tcW w:type="dxa" w:w="3249"/>
            <w:vAlign w:val="center"/>
          </w:tcPr>
          <w:p>
            <w:r/>
            <w:r>
              <w:rPr>
                <w:rFonts w:ascii="Figtree" w:hAnsi="Figtree"/>
                <w:b w:val="0"/>
                <w:i w:val="0"/>
                <w:sz w:val="22"/>
              </w:rPr>
              <w:t>Settlement instruction</w:t>
            </w:r>
          </w:p>
        </w:tc>
        <w:tc>
          <w:tcPr>
            <w:tcW w:type="dxa" w:w="3249"/>
            <w:vAlign w:val="center"/>
          </w:tcPr>
          <w:p>
            <w:r/>
            <w:r>
              <w:rPr>
                <w:rFonts w:ascii="Figtree" w:hAnsi="Figtree"/>
                <w:b w:val="0"/>
                <w:i w:val="0"/>
                <w:sz w:val="22"/>
              </w:rPr>
              <w:t>DVP settlement</w:t>
            </w:r>
          </w:p>
        </w:tc>
      </w:tr>
      <w:tr>
        <w:trPr>
          <w:trHeight w:val="454" w:hRule="atLeast"/>
        </w:trPr>
        <w:tc>
          <w:tcPr>
            <w:tcW w:type="dxa" w:w="3249"/>
            <w:vAlign w:val="center"/>
          </w:tcPr>
          <w:p>
            <w:r/>
            <w:r>
              <w:rPr>
                <w:rFonts w:ascii="Figtree" w:hAnsi="Figtree"/>
                <w:b w:val="0"/>
                <w:i w:val="0"/>
                <w:sz w:val="22"/>
              </w:rPr>
              <w:t>sese.025</w:t>
            </w:r>
          </w:p>
        </w:tc>
        <w:tc>
          <w:tcPr>
            <w:tcW w:type="dxa" w:w="3249"/>
            <w:vAlign w:val="center"/>
          </w:tcPr>
          <w:p>
            <w:r/>
            <w:r>
              <w:rPr>
                <w:rFonts w:ascii="Figtree" w:hAnsi="Figtree"/>
                <w:b w:val="0"/>
                <w:i w:val="0"/>
                <w:sz w:val="22"/>
              </w:rPr>
              <w:t>Settlement confirmation</w:t>
            </w:r>
          </w:p>
        </w:tc>
        <w:tc>
          <w:tcPr>
            <w:tcW w:type="dxa" w:w="3249"/>
            <w:vAlign w:val="center"/>
          </w:tcPr>
          <w:p>
            <w:r/>
            <w:r>
              <w:rPr>
                <w:rFonts w:ascii="Figtree" w:hAnsi="Figtree"/>
                <w:b w:val="0"/>
                <w:i w:val="0"/>
                <w:sz w:val="22"/>
              </w:rPr>
              <w:t>Post-settlement reporting</w:t>
            </w:r>
          </w:p>
        </w:tc>
      </w:tr>
    </w:tbl>
    <w:p>
      <w:r>
        <w:rPr>
          <w:rFonts w:ascii="Figtree" w:hAnsi="Figtree"/>
          <w:b/>
          <w:i w:val="0"/>
          <w:sz w:val="22"/>
        </w:rPr>
        <w:t>Current status:</w:t>
      </w:r>
      <w:r>
        <w:rPr>
          <w:rFonts w:ascii="Figtree" w:hAnsi="Figtree"/>
          <w:b w:val="0"/>
          <w:i w:val="0"/>
          <w:sz w:val="22"/>
        </w:rPr>
        <w:t xml:space="preserve"> DALP generates settlement instructions in its standard format. Native ISO 20022 message generation is in development, targeted for Q3 2026. In the interim, a documented middleware translation layer is available, successfully deployed by two existing clients.</w:t>
      </w:r>
    </w:p>
    <w:p>
      <w:r>
        <w:br w:type="page"/>
      </w:r>
    </w:p>
    <w:p>
      <w:pPr>
        <w:pStyle w:val="H2"/>
        <w:numPr>
          <w:ilvl w:val="1"/>
          <w:numId w:val="1"/>
        </w:numPr>
      </w:pPr>
      <w:r>
        <w:t>Settlement, Servicing, and Corporate Actions</w:t>
      </w:r>
    </w:p>
    <w:p>
      <w:pPr>
        <w:pStyle w:val="H3"/>
        <w:numPr>
          <w:ilvl w:val="2"/>
          <w:numId w:val="1"/>
        </w:numPr>
      </w:pPr>
      <w:r>
        <w:t>T+0 Settlement</w:t>
      </w:r>
    </w:p>
    <w:p>
      <w:r>
        <w:rPr>
          <w:rFonts w:ascii="Figtree" w:hAnsi="Figtree"/>
          <w:b w:val="0"/>
          <w:i w:val="0"/>
          <w:sz w:val="22"/>
        </w:rPr>
        <w:t>DALP enables T+0 settlement for digital bonds through atomic DvP:</w:t>
      </w:r>
    </w:p>
    <w:p>
      <w:pPr>
        <w:pStyle w:val="ListParagraph"/>
        <w:numPr>
          <w:ilvl w:val="0"/>
          <w:numId w:val="4"/>
        </w:numPr>
      </w:pPr>
      <w:r>
        <w:rPr>
          <w:rFonts w:ascii="Figtree" w:hAnsi="Figtree"/>
          <w:b w:val="0"/>
          <w:i w:val="0"/>
          <w:sz w:val="22"/>
        </w:rPr>
        <w:t>Settlement finality in under 3 seconds (median) using IBFT consensus</w:t>
      </w:r>
    </w:p>
    <w:p>
      <w:pPr>
        <w:pStyle w:val="ListParagraph"/>
        <w:numPr>
          <w:ilvl w:val="0"/>
          <w:numId w:val="4"/>
        </w:numPr>
      </w:pPr>
      <w:r>
        <w:rPr>
          <w:rFonts w:ascii="Figtree" w:hAnsi="Figtree"/>
          <w:b w:val="0"/>
          <w:i w:val="0"/>
          <w:sz w:val="22"/>
        </w:rPr>
        <w:t>Deterministic finality — no confirmation-depth waiting</w:t>
      </w:r>
    </w:p>
    <w:p>
      <w:pPr>
        <w:pStyle w:val="ListParagraph"/>
        <w:numPr>
          <w:ilvl w:val="0"/>
          <w:numId w:val="4"/>
        </w:numPr>
      </w:pPr>
      <w:r>
        <w:rPr>
          <w:rFonts w:ascii="Figtree" w:hAnsi="Figtree"/>
          <w:b w:val="0"/>
          <w:i w:val="0"/>
          <w:sz w:val="22"/>
        </w:rPr>
        <w:t>Atomic DvP via XvP Settlement addon</w:t>
      </w:r>
    </w:p>
    <w:p>
      <w:pPr>
        <w:pStyle w:val="ListParagraph"/>
        <w:numPr>
          <w:ilvl w:val="0"/>
          <w:numId w:val="4"/>
        </w:numPr>
      </w:pPr>
      <w:r>
        <w:rPr>
          <w:rFonts w:ascii="Figtree" w:hAnsi="Figtree"/>
          <w:b w:val="0"/>
          <w:i w:val="0"/>
          <w:sz w:val="22"/>
        </w:rPr>
        <w:t>Integration with T2S for hybrid settlement scenarios</w:t>
      </w:r>
    </w:p>
    <w:p>
      <w:pPr>
        <w:pStyle w:val="H3"/>
        <w:numPr>
          <w:ilvl w:val="2"/>
          <w:numId w:val="1"/>
        </w:numPr>
      </w:pPr>
      <w:r>
        <w:t>Coupon Processing</w:t>
      </w:r>
    </w:p>
    <w:p>
      <w:r>
        <w:rPr>
          <w:rFonts w:ascii="Figtree" w:hAnsi="Figtree"/>
          <w:b w:val="0"/>
          <w:i w:val="0"/>
          <w:sz w:val="22"/>
        </w:rPr>
        <w:t>Automated coupon processing for all holders:</w:t>
      </w:r>
    </w:p>
    <w:p>
      <w:pPr>
        <w:pStyle w:val="ListParagraph"/>
        <w:numPr>
          <w:ilvl w:val="0"/>
          <w:numId w:val="4"/>
        </w:numPr>
      </w:pPr>
      <w:r>
        <w:rPr>
          <w:rFonts w:ascii="Figtree" w:hAnsi="Figtree"/>
          <w:b w:val="0"/>
          <w:i w:val="0"/>
          <w:sz w:val="22"/>
        </w:rPr>
        <w:t>Calculation based on configured day count convention and coupon rate</w:t>
      </w:r>
    </w:p>
    <w:p>
      <w:pPr>
        <w:pStyle w:val="ListParagraph"/>
        <w:numPr>
          <w:ilvl w:val="0"/>
          <w:numId w:val="4"/>
        </w:numPr>
      </w:pPr>
      <w:r>
        <w:rPr>
          <w:rFonts w:ascii="Figtree" w:hAnsi="Figtree"/>
          <w:b w:val="0"/>
          <w:i w:val="0"/>
          <w:sz w:val="22"/>
        </w:rPr>
        <w:t>Distribution to all verified holders based on historical balance snapshot</w:t>
      </w:r>
    </w:p>
    <w:p>
      <w:pPr>
        <w:pStyle w:val="ListParagraph"/>
        <w:numPr>
          <w:ilvl w:val="0"/>
          <w:numId w:val="4"/>
        </w:numPr>
      </w:pPr>
      <w:r>
        <w:rPr>
          <w:rFonts w:ascii="Figtree" w:hAnsi="Figtree"/>
          <w:b w:val="0"/>
          <w:i w:val="0"/>
          <w:sz w:val="22"/>
        </w:rPr>
        <w:t>Tax withholding support (configurable per jurisdiction)</w:t>
      </w:r>
    </w:p>
    <w:p>
      <w:pPr>
        <w:pStyle w:val="ListParagraph"/>
        <w:numPr>
          <w:ilvl w:val="0"/>
          <w:numId w:val="4"/>
        </w:numPr>
      </w:pPr>
      <w:r>
        <w:rPr>
          <w:rFonts w:ascii="Figtree" w:hAnsi="Figtree"/>
          <w:b w:val="0"/>
          <w:i w:val="0"/>
          <w:sz w:val="22"/>
        </w:rPr>
        <w:t>Complete audit trail of calculation basis, distribution amounts, and timestamps</w:t>
      </w:r>
    </w:p>
    <w:p>
      <w:pPr>
        <w:pStyle w:val="H3"/>
        <w:numPr>
          <w:ilvl w:val="2"/>
          <w:numId w:val="1"/>
        </w:numPr>
      </w:pPr>
      <w:r>
        <w:t>Corporate Actions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Action</w:t>
            </w:r>
          </w:p>
        </w:tc>
        <w:tc>
          <w:tcPr>
            <w:tcW w:type="dxa" w:w="3249"/>
            <w:vAlign w:val="center"/>
            <w:shd w:fill="000099" w:val="clear"/>
          </w:tcPr>
          <w:p>
            <w:r>
              <w:rPr>
                <w:b/>
                <w:color w:val="FFFFFF"/>
              </w:rPr>
            </w:r>
            <w:r>
              <w:rPr>
                <w:rFonts w:ascii="Figtree" w:hAnsi="Figtree"/>
                <w:b/>
                <w:i w:val="0"/>
                <w:color w:val="FFFFFF"/>
                <w:sz w:val="22"/>
              </w:rPr>
              <w:t>Support</w:t>
            </w:r>
          </w:p>
        </w:tc>
        <w:tc>
          <w:tcPr>
            <w:tcW w:type="dxa" w:w="3249"/>
            <w:vAlign w:val="center"/>
            <w:shd w:fill="000099" w:val="clear"/>
          </w:tcPr>
          <w:p>
            <w:r>
              <w:rPr>
                <w:b/>
                <w:color w:val="FFFFFF"/>
              </w:rPr>
            </w:r>
            <w:r>
              <w:rPr>
                <w:rFonts w:ascii="Figtree" w:hAnsi="Figtree"/>
                <w:b/>
                <w:i w:val="0"/>
                <w:color w:val="FFFFFF"/>
                <w:sz w:val="22"/>
              </w:rPr>
              <w:t>Mechanism</w:t>
            </w:r>
          </w:p>
        </w:tc>
      </w:tr>
      <w:tr>
        <w:trPr>
          <w:trHeight w:val="454" w:hRule="atLeast"/>
        </w:trPr>
        <w:tc>
          <w:tcPr>
            <w:tcW w:type="dxa" w:w="3249"/>
            <w:vAlign w:val="center"/>
          </w:tcPr>
          <w:p>
            <w:r/>
            <w:r>
              <w:rPr>
                <w:rFonts w:ascii="Figtree" w:hAnsi="Figtree"/>
                <w:b w:val="0"/>
                <w:i w:val="0"/>
                <w:sz w:val="22"/>
              </w:rPr>
              <w:t>Coupon payment</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Automated calculation and distribution</w:t>
            </w:r>
          </w:p>
        </w:tc>
      </w:tr>
      <w:tr>
        <w:trPr>
          <w:trHeight w:val="454" w:hRule="atLeast"/>
        </w:trPr>
        <w:tc>
          <w:tcPr>
            <w:tcW w:type="dxa" w:w="3249"/>
            <w:vAlign w:val="center"/>
          </w:tcPr>
          <w:p>
            <w:r/>
            <w:r>
              <w:rPr>
                <w:rFonts w:ascii="Figtree" w:hAnsi="Figtree"/>
                <w:b w:val="0"/>
                <w:i w:val="0"/>
                <w:sz w:val="22"/>
              </w:rPr>
              <w:t>Maturity redemption</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Maturity &amp; Redemption feature</w:t>
            </w:r>
          </w:p>
        </w:tc>
      </w:tr>
      <w:tr>
        <w:trPr>
          <w:trHeight w:val="454" w:hRule="atLeast"/>
        </w:trPr>
        <w:tc>
          <w:tcPr>
            <w:tcW w:type="dxa" w:w="3249"/>
            <w:vAlign w:val="center"/>
          </w:tcPr>
          <w:p>
            <w:r/>
            <w:r>
              <w:rPr>
                <w:rFonts w:ascii="Figtree" w:hAnsi="Figtree"/>
                <w:b w:val="0"/>
                <w:i w:val="0"/>
                <w:sz w:val="22"/>
              </w:rPr>
              <w:t>Early call</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Configurable call provisions</w:t>
            </w:r>
          </w:p>
        </w:tc>
      </w:tr>
      <w:tr>
        <w:trPr>
          <w:trHeight w:val="454" w:hRule="atLeast"/>
        </w:trPr>
        <w:tc>
          <w:tcPr>
            <w:tcW w:type="dxa" w:w="3249"/>
            <w:vAlign w:val="center"/>
          </w:tcPr>
          <w:p>
            <w:r/>
            <w:r>
              <w:rPr>
                <w:rFonts w:ascii="Figtree" w:hAnsi="Figtree"/>
                <w:b w:val="0"/>
                <w:i w:val="0"/>
                <w:sz w:val="22"/>
              </w:rPr>
              <w:t>Put option</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Investor-initiated redemption</w:t>
            </w:r>
          </w:p>
        </w:tc>
      </w:tr>
      <w:tr>
        <w:trPr>
          <w:trHeight w:val="454" w:hRule="atLeast"/>
        </w:trPr>
        <w:tc>
          <w:tcPr>
            <w:tcW w:type="dxa" w:w="3249"/>
            <w:vAlign w:val="center"/>
          </w:tcPr>
          <w:p>
            <w:r/>
            <w:r>
              <w:rPr>
                <w:rFonts w:ascii="Figtree" w:hAnsi="Figtree"/>
                <w:b w:val="0"/>
                <w:i w:val="0"/>
                <w:sz w:val="22"/>
              </w:rPr>
              <w:t>Amendment</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Governance-approved parameter changes</w:t>
            </w:r>
          </w:p>
        </w:tc>
      </w:tr>
      <w:tr>
        <w:trPr>
          <w:trHeight w:val="454" w:hRule="atLeast"/>
        </w:trPr>
        <w:tc>
          <w:tcPr>
            <w:tcW w:type="dxa" w:w="3249"/>
            <w:vAlign w:val="center"/>
          </w:tcPr>
          <w:p>
            <w:r/>
            <w:r>
              <w:rPr>
                <w:rFonts w:ascii="Figtree" w:hAnsi="Figtree"/>
                <w:b w:val="0"/>
                <w:i w:val="0"/>
                <w:sz w:val="22"/>
              </w:rPr>
              <w:t>Default event</w:t>
            </w:r>
          </w:p>
        </w:tc>
        <w:tc>
          <w:tcPr>
            <w:tcW w:type="dxa" w:w="3249"/>
            <w:vAlign w:val="center"/>
          </w:tcPr>
          <w:p>
            <w:r/>
            <w:r>
              <w:rPr>
                <w:rFonts w:ascii="Figtree" w:hAnsi="Figtree"/>
                <w:b/>
                <w:i w:val="0"/>
                <w:sz w:val="22"/>
              </w:rPr>
              <w:t>Configuration</w:t>
            </w:r>
          </w:p>
        </w:tc>
        <w:tc>
          <w:tcPr>
            <w:tcW w:type="dxa" w:w="3249"/>
            <w:vAlign w:val="center"/>
          </w:tcPr>
          <w:p>
            <w:r/>
            <w:r>
              <w:rPr>
                <w:rFonts w:ascii="Figtree" w:hAnsi="Figtree"/>
                <w:b w:val="0"/>
                <w:i w:val="0"/>
                <w:sz w:val="22"/>
              </w:rPr>
              <w:t>Configurable trigger and workflow</w:t>
            </w:r>
          </w:p>
        </w:tc>
      </w:tr>
    </w:tbl>
    <w:p>
      <w:r>
        <w:br w:type="page"/>
      </w:r>
    </w:p>
    <w:p>
      <w:pPr>
        <w:pStyle w:val="H2"/>
        <w:numPr>
          <w:ilvl w:val="1"/>
          <w:numId w:val="1"/>
        </w:numPr>
      </w:pPr>
      <w:r>
        <w:t>Security, Resilience, and Operational Assurance</w:t>
      </w:r>
    </w:p>
    <w:p>
      <w:pPr>
        <w:pStyle w:val="H3"/>
        <w:numPr>
          <w:ilvl w:val="2"/>
          <w:numId w:val="1"/>
        </w:numPr>
      </w:pPr>
      <w:r>
        <w:t>G-SIB Grade Security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Control</w:t>
            </w:r>
          </w:p>
        </w:tc>
        <w:tc>
          <w:tcPr>
            <w:tcW w:type="dxa" w:w="4873"/>
            <w:vAlign w:val="center"/>
            <w:shd w:fill="000099" w:val="clear"/>
          </w:tcPr>
          <w:p>
            <w:r>
              <w:rPr>
                <w:b/>
                <w:color w:val="FFFFFF"/>
              </w:rPr>
            </w:r>
            <w:r>
              <w:rPr>
                <w:rFonts w:ascii="Figtree" w:hAnsi="Figtree"/>
                <w:b/>
                <w:i w:val="0"/>
                <w:color w:val="FFFFFF"/>
                <w:sz w:val="22"/>
              </w:rPr>
              <w:t>Implementation</w:t>
            </w:r>
          </w:p>
        </w:tc>
      </w:tr>
      <w:tr>
        <w:trPr>
          <w:trHeight w:val="454" w:hRule="atLeast"/>
        </w:trPr>
        <w:tc>
          <w:tcPr>
            <w:tcW w:type="dxa" w:w="4873"/>
            <w:vAlign w:val="center"/>
          </w:tcPr>
          <w:p>
            <w:r/>
            <w:r>
              <w:rPr>
                <w:rFonts w:ascii="Figtree" w:hAnsi="Figtree"/>
                <w:b w:val="0"/>
                <w:i w:val="0"/>
                <w:sz w:val="22"/>
              </w:rPr>
              <w:t>Authentication</w:t>
            </w:r>
          </w:p>
        </w:tc>
        <w:tc>
          <w:tcPr>
            <w:tcW w:type="dxa" w:w="4873"/>
            <w:vAlign w:val="center"/>
          </w:tcPr>
          <w:p>
            <w:r/>
            <w:r>
              <w:rPr>
                <w:rFonts w:ascii="Figtree" w:hAnsi="Figtree"/>
                <w:b w:val="0"/>
                <w:i w:val="0"/>
                <w:sz w:val="22"/>
              </w:rPr>
              <w:t>Multi-factor, passkeys (WebAuthn), LDAP/AD, OAuth 2.0/OIDC</w:t>
            </w:r>
          </w:p>
        </w:tc>
      </w:tr>
      <w:tr>
        <w:trPr>
          <w:trHeight w:val="454" w:hRule="atLeast"/>
        </w:trPr>
        <w:tc>
          <w:tcPr>
            <w:tcW w:type="dxa" w:w="4873"/>
            <w:vAlign w:val="center"/>
          </w:tcPr>
          <w:p>
            <w:r/>
            <w:r>
              <w:rPr>
                <w:rFonts w:ascii="Figtree" w:hAnsi="Figtree"/>
                <w:b w:val="0"/>
                <w:i w:val="0"/>
                <w:sz w:val="22"/>
              </w:rPr>
              <w:t>Key management</w:t>
            </w:r>
          </w:p>
        </w:tc>
        <w:tc>
          <w:tcPr>
            <w:tcW w:type="dxa" w:w="4873"/>
            <w:vAlign w:val="center"/>
          </w:tcPr>
          <w:p>
            <w:r/>
            <w:r>
              <w:rPr>
                <w:rFonts w:ascii="Figtree" w:hAnsi="Figtree"/>
                <w:b w:val="0"/>
                <w:i w:val="0"/>
                <w:sz w:val="22"/>
              </w:rPr>
              <w:t>HSM integration, multi-signature governance controls</w:t>
            </w:r>
          </w:p>
        </w:tc>
      </w:tr>
      <w:tr>
        <w:trPr>
          <w:trHeight w:val="454" w:hRule="atLeast"/>
        </w:trPr>
        <w:tc>
          <w:tcPr>
            <w:tcW w:type="dxa" w:w="4873"/>
            <w:vAlign w:val="center"/>
          </w:tcPr>
          <w:p>
            <w:r/>
            <w:r>
              <w:rPr>
                <w:rFonts w:ascii="Figtree" w:hAnsi="Figtree"/>
                <w:b w:val="0"/>
                <w:i w:val="0"/>
                <w:sz w:val="22"/>
              </w:rPr>
              <w:t>Smart contract security</w:t>
            </w:r>
          </w:p>
        </w:tc>
        <w:tc>
          <w:tcPr>
            <w:tcW w:type="dxa" w:w="4873"/>
            <w:vAlign w:val="center"/>
          </w:tcPr>
          <w:p>
            <w:r/>
            <w:r>
              <w:rPr>
                <w:rFonts w:ascii="Figtree" w:hAnsi="Figtree"/>
                <w:b w:val="0"/>
                <w:i w:val="0"/>
                <w:sz w:val="22"/>
              </w:rPr>
              <w:t>Independent audits per release, UUPS upgrade pattern</w:t>
            </w:r>
          </w:p>
        </w:tc>
      </w:tr>
      <w:tr>
        <w:trPr>
          <w:trHeight w:val="454" w:hRule="atLeast"/>
        </w:trPr>
        <w:tc>
          <w:tcPr>
            <w:tcW w:type="dxa" w:w="4873"/>
            <w:vAlign w:val="center"/>
          </w:tcPr>
          <w:p>
            <w:r/>
            <w:r>
              <w:rPr>
                <w:rFonts w:ascii="Figtree" w:hAnsi="Figtree"/>
                <w:b w:val="0"/>
                <w:i w:val="0"/>
                <w:sz w:val="22"/>
              </w:rPr>
              <w:t>Network security</w:t>
            </w:r>
          </w:p>
        </w:tc>
        <w:tc>
          <w:tcPr>
            <w:tcW w:type="dxa" w:w="4873"/>
            <w:vAlign w:val="center"/>
          </w:tcPr>
          <w:p>
            <w:r/>
            <w:r>
              <w:rPr>
                <w:rFonts w:ascii="Figtree" w:hAnsi="Figtree"/>
                <w:b w:val="0"/>
                <w:i w:val="0"/>
                <w:sz w:val="22"/>
              </w:rPr>
              <w:t>Permissioned Besu, encrypted node communication</w:t>
            </w:r>
          </w:p>
        </w:tc>
      </w:tr>
      <w:tr>
        <w:trPr>
          <w:trHeight w:val="454" w:hRule="atLeast"/>
        </w:trPr>
        <w:tc>
          <w:tcPr>
            <w:tcW w:type="dxa" w:w="4873"/>
            <w:vAlign w:val="center"/>
          </w:tcPr>
          <w:p>
            <w:r/>
            <w:r>
              <w:rPr>
                <w:rFonts w:ascii="Figtree" w:hAnsi="Figtree"/>
                <w:b w:val="0"/>
                <w:i w:val="0"/>
                <w:sz w:val="22"/>
              </w:rPr>
              <w:t>Data protection</w:t>
            </w:r>
          </w:p>
        </w:tc>
        <w:tc>
          <w:tcPr>
            <w:tcW w:type="dxa" w:w="4873"/>
            <w:vAlign w:val="center"/>
          </w:tcPr>
          <w:p>
            <w:r/>
            <w:r>
              <w:rPr>
                <w:rFonts w:ascii="Figtree" w:hAnsi="Figtree"/>
                <w:b w:val="0"/>
                <w:i w:val="0"/>
                <w:sz w:val="22"/>
              </w:rPr>
              <w:t>AES-256 at rest, TLS 1.3 in transit, GDPR-compliant</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p>
      <w:pPr>
        <w:pStyle w:val="H3"/>
        <w:numPr>
          <w:ilvl w:val="2"/>
          <w:numId w:val="1"/>
        </w:numPr>
      </w:pPr>
      <w:r>
        <w:t>Operational Resilience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Target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RPO</w:t>
            </w:r>
          </w:p>
        </w:tc>
        <w:tc>
          <w:tcPr>
            <w:tcW w:type="dxa" w:w="4873"/>
            <w:vAlign w:val="center"/>
          </w:tcPr>
          <w:p>
            <w:r/>
            <w:r>
              <w:rPr>
                <w:rFonts w:ascii="Figtree" w:hAnsi="Figtree"/>
                <w:b w:val="0"/>
                <w:i w:val="0"/>
                <w:sz w:val="22"/>
              </w:rPr>
              <w:t>&lt; 1 hour</w:t>
            </w:r>
          </w:p>
        </w:tc>
      </w:tr>
      <w:tr>
        <w:trPr>
          <w:trHeight w:val="454" w:hRule="atLeast"/>
        </w:trPr>
        <w:tc>
          <w:tcPr>
            <w:tcW w:type="dxa" w:w="4873"/>
            <w:vAlign w:val="center"/>
          </w:tcPr>
          <w:p>
            <w:r/>
            <w:r>
              <w:rPr>
                <w:rFonts w:ascii="Figtree" w:hAnsi="Figtree"/>
                <w:b w:val="0"/>
                <w:i w:val="0"/>
                <w:sz w:val="22"/>
              </w:rPr>
              <w:t>RTO</w:t>
            </w:r>
          </w:p>
        </w:tc>
        <w:tc>
          <w:tcPr>
            <w:tcW w:type="dxa" w:w="4873"/>
            <w:vAlign w:val="center"/>
          </w:tcPr>
          <w:p>
            <w:r/>
            <w:r>
              <w:rPr>
                <w:rFonts w:ascii="Figtree" w:hAnsi="Figtree"/>
                <w:b w:val="0"/>
                <w:i w:val="0"/>
                <w:sz w:val="22"/>
              </w:rPr>
              <w:t>&lt; 4 hours</w:t>
            </w:r>
          </w:p>
        </w:tc>
      </w:tr>
      <w:tr>
        <w:trPr>
          <w:trHeight w:val="454" w:hRule="atLeast"/>
        </w:trPr>
        <w:tc>
          <w:tcPr>
            <w:tcW w:type="dxa" w:w="4873"/>
            <w:vAlign w:val="center"/>
          </w:tcPr>
          <w:p>
            <w:r/>
            <w:r>
              <w:rPr>
                <w:rFonts w:ascii="Figtree" w:hAnsi="Figtree"/>
                <w:b w:val="0"/>
                <w:i w:val="0"/>
                <w:sz w:val="22"/>
              </w:rPr>
              <w:t>Availability</w:t>
            </w:r>
          </w:p>
        </w:tc>
        <w:tc>
          <w:tcPr>
            <w:tcW w:type="dxa" w:w="4873"/>
            <w:vAlign w:val="center"/>
          </w:tcPr>
          <w:p>
            <w:r/>
            <w:r>
              <w:rPr>
                <w:rFonts w:ascii="Figtree" w:hAnsi="Figtree"/>
                <w:b w:val="0"/>
                <w:i w:val="0"/>
                <w:sz w:val="22"/>
              </w:rPr>
              <w:t>99.95%</w:t>
            </w:r>
          </w:p>
        </w:tc>
      </w:tr>
      <w:tr>
        <w:trPr>
          <w:trHeight w:val="454" w:hRule="atLeast"/>
        </w:trPr>
        <w:tc>
          <w:tcPr>
            <w:tcW w:type="dxa" w:w="4873"/>
            <w:vAlign w:val="center"/>
          </w:tcPr>
          <w:p>
            <w:r/>
            <w:r>
              <w:rPr>
                <w:rFonts w:ascii="Figtree" w:hAnsi="Figtree"/>
                <w:b w:val="0"/>
                <w:i w:val="0"/>
                <w:sz w:val="22"/>
              </w:rPr>
              <w:t>DR</w:t>
            </w:r>
          </w:p>
        </w:tc>
        <w:tc>
          <w:tcPr>
            <w:tcW w:type="dxa" w:w="4873"/>
            <w:vAlign w:val="center"/>
          </w:tcPr>
          <w:p>
            <w:r/>
            <w:r>
              <w:rPr>
                <w:rFonts w:ascii="Figtree" w:hAnsi="Figtree"/>
                <w:b w:val="0"/>
                <w:i w:val="0"/>
                <w:sz w:val="22"/>
              </w:rPr>
              <w:t>Geo-separated within EU</w:t>
            </w:r>
          </w:p>
        </w:tc>
      </w:tr>
      <w:tr>
        <w:trPr>
          <w:trHeight w:val="454" w:hRule="atLeast"/>
        </w:trPr>
        <w:tc>
          <w:tcPr>
            <w:tcW w:type="dxa" w:w="4873"/>
            <w:vAlign w:val="center"/>
          </w:tcPr>
          <w:p>
            <w:r/>
            <w:r>
              <w:rPr>
                <w:rFonts w:ascii="Figtree" w:hAnsi="Figtree"/>
                <w:b w:val="0"/>
                <w:i w:val="0"/>
                <w:sz w:val="22"/>
              </w:rPr>
              <w:t>Monitoring</w:t>
            </w:r>
          </w:p>
        </w:tc>
        <w:tc>
          <w:tcPr>
            <w:tcW w:type="dxa" w:w="4873"/>
            <w:vAlign w:val="center"/>
          </w:tcPr>
          <w:p>
            <w:r/>
            <w:r>
              <w:rPr>
                <w:rFonts w:ascii="Figtree" w:hAnsi="Figtree"/>
                <w:b w:val="0"/>
                <w:i w:val="0"/>
                <w:sz w:val="22"/>
              </w:rPr>
              <w:t>Three-pillar observability</w:t>
            </w:r>
          </w:p>
        </w:tc>
      </w:tr>
      <w:tr>
        <w:trPr>
          <w:trHeight w:val="454" w:hRule="atLeast"/>
        </w:trPr>
        <w:tc>
          <w:tcPr>
            <w:tcW w:type="dxa" w:w="4873"/>
            <w:vAlign w:val="center"/>
          </w:tcPr>
          <w:p>
            <w:r/>
            <w:r>
              <w:rPr>
                <w:rFonts w:ascii="Figtree" w:hAnsi="Figtree"/>
                <w:b w:val="0"/>
                <w:i w:val="0"/>
                <w:sz w:val="22"/>
              </w:rPr>
              <w:t>Penetration testing</w:t>
            </w:r>
          </w:p>
        </w:tc>
        <w:tc>
          <w:tcPr>
            <w:tcW w:type="dxa" w:w="4873"/>
            <w:vAlign w:val="center"/>
          </w:tcPr>
          <w:p>
            <w:r/>
            <w:r>
              <w:rPr>
                <w:rFonts w:ascii="Figtree" w:hAnsi="Figtree"/>
                <w:b w:val="0"/>
                <w:i w:val="0"/>
                <w:sz w:val="22"/>
              </w:rPr>
              <w:t>Annual + per major release</w:t>
            </w:r>
          </w:p>
        </w:tc>
      </w:tr>
    </w:tbl>
    <w:p>
      <w:r>
        <w:br w:type="page"/>
      </w:r>
    </w:p>
    <w:p>
      <w:pPr>
        <w:pStyle w:val="H2"/>
        <w:numPr>
          <w:ilvl w:val="1"/>
          <w:numId w:val="1"/>
        </w:numPr>
      </w:pPr>
      <w:r>
        <w:t>Implementation Approach and Delivery Phases</w:t>
      </w:r>
    </w:p>
    <w:p>
      <w:pPr>
        <w:pStyle w:val="H3"/>
        <w:numPr>
          <w:ilvl w:val="2"/>
          <w:numId w:val="1"/>
        </w:numPr>
      </w:pPr>
      <w:r>
        <w:t>19-Week Implementation</w:t>
      </w:r>
    </w:p>
    <w:p>
      <w:pPr>
        <w:jc w:val="center"/>
      </w:pPr>
      <w:r>
        <w:drawing>
          <wp:inline xmlns:a="http://schemas.openxmlformats.org/drawingml/2006/main" xmlns:pic="http://schemas.openxmlformats.org/drawingml/2006/picture">
            <wp:extent cx="5486400" cy="2379306"/>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379306"/>
                    </a:xfrm>
                    <a:prstGeom prst="rect"/>
                  </pic:spPr>
                </pic:pic>
              </a:graphicData>
            </a:graphic>
          </wp:inline>
        </w:drawing>
      </w:r>
    </w:p>
    <w:p>
      <w:r>
        <w:br w:type="page"/>
      </w:r>
    </w:p>
    <w:p>
      <w:pPr>
        <w:pStyle w:val="H2"/>
        <w:numPr>
          <w:ilvl w:val="1"/>
          <w:numId w:val="1"/>
        </w:numPr>
      </w:pPr>
      <w:r>
        <w:t>Current Coverage, Dependencies, and Qualified Gaps</w:t>
      </w:r>
    </w:p>
    <w:p>
      <w:pPr>
        <w:pStyle w:val="H3"/>
        <w:numPr>
          <w:ilvl w:val="2"/>
          <w:numId w:val="1"/>
        </w:numPr>
      </w:pPr>
      <w:r>
        <w:t>Requirements Coverage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Req Area</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3249"/>
            <w:vAlign w:val="center"/>
          </w:tcPr>
          <w:p>
            <w:r/>
            <w:r>
              <w:rPr>
                <w:rFonts w:ascii="Figtree" w:hAnsi="Figtree"/>
                <w:b w:val="0"/>
                <w:i w:val="0"/>
                <w:sz w:val="22"/>
              </w:rPr>
              <w:t>Bond lifecycle</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Issuance through redemption</w:t>
            </w:r>
          </w:p>
        </w:tc>
      </w:tr>
      <w:tr>
        <w:trPr>
          <w:trHeight w:val="454" w:hRule="atLeast"/>
        </w:trPr>
        <w:tc>
          <w:tcPr>
            <w:tcW w:type="dxa" w:w="3249"/>
            <w:vAlign w:val="center"/>
          </w:tcPr>
          <w:p>
            <w:r/>
            <w:r>
              <w:rPr>
                <w:rFonts w:ascii="Figtree" w:hAnsi="Figtree"/>
                <w:b w:val="0"/>
                <w:i w:val="0"/>
                <w:sz w:val="22"/>
              </w:rPr>
              <w:t>eWpG registry</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Crypto securities register requirements</w:t>
            </w:r>
          </w:p>
        </w:tc>
      </w:tr>
      <w:tr>
        <w:trPr>
          <w:trHeight w:val="454" w:hRule="atLeast"/>
        </w:trPr>
        <w:tc>
          <w:tcPr>
            <w:tcW w:type="dxa" w:w="3249"/>
            <w:vAlign w:val="center"/>
          </w:tcPr>
          <w:p>
            <w:r/>
            <w:r>
              <w:rPr>
                <w:rFonts w:ascii="Figtree" w:hAnsi="Figtree"/>
                <w:b w:val="0"/>
                <w:i w:val="0"/>
                <w:sz w:val="22"/>
              </w:rPr>
              <w:t>MiCA compliance</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Token classification, prudential controls</w:t>
            </w:r>
          </w:p>
        </w:tc>
      </w:tr>
      <w:tr>
        <w:trPr>
          <w:trHeight w:val="454" w:hRule="atLeast"/>
        </w:trPr>
        <w:tc>
          <w:tcPr>
            <w:tcW w:type="dxa" w:w="3249"/>
            <w:vAlign w:val="center"/>
          </w:tcPr>
          <w:p>
            <w:r/>
            <w:r>
              <w:rPr>
                <w:rFonts w:ascii="Figtree" w:hAnsi="Figtree"/>
                <w:b w:val="0"/>
                <w:i w:val="0"/>
                <w:sz w:val="22"/>
              </w:rPr>
              <w:t>T2S integration</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API integration available; native SWIFT ISO 20022 in Q3 2026</w:t>
            </w:r>
          </w:p>
        </w:tc>
      </w:tr>
      <w:tr>
        <w:trPr>
          <w:trHeight w:val="454" w:hRule="atLeast"/>
        </w:trPr>
        <w:tc>
          <w:tcPr>
            <w:tcW w:type="dxa" w:w="3249"/>
            <w:vAlign w:val="center"/>
          </w:tcPr>
          <w:p>
            <w:r/>
            <w:r>
              <w:rPr>
                <w:rFonts w:ascii="Figtree" w:hAnsi="Figtree"/>
                <w:b w:val="0"/>
                <w:i w:val="0"/>
                <w:sz w:val="22"/>
              </w:rPr>
              <w:t>Clearstream CSD</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Integration architecture defined; requires joint development</w:t>
            </w:r>
          </w:p>
        </w:tc>
      </w:tr>
      <w:tr>
        <w:trPr>
          <w:trHeight w:val="454" w:hRule="atLeast"/>
        </w:trPr>
        <w:tc>
          <w:tcPr>
            <w:tcW w:type="dxa" w:w="3249"/>
            <w:vAlign w:val="center"/>
          </w:tcPr>
          <w:p>
            <w:r/>
            <w:r>
              <w:rPr>
                <w:rFonts w:ascii="Figtree" w:hAnsi="Figtree"/>
                <w:b w:val="0"/>
                <w:i w:val="0"/>
                <w:sz w:val="22"/>
              </w:rPr>
              <w:t>Coupon processing</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Automated with day count convention support</w:t>
            </w:r>
          </w:p>
        </w:tc>
      </w:tr>
      <w:tr>
        <w:trPr>
          <w:trHeight w:val="454" w:hRule="atLeast"/>
        </w:trPr>
        <w:tc>
          <w:tcPr>
            <w:tcW w:type="dxa" w:w="3249"/>
            <w:vAlign w:val="center"/>
          </w:tcPr>
          <w:p>
            <w:r/>
            <w:r>
              <w:rPr>
                <w:rFonts w:ascii="Figtree" w:hAnsi="Figtree"/>
                <w:b w:val="0"/>
                <w:i w:val="0"/>
                <w:sz w:val="22"/>
              </w:rPr>
              <w:t>Corporate actions</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Coupon, call, put, maturity redemption</w:t>
            </w:r>
          </w:p>
        </w:tc>
      </w:tr>
      <w:tr>
        <w:trPr>
          <w:trHeight w:val="454" w:hRule="atLeast"/>
        </w:trPr>
        <w:tc>
          <w:tcPr>
            <w:tcW w:type="dxa" w:w="3249"/>
            <w:vAlign w:val="center"/>
          </w:tcPr>
          <w:p>
            <w:r/>
            <w:r>
              <w:rPr>
                <w:rFonts w:ascii="Figtree" w:hAnsi="Figtree"/>
                <w:b w:val="0"/>
                <w:i w:val="0"/>
                <w:sz w:val="22"/>
              </w:rPr>
              <w:t>BaFin reporting</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Configurable regulatory report templates</w:t>
            </w:r>
          </w:p>
        </w:tc>
      </w:tr>
      <w:tr>
        <w:trPr>
          <w:trHeight w:val="454" w:hRule="atLeast"/>
        </w:trPr>
        <w:tc>
          <w:tcPr>
            <w:tcW w:type="dxa" w:w="3249"/>
            <w:vAlign w:val="center"/>
          </w:tcPr>
          <w:p>
            <w:r/>
            <w:r>
              <w:rPr>
                <w:rFonts w:ascii="Figtree" w:hAnsi="Figtree"/>
                <w:b w:val="0"/>
                <w:i w:val="0"/>
                <w:sz w:val="22"/>
              </w:rPr>
              <w:t>RBAC &amp; audit</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G-SIB grade controls</w:t>
            </w:r>
          </w:p>
        </w:tc>
      </w:tr>
    </w:tbl>
    <w:p>
      <w:pPr>
        <w:pStyle w:val="H3"/>
        <w:numPr>
          <w:ilvl w:val="2"/>
          <w:numId w:val="1"/>
        </w:numPr>
      </w:pPr>
      <w:r>
        <w:t>Qualified Gaps</w:t>
      </w:r>
    </w:p>
    <w:p>
      <w:r>
        <w:rPr>
          <w:rFonts w:ascii="Figtree" w:hAnsi="Figtree"/>
          <w:b/>
          <w:i w:val="0"/>
          <w:sz w:val="22"/>
        </w:rPr>
        <w:t>Native ISO 20022 messaging — Q3 2026.</w:t>
      </w:r>
      <w:r>
        <w:rPr>
          <w:rFonts w:ascii="Figtree" w:hAnsi="Figtree"/>
          <w:b w:val="0"/>
          <w:i w:val="0"/>
          <w:sz w:val="22"/>
        </w:rPr>
        <w:t xml:space="preserve"> DALP does not currently generate native ISO 20022 messages. A documented middleware translation layer is available and deployed by two existing clients. Native support targeted for Q3 2026. This does not block implementation — the middleware approach is production-proven.</w:t>
      </w:r>
    </w:p>
    <w:p>
      <w:r>
        <w:rPr>
          <w:rFonts w:ascii="Figtree" w:hAnsi="Figtree"/>
          <w:b/>
          <w:i w:val="0"/>
          <w:sz w:val="22"/>
        </w:rPr>
        <w:t>Clearstream CSD integration — Joint development required.</w:t>
      </w:r>
      <w:r>
        <w:rPr>
          <w:rFonts w:ascii="Figtree" w:hAnsi="Figtree"/>
          <w:b w:val="0"/>
          <w:i w:val="0"/>
          <w:sz w:val="22"/>
        </w:rPr>
        <w:t xml:space="preserve"> Direct integration with Clearstream's settlement infrastructure requires joint development during the implementation phase. DALP provides the API surface and settlement instruction format; Clearstream connectivity requires Deutsche Bank's existing CSD relationship and technical coordination.</w:t>
      </w:r>
    </w:p>
    <w:p>
      <w:r>
        <w:br w:type="page"/>
      </w:r>
    </w:p>
    <w:p>
      <w:pPr>
        <w:pStyle w:val="H2"/>
        <w:numPr>
          <w:ilvl w:val="1"/>
          <w:numId w:val="1"/>
        </w:numPr>
      </w:pPr>
      <w:r>
        <w:t>Relevant Delivery Evidence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Region</w:t>
            </w:r>
          </w:p>
        </w:tc>
        <w:tc>
          <w:tcPr>
            <w:tcW w:type="dxa" w:w="32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3249"/>
            <w:vAlign w:val="center"/>
          </w:tcPr>
          <w:p>
            <w:r/>
            <w:r>
              <w:rPr>
                <w:rFonts w:ascii="Figtree" w:hAnsi="Figtree"/>
                <w:b w:val="0"/>
                <w:i w:val="0"/>
                <w:sz w:val="22"/>
              </w:rPr>
              <w:t>Commerzbank</w:t>
            </w:r>
          </w:p>
        </w:tc>
        <w:tc>
          <w:tcPr>
            <w:tcW w:type="dxa" w:w="3249"/>
            <w:vAlign w:val="center"/>
          </w:tcPr>
          <w:p>
            <w:r/>
            <w:r>
              <w:rPr>
                <w:rFonts w:ascii="Figtree" w:hAnsi="Figtree"/>
                <w:b w:val="0"/>
                <w:i w:val="0"/>
                <w:sz w:val="22"/>
              </w:rPr>
              <w:t>Germany</w:t>
            </w:r>
          </w:p>
        </w:tc>
        <w:tc>
          <w:tcPr>
            <w:tcW w:type="dxa" w:w="3249"/>
            <w:vAlign w:val="center"/>
          </w:tcPr>
          <w:p>
            <w:r/>
            <w:r>
              <w:rPr>
                <w:rFonts w:ascii="Figtree" w:hAnsi="Figtree"/>
                <w:b/>
                <w:i w:val="0"/>
                <w:sz w:val="22"/>
              </w:rPr>
              <w:t>Direct</w:t>
            </w:r>
            <w:r>
              <w:rPr>
                <w:rFonts w:ascii="Figtree" w:hAnsi="Figtree"/>
                <w:b w:val="0"/>
                <w:i w:val="0"/>
                <w:sz w:val="22"/>
              </w:rPr>
              <w:t xml:space="preserve"> — hybrid ETP issuance, Boerse Stuttgart, EUR 7M savings</w:t>
            </w:r>
          </w:p>
        </w:tc>
      </w:tr>
      <w:tr>
        <w:trPr>
          <w:trHeight w:val="454" w:hRule="atLeast"/>
        </w:trPr>
        <w:tc>
          <w:tcPr>
            <w:tcW w:type="dxa" w:w="3249"/>
            <w:vAlign w:val="center"/>
          </w:tcPr>
          <w:p>
            <w:r/>
            <w:r>
              <w:rPr>
                <w:rFonts w:ascii="Figtree" w:hAnsi="Figtree"/>
                <w:b w:val="0"/>
                <w:i w:val="0"/>
                <w:sz w:val="22"/>
              </w:rPr>
              <w:t>OCBC Bank</w:t>
            </w:r>
          </w:p>
        </w:tc>
        <w:tc>
          <w:tcPr>
            <w:tcW w:type="dxa" w:w="3249"/>
            <w:vAlign w:val="center"/>
          </w:tcPr>
          <w:p>
            <w:r/>
            <w:r>
              <w:rPr>
                <w:rFonts w:ascii="Figtree" w:hAnsi="Figtree"/>
                <w:b w:val="0"/>
                <w:i w:val="0"/>
                <w:sz w:val="22"/>
              </w:rPr>
              <w:t>Singapore</w:t>
            </w:r>
          </w:p>
        </w:tc>
        <w:tc>
          <w:tcPr>
            <w:tcW w:type="dxa" w:w="3249"/>
            <w:vAlign w:val="center"/>
          </w:tcPr>
          <w:p>
            <w:r/>
            <w:r>
              <w:rPr>
                <w:rFonts w:ascii="Figtree" w:hAnsi="Figtree"/>
                <w:b w:val="0"/>
                <w:i w:val="0"/>
                <w:sz w:val="22"/>
              </w:rPr>
              <w:t>Regulated bank, multi-asset securities tokenization</w:t>
            </w:r>
          </w:p>
        </w:tc>
      </w:tr>
      <w:tr>
        <w:trPr>
          <w:trHeight w:val="454" w:hRule="atLeast"/>
        </w:trPr>
        <w:tc>
          <w:tcPr>
            <w:tcW w:type="dxa" w:w="3249"/>
            <w:vAlign w:val="center"/>
          </w:tcPr>
          <w:p>
            <w:r/>
            <w:r>
              <w:rPr>
                <w:rFonts w:ascii="Figtree" w:hAnsi="Figtree"/>
                <w:b w:val="0"/>
                <w:i w:val="0"/>
                <w:sz w:val="22"/>
              </w:rPr>
              <w:t>KBC Securities</w:t>
            </w:r>
          </w:p>
        </w:tc>
        <w:tc>
          <w:tcPr>
            <w:tcW w:type="dxa" w:w="3249"/>
            <w:vAlign w:val="center"/>
          </w:tcPr>
          <w:p>
            <w:r/>
            <w:r>
              <w:rPr>
                <w:rFonts w:ascii="Figtree" w:hAnsi="Figtree"/>
                <w:b w:val="0"/>
                <w:i w:val="0"/>
                <w:sz w:val="22"/>
              </w:rPr>
              <w:t>Belgium</w:t>
            </w:r>
          </w:p>
        </w:tc>
        <w:tc>
          <w:tcPr>
            <w:tcW w:type="dxa" w:w="3249"/>
            <w:vAlign w:val="center"/>
          </w:tcPr>
          <w:p>
            <w:r/>
            <w:r>
              <w:rPr>
                <w:rFonts w:ascii="Figtree" w:hAnsi="Figtree"/>
                <w:b w:val="0"/>
                <w:i w:val="0"/>
                <w:sz w:val="22"/>
              </w:rPr>
              <w:t>Equity crowdfunding, corporate actions, fiat-backed tokens</w:t>
            </w:r>
          </w:p>
        </w:tc>
      </w:tr>
      <w:tr>
        <w:trPr>
          <w:trHeight w:val="454" w:hRule="atLeast"/>
        </w:trPr>
        <w:tc>
          <w:tcPr>
            <w:tcW w:type="dxa" w:w="3249"/>
            <w:vAlign w:val="center"/>
          </w:tcPr>
          <w:p>
            <w:r/>
            <w:r>
              <w:rPr>
                <w:rFonts w:ascii="Figtree" w:hAnsi="Figtree"/>
                <w:b w:val="0"/>
                <w:i w:val="0"/>
                <w:sz w:val="22"/>
              </w:rPr>
              <w:t>Standard Chartered Bank</w:t>
            </w:r>
          </w:p>
        </w:tc>
        <w:tc>
          <w:tcPr>
            <w:tcW w:type="dxa" w:w="3249"/>
            <w:vAlign w:val="center"/>
          </w:tcPr>
          <w:p>
            <w:r/>
            <w:r>
              <w:rPr>
                <w:rFonts w:ascii="Figtree" w:hAnsi="Figtree"/>
                <w:b w:val="0"/>
                <w:i w:val="0"/>
                <w:sz w:val="22"/>
              </w:rPr>
              <w:t>Multi-region</w:t>
            </w:r>
          </w:p>
        </w:tc>
        <w:tc>
          <w:tcPr>
            <w:tcW w:type="dxa" w:w="3249"/>
            <w:vAlign w:val="center"/>
          </w:tcPr>
          <w:p>
            <w:r/>
            <w:r>
              <w:rPr>
                <w:rFonts w:ascii="Figtree" w:hAnsi="Figtree"/>
                <w:b w:val="0"/>
                <w:i w:val="0"/>
                <w:sz w:val="22"/>
              </w:rPr>
              <w:t>Multi-jurisdiction securities</w:t>
            </w:r>
          </w:p>
        </w:tc>
      </w:tr>
      <w:tr>
        <w:trPr>
          <w:trHeight w:val="454" w:hRule="atLeast"/>
        </w:trPr>
        <w:tc>
          <w:tcPr>
            <w:tcW w:type="dxa" w:w="3249"/>
            <w:vAlign w:val="center"/>
          </w:tcPr>
          <w:p>
            <w:r/>
            <w:r>
              <w:rPr>
                <w:rFonts w:ascii="Figtree" w:hAnsi="Figtree"/>
                <w:b w:val="0"/>
                <w:i w:val="0"/>
                <w:sz w:val="22"/>
              </w:rPr>
              <w:t>Saudi Arabia RER</w:t>
            </w:r>
          </w:p>
        </w:tc>
        <w:tc>
          <w:tcPr>
            <w:tcW w:type="dxa" w:w="3249"/>
            <w:vAlign w:val="center"/>
          </w:tcPr>
          <w:p>
            <w:r/>
            <w:r>
              <w:rPr>
                <w:rFonts w:ascii="Figtree" w:hAnsi="Figtree"/>
                <w:b w:val="0"/>
                <w:i w:val="0"/>
                <w:sz w:val="22"/>
              </w:rPr>
              <w:t>KSA</w:t>
            </w:r>
          </w:p>
        </w:tc>
        <w:tc>
          <w:tcPr>
            <w:tcW w:type="dxa" w:w="3249"/>
            <w:vAlign w:val="center"/>
          </w:tcPr>
          <w:p>
            <w:r/>
            <w:r>
              <w:rPr>
                <w:rFonts w:ascii="Figtree" w:hAnsi="Figtree"/>
                <w:b w:val="0"/>
                <w:i w:val="0"/>
                <w:sz w:val="22"/>
              </w:rPr>
              <w:t>National-scale blockchain production</w:t>
            </w:r>
          </w:p>
        </w:tc>
      </w:tr>
    </w:tbl>
    <w:p>
      <w:pPr>
        <w:pStyle w:val="H3"/>
        <w:numPr>
          <w:ilvl w:val="2"/>
          <w:numId w:val="1"/>
        </w:numPr>
      </w:pPr>
      <w:r>
        <w:t>Commerzbank — German Bank, Production Digital Securities</w:t>
      </w:r>
    </w:p>
    <w:p>
      <w:r>
        <w:rPr>
          <w:rFonts w:ascii="Figtree" w:hAnsi="Figtree"/>
          <w:b w:val="0"/>
          <w:i w:val="0"/>
          <w:sz w:val="22"/>
        </w:rPr>
        <w:t>The Commerzbank ETP engagement is the most directly relevant reference:</w:t>
      </w:r>
    </w:p>
    <w:p>
      <w:pPr>
        <w:pStyle w:val="ListParagraph"/>
        <w:numPr>
          <w:ilvl w:val="0"/>
          <w:numId w:val="4"/>
        </w:numPr>
      </w:pPr>
      <w:r>
        <w:rPr>
          <w:rFonts w:ascii="Figtree" w:hAnsi="Figtree"/>
          <w:b w:val="0"/>
          <w:i w:val="0"/>
          <w:sz w:val="22"/>
        </w:rPr>
        <w:t>German bank, regulated under BaFin</w:t>
      </w:r>
    </w:p>
    <w:p>
      <w:pPr>
        <w:pStyle w:val="ListParagraph"/>
        <w:numPr>
          <w:ilvl w:val="0"/>
          <w:numId w:val="4"/>
        </w:numPr>
      </w:pPr>
      <w:r>
        <w:rPr>
          <w:rFonts w:ascii="Figtree" w:hAnsi="Figtree"/>
          <w:b w:val="0"/>
          <w:i w:val="0"/>
          <w:sz w:val="22"/>
        </w:rPr>
        <w:t>Hybrid on-chain/off-chain issuance model</w:t>
      </w:r>
    </w:p>
    <w:p>
      <w:pPr>
        <w:pStyle w:val="ListParagraph"/>
        <w:numPr>
          <w:ilvl w:val="0"/>
          <w:numId w:val="4"/>
        </w:numPr>
      </w:pPr>
      <w:r>
        <w:rPr>
          <w:rFonts w:ascii="Figtree" w:hAnsi="Figtree"/>
          <w:b w:val="0"/>
          <w:i w:val="0"/>
          <w:sz w:val="22"/>
        </w:rPr>
        <w:t>Listed on Boerse Stuttgart</w:t>
      </w:r>
    </w:p>
    <w:p>
      <w:pPr>
        <w:pStyle w:val="ListParagraph"/>
        <w:numPr>
          <w:ilvl w:val="0"/>
          <w:numId w:val="4"/>
        </w:numPr>
      </w:pPr>
      <w:r>
        <w:rPr>
          <w:rFonts w:ascii="Figtree" w:hAnsi="Figtree"/>
          <w:b w:val="0"/>
          <w:i w:val="0"/>
          <w:sz w:val="22"/>
        </w:rPr>
        <w:t>Settlement under 10 seconds</w:t>
      </w:r>
    </w:p>
    <w:p>
      <w:pPr>
        <w:pStyle w:val="ListParagraph"/>
        <w:numPr>
          <w:ilvl w:val="0"/>
          <w:numId w:val="4"/>
        </w:numPr>
      </w:pPr>
      <w:r>
        <w:rPr>
          <w:rFonts w:ascii="Figtree" w:hAnsi="Figtree"/>
          <w:b w:val="0"/>
          <w:i w:val="0"/>
          <w:sz w:val="22"/>
        </w:rPr>
        <w:t>Projected EUR 7 million annual savings</w:t>
      </w:r>
    </w:p>
    <w:p>
      <w:pPr>
        <w:pStyle w:val="ListParagraph"/>
        <w:numPr>
          <w:ilvl w:val="0"/>
          <w:numId w:val="4"/>
        </w:numPr>
      </w:pPr>
      <w:r>
        <w:rPr>
          <w:rFonts w:ascii="Figtree" w:hAnsi="Figtree"/>
          <w:b w:val="0"/>
          <w:i w:val="0"/>
          <w:sz w:val="22"/>
        </w:rPr>
        <w:t>Demonstrates coexistence with established exchange infrastructure</w:t>
      </w:r>
    </w:p>
    <w:p>
      <w:r>
        <w:br w:type="page"/>
      </w:r>
    </w:p>
    <w:p>
      <w:pPr>
        <w:pStyle w:val="H2"/>
        <w:numPr>
          <w:ilvl w:val="1"/>
          <w:numId w:val="1"/>
        </w:numPr>
      </w:pPr>
      <w:r>
        <w:t>Appendices</w:t>
      </w:r>
    </w:p>
    <w:p>
      <w:pPr>
        <w:pStyle w:val="H3"/>
        <w:numPr>
          <w:ilvl w:val="2"/>
          <w:numId w:val="1"/>
        </w:numPr>
      </w:pPr>
      <w:r>
        <w:t>Appendix A: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eWpG</w:t>
            </w:r>
          </w:p>
        </w:tc>
        <w:tc>
          <w:tcPr>
            <w:tcW w:type="dxa" w:w="4873"/>
            <w:vAlign w:val="center"/>
          </w:tcPr>
          <w:p>
            <w:r/>
            <w:r>
              <w:rPr>
                <w:rFonts w:ascii="Figtree" w:hAnsi="Figtree"/>
                <w:b w:val="0"/>
                <w:i w:val="0"/>
                <w:sz w:val="22"/>
              </w:rPr>
              <w:t>Elektronische Wertpapiergesetz (German Electronic Securities Act)</w:t>
            </w:r>
          </w:p>
        </w:tc>
      </w:tr>
      <w:tr>
        <w:trPr>
          <w:trHeight w:val="454" w:hRule="atLeast"/>
        </w:trPr>
        <w:tc>
          <w:tcPr>
            <w:tcW w:type="dxa" w:w="4873"/>
            <w:vAlign w:val="center"/>
          </w:tcPr>
          <w:p>
            <w:r/>
            <w:r>
              <w:rPr>
                <w:rFonts w:ascii="Figtree" w:hAnsi="Figtree"/>
                <w:b w:val="0"/>
                <w:i w:val="0"/>
                <w:sz w:val="22"/>
              </w:rPr>
              <w:t>MiCA</w:t>
            </w:r>
          </w:p>
        </w:tc>
        <w:tc>
          <w:tcPr>
            <w:tcW w:type="dxa" w:w="4873"/>
            <w:vAlign w:val="center"/>
          </w:tcPr>
          <w:p>
            <w:r/>
            <w:r>
              <w:rPr>
                <w:rFonts w:ascii="Figtree" w:hAnsi="Figtree"/>
                <w:b w:val="0"/>
                <w:i w:val="0"/>
                <w:sz w:val="22"/>
              </w:rPr>
              <w:t>Markets in Crypto-Assets Regulation (EU)</w:t>
            </w:r>
          </w:p>
        </w:tc>
      </w:tr>
      <w:tr>
        <w:trPr>
          <w:trHeight w:val="454" w:hRule="atLeast"/>
        </w:trPr>
        <w:tc>
          <w:tcPr>
            <w:tcW w:type="dxa" w:w="4873"/>
            <w:vAlign w:val="center"/>
          </w:tcPr>
          <w:p>
            <w:r/>
            <w:r>
              <w:rPr>
                <w:rFonts w:ascii="Figtree" w:hAnsi="Figtree"/>
                <w:b w:val="0"/>
                <w:i w:val="0"/>
                <w:sz w:val="22"/>
              </w:rPr>
              <w:t>MiFID II</w:t>
            </w:r>
          </w:p>
        </w:tc>
        <w:tc>
          <w:tcPr>
            <w:tcW w:type="dxa" w:w="4873"/>
            <w:vAlign w:val="center"/>
          </w:tcPr>
          <w:p>
            <w:r/>
            <w:r>
              <w:rPr>
                <w:rFonts w:ascii="Figtree" w:hAnsi="Figtree"/>
                <w:b w:val="0"/>
                <w:i w:val="0"/>
                <w:sz w:val="22"/>
              </w:rPr>
              <w:t>Markets in Financial Instruments Directive II</w:t>
            </w:r>
          </w:p>
        </w:tc>
      </w:tr>
      <w:tr>
        <w:trPr>
          <w:trHeight w:val="454" w:hRule="atLeast"/>
        </w:trPr>
        <w:tc>
          <w:tcPr>
            <w:tcW w:type="dxa" w:w="4873"/>
            <w:vAlign w:val="center"/>
          </w:tcPr>
          <w:p>
            <w:r/>
            <w:r>
              <w:rPr>
                <w:rFonts w:ascii="Figtree" w:hAnsi="Figtree"/>
                <w:b w:val="0"/>
                <w:i w:val="0"/>
                <w:sz w:val="22"/>
              </w:rPr>
              <w:t>CSDR</w:t>
            </w:r>
          </w:p>
        </w:tc>
        <w:tc>
          <w:tcPr>
            <w:tcW w:type="dxa" w:w="4873"/>
            <w:vAlign w:val="center"/>
          </w:tcPr>
          <w:p>
            <w:r/>
            <w:r>
              <w:rPr>
                <w:rFonts w:ascii="Figtree" w:hAnsi="Figtree"/>
                <w:b w:val="0"/>
                <w:i w:val="0"/>
                <w:sz w:val="22"/>
              </w:rPr>
              <w:t>Central Securities Depository Regulation</w:t>
            </w:r>
          </w:p>
        </w:tc>
      </w:tr>
      <w:tr>
        <w:trPr>
          <w:trHeight w:val="454" w:hRule="atLeast"/>
        </w:trPr>
        <w:tc>
          <w:tcPr>
            <w:tcW w:type="dxa" w:w="4873"/>
            <w:vAlign w:val="center"/>
          </w:tcPr>
          <w:p>
            <w:r/>
            <w:r>
              <w:rPr>
                <w:rFonts w:ascii="Figtree" w:hAnsi="Figtree"/>
                <w:b w:val="0"/>
                <w:i w:val="0"/>
                <w:sz w:val="22"/>
              </w:rPr>
              <w:t>T2S</w:t>
            </w:r>
          </w:p>
        </w:tc>
        <w:tc>
          <w:tcPr>
            <w:tcW w:type="dxa" w:w="4873"/>
            <w:vAlign w:val="center"/>
          </w:tcPr>
          <w:p>
            <w:r/>
            <w:r>
              <w:rPr>
                <w:rFonts w:ascii="Figtree" w:hAnsi="Figtree"/>
                <w:b w:val="0"/>
                <w:i w:val="0"/>
                <w:sz w:val="22"/>
              </w:rPr>
              <w:t>TARGET2-Securities (Eurosystem settlement platform)</w:t>
            </w:r>
          </w:p>
        </w:tc>
      </w:tr>
      <w:tr>
        <w:trPr>
          <w:trHeight w:val="454" w:hRule="atLeast"/>
        </w:trPr>
        <w:tc>
          <w:tcPr>
            <w:tcW w:type="dxa" w:w="4873"/>
            <w:vAlign w:val="center"/>
          </w:tcPr>
          <w:p>
            <w:r/>
            <w:r>
              <w:rPr>
                <w:rFonts w:ascii="Figtree" w:hAnsi="Figtree"/>
                <w:b w:val="0"/>
                <w:i w:val="0"/>
                <w:sz w:val="22"/>
              </w:rPr>
              <w:t>G-SIB</w:t>
            </w:r>
          </w:p>
        </w:tc>
        <w:tc>
          <w:tcPr>
            <w:tcW w:type="dxa" w:w="4873"/>
            <w:vAlign w:val="center"/>
          </w:tcPr>
          <w:p>
            <w:r/>
            <w:r>
              <w:rPr>
                <w:rFonts w:ascii="Figtree" w:hAnsi="Figtree"/>
                <w:b w:val="0"/>
                <w:i w:val="0"/>
                <w:sz w:val="22"/>
              </w:rPr>
              <w:t>Global Systemically Important Bank</w:t>
            </w:r>
          </w:p>
        </w:tc>
      </w:tr>
      <w:tr>
        <w:trPr>
          <w:trHeight w:val="454" w:hRule="atLeast"/>
        </w:trPr>
        <w:tc>
          <w:tcPr>
            <w:tcW w:type="dxa" w:w="4873"/>
            <w:vAlign w:val="center"/>
          </w:tcPr>
          <w:p>
            <w:r/>
            <w:r>
              <w:rPr>
                <w:rFonts w:ascii="Figtree" w:hAnsi="Figtree"/>
                <w:b w:val="0"/>
                <w:i w:val="0"/>
                <w:sz w:val="22"/>
              </w:rPr>
              <w:t>DvP</w:t>
            </w:r>
          </w:p>
        </w:tc>
        <w:tc>
          <w:tcPr>
            <w:tcW w:type="dxa" w:w="4873"/>
            <w:vAlign w:val="center"/>
          </w:tcPr>
          <w:p>
            <w:r/>
            <w:r>
              <w:rPr>
                <w:rFonts w:ascii="Figtree" w:hAnsi="Figtree"/>
                <w:b w:val="0"/>
                <w:i w:val="0"/>
                <w:sz w:val="22"/>
              </w:rPr>
              <w:t>Delivery versus Payment</w:t>
            </w:r>
          </w:p>
        </w:tc>
      </w:tr>
      <w:tr>
        <w:trPr>
          <w:trHeight w:val="454" w:hRule="atLeast"/>
        </w:trPr>
        <w:tc>
          <w:tcPr>
            <w:tcW w:type="dxa" w:w="4873"/>
            <w:vAlign w:val="center"/>
          </w:tcPr>
          <w:p>
            <w:r/>
            <w:r>
              <w:rPr>
                <w:rFonts w:ascii="Figtree" w:hAnsi="Figtree"/>
                <w:b w:val="0"/>
                <w:i w:val="0"/>
                <w:sz w:val="22"/>
              </w:rPr>
              <w:t>ISIN</w:t>
            </w:r>
          </w:p>
        </w:tc>
        <w:tc>
          <w:tcPr>
            <w:tcW w:type="dxa" w:w="4873"/>
            <w:vAlign w:val="center"/>
          </w:tcPr>
          <w:p>
            <w:r/>
            <w:r>
              <w:rPr>
                <w:rFonts w:ascii="Figtree" w:hAnsi="Figtree"/>
                <w:b w:val="0"/>
                <w:i w:val="0"/>
                <w:sz w:val="22"/>
              </w:rPr>
              <w:t>International Securities Identification Number</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w:t>
            </w:r>
          </w:p>
        </w:tc>
      </w:tr>
      <w:tr>
        <w:trPr>
          <w:trHeight w:val="454" w:hRule="atLeast"/>
        </w:trPr>
        <w:tc>
          <w:tcPr>
            <w:tcW w:type="dxa" w:w="4873"/>
            <w:vAlign w:val="center"/>
          </w:tcPr>
          <w:p>
            <w:r/>
            <w:r>
              <w:rPr>
                <w:rFonts w:ascii="Figtree" w:hAnsi="Figtree"/>
                <w:b w:val="0"/>
                <w:i w:val="0"/>
                <w:sz w:val="22"/>
              </w:rPr>
              <w:t>IBFT</w:t>
            </w:r>
          </w:p>
        </w:tc>
        <w:tc>
          <w:tcPr>
            <w:tcW w:type="dxa" w:w="4873"/>
            <w:vAlign w:val="center"/>
          </w:tcPr>
          <w:p>
            <w:r/>
            <w:r>
              <w:rPr>
                <w:rFonts w:ascii="Figtree" w:hAnsi="Figtree"/>
                <w:b w:val="0"/>
                <w:i w:val="0"/>
                <w:sz w:val="22"/>
              </w:rPr>
              <w:t>Istanbul Byzantine Fault Tolerance consensus</w:t>
            </w:r>
          </w:p>
        </w:tc>
      </w:tr>
      <w:tr>
        <w:trPr>
          <w:trHeight w:val="454" w:hRule="atLeast"/>
        </w:trPr>
        <w:tc>
          <w:tcPr>
            <w:tcW w:type="dxa" w:w="4873"/>
            <w:vAlign w:val="center"/>
          </w:tcPr>
          <w:p>
            <w:r/>
            <w:r>
              <w:rPr>
                <w:rFonts w:ascii="Figtree" w:hAnsi="Figtree"/>
                <w:b w:val="0"/>
                <w:i w:val="0"/>
                <w:sz w:val="22"/>
              </w:rPr>
              <w:t>ISO 20022</w:t>
            </w:r>
          </w:p>
        </w:tc>
        <w:tc>
          <w:tcPr>
            <w:tcW w:type="dxa" w:w="4873"/>
            <w:vAlign w:val="center"/>
          </w:tcPr>
          <w:p>
            <w:r/>
            <w:r>
              <w:rPr>
                <w:rFonts w:ascii="Figtree" w:hAnsi="Figtree"/>
                <w:b w:val="0"/>
                <w:i w:val="0"/>
                <w:sz w:val="22"/>
              </w:rPr>
              <w:t>International standard for financial messaging</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