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About SettleMint</w:t>
            <w:rPr>
              <w:sz w:val="22"/>
              <w:rFonts w:ascii="Figtree" w:hAnsi="Figtree"/>
            </w:rPr>
          </w:r>
        </w:p>
        <w:p>
          <w:pPr>
            <w:ind w:left="1440"/>
          </w:pPr>
          <w:r>
            <w:t xml:space="preserve">Company Overview</w:t>
            <w:rPr>
              <w:sz w:val="22"/>
              <w:rFonts w:ascii="Figtree" w:hAnsi="Figtree"/>
            </w:rPr>
          </w:r>
        </w:p>
        <w:p>
          <w:pPr>
            <w:ind w:left="1440"/>
          </w:pPr>
          <w:r>
            <w:t xml:space="preserve">History and Market Position</w:t>
            <w:rPr>
              <w:sz w:val="22"/>
              <w:rFonts w:ascii="Figtree" w:hAnsi="Figtree"/>
            </w:rPr>
          </w:r>
        </w:p>
        <w:p>
          <w:pPr>
            <w:ind w:left="1440"/>
          </w:pPr>
          <w:r>
            <w:t xml:space="preserve">Production Credentials</w:t>
            <w:rPr>
              <w:sz w:val="22"/>
              <w:rFonts w:ascii="Figtree" w:hAnsi="Figtree"/>
            </w:rPr>
          </w:r>
        </w:p>
        <w:p>
          <w:pPr>
            <w:ind w:left="1440"/>
          </w:pPr>
          <w:r>
            <w:t xml:space="preserve">Regulatory Readiness</w:t>
            <w:rPr>
              <w:sz w:val="22"/>
              <w:rFonts w:ascii="Figtree" w:hAnsi="Figtree"/>
            </w:rPr>
          </w:r>
        </w:p>
        <w:p>
          <w:pPr>
            <w:ind w:left="1440"/>
          </w:pPr>
          <w:r>
            <w:t xml:space="preserve">Team and Delivery Capability</w:t>
            <w:rPr>
              <w:sz w:val="22"/>
              <w:rFonts w:ascii="Figtree" w:hAnsi="Figtree"/>
            </w:rPr>
          </w:r>
        </w:p>
        <w:p>
          <w:pPr>
            <w:ind w:left="1440"/>
          </w:pPr>
          <w:r>
            <w:t xml:space="preserve">Ecosystem and Partnerships</w:t>
            <w:rPr>
              <w:sz w:val="22"/>
              <w:rFonts w:ascii="Figtree" w:hAnsi="Figtree"/>
            </w:rPr>
          </w:r>
        </w:p>
        <w:p>
          <w:pPr>
            <w:ind w:left="1440"/>
          </w:pPr>
          <w:r>
            <w:t xml:space="preserve">Relevance to Emirates NBD</w:t>
            <w:rPr>
              <w:sz w:val="22"/>
              <w:rFonts w:ascii="Figtree" w:hAnsi="Figtree"/>
            </w:rPr>
          </w:r>
        </w:p>
        <w:p>
          <w:pPr>
            <w:ind w:left="720"/>
          </w:pPr>
          <w:r>
            <w:t xml:space="preserve">About DALP</w:t>
            <w:rPr>
              <w:sz w:val="22"/>
              <w:rFonts w:ascii="Figtree" w:hAnsi="Figtree"/>
            </w:rPr>
          </w:r>
        </w:p>
        <w:p>
          <w:pPr>
            <w:ind w:left="1440"/>
          </w:pPr>
          <w:r>
            <w:t xml:space="preserve">Platform Overview</w:t>
            <w:rPr>
              <w:sz w:val="22"/>
              <w:rFonts w:ascii="Figtree" w:hAnsi="Figtree"/>
            </w:rPr>
          </w:r>
        </w:p>
        <w:p>
          <w:pPr>
            <w:ind w:left="1440"/>
          </w:pPr>
          <w:r>
            <w:t xml:space="preserve">Core Lifecycle Pillars</w:t>
            <w:rPr>
              <w:sz w:val="22"/>
              <w:rFonts w:ascii="Figtree" w:hAnsi="Figtree"/>
            </w:rPr>
          </w:r>
        </w:p>
        <w:p>
          <w:pPr>
            <w:ind w:left="1440"/>
          </w:pPr>
          <w:r>
            <w:t xml:space="preserve">Platform Foundations</w:t>
            <w:rPr>
              <w:sz w:val="22"/>
              <w:rFonts w:ascii="Figtree" w:hAnsi="Figtree"/>
            </w:rPr>
          </w:r>
        </w:p>
        <w:p>
          <w:pPr>
            <w:ind w:left="1440"/>
          </w:pPr>
          <w:r>
            <w:t xml:space="preserve">Supported Asset Classes</w:t>
            <w:rPr>
              <w:sz w:val="22"/>
              <w:rFonts w:ascii="Figtree" w:hAnsi="Figtree"/>
            </w:rPr>
          </w:r>
        </w:p>
        <w:p>
          <w:pPr>
            <w:ind w:left="1440"/>
          </w:pPr>
          <w:r>
            <w:t xml:space="preserve">Standards and Protocols</w:t>
            <w:rPr>
              <w:sz w:val="22"/>
              <w:rFonts w:ascii="Figtree" w:hAnsi="Figtree"/>
            </w:rPr>
          </w:r>
        </w:p>
        <w:p>
          <w:pPr>
            <w:ind w:left="1440"/>
          </w:pPr>
          <w:r>
            <w:t xml:space="preserve">Key Differentiators</w:t>
            <w:rPr>
              <w:sz w:val="22"/>
              <w:rFonts w:ascii="Figtree" w:hAnsi="Figtree"/>
            </w:rPr>
          </w:r>
        </w:p>
        <w:p>
          <w:pPr>
            <w:ind w:left="720"/>
          </w:pPr>
          <w:r>
            <w:t xml:space="preserve">Customer References</w:t>
            <w:rPr>
              <w:sz w:val="22"/>
              <w:rFonts w:ascii="Figtree" w:hAnsi="Figtree"/>
            </w:rPr>
          </w:r>
        </w:p>
        <w:p>
          <w:pPr>
            <w:ind w:left="1440"/>
          </w:pPr>
          <w:r>
            <w:t xml:space="preserve">Summary Table</w:t>
            <w:rPr>
              <w:sz w:val="22"/>
              <w:rFonts w:ascii="Figtree" w:hAnsi="Figtree"/>
            </w:rPr>
          </w:r>
        </w:p>
        <w:p>
          <w:pPr>
            <w:ind w:left="1440"/>
          </w:pPr>
          <w:r>
            <w:t xml:space="preserve">Relevance Selection Logic</w:t>
            <w:rPr>
              <w:sz w:val="22"/>
              <w:rFonts w:ascii="Figtree" w:hAnsi="Figtree"/>
            </w:rPr>
          </w:r>
        </w:p>
        <w:p>
          <w:pPr>
            <w:ind w:left="1440"/>
          </w:pPr>
          <w:r>
            <w:t xml:space="preserve">Expanded Reference 1: Standard Chartered Bank — Digital Virtual Exchange</w:t>
            <w:rPr>
              <w:sz w:val="22"/>
              <w:rFonts w:ascii="Figtree" w:hAnsi="Figtree"/>
            </w:rPr>
          </w:r>
        </w:p>
        <w:p>
          <w:pPr>
            <w:ind w:left="1440"/>
          </w:pPr>
          <w:r>
            <w:t xml:space="preserve">Expanded Reference 2: Reserve Bank of India Innovation Hub — Trade Finance</w:t>
            <w:rPr>
              <w:sz w:val="22"/>
              <w:rFonts w:ascii="Figtree" w:hAnsi="Figtree"/>
            </w:rPr>
          </w:r>
        </w:p>
        <w:p>
          <w:pPr>
            <w:ind w:left="1440"/>
          </w:pPr>
          <w:r>
            <w:t xml:space="preserve">Expanded Reference 3: Commerzbank — Exchange-Traded Products</w:t>
            <w:rPr>
              <w:sz w:val="22"/>
              <w:rFonts w:ascii="Figtree" w:hAnsi="Figtree"/>
            </w:rPr>
          </w:r>
        </w:p>
        <w:p>
          <w:pPr>
            <w:ind w:left="1440"/>
          </w:pPr>
          <w:r>
            <w:t xml:space="preserve">Reference Fit Matrix</w:t>
            <w:rPr>
              <w:sz w:val="22"/>
              <w:rFonts w:ascii="Figtree" w:hAnsi="Figtree"/>
            </w:rPr>
          </w:r>
        </w:p>
        <w:p>
          <w:pPr>
            <w:ind w:left="720"/>
          </w:pPr>
          <w:r>
            <w:t xml:space="preserve">Understanding Emirates NBD's Programme Objectives</w:t>
            <w:rPr>
              <w:sz w:val="22"/>
              <w:rFonts w:ascii="Figtree" w:hAnsi="Figtree"/>
            </w:rPr>
          </w:r>
        </w:p>
        <w:p>
          <w:pPr>
            <w:ind w:left="1440"/>
          </w:pPr>
          <w:r>
            <w:t xml:space="preserve">Client Context</w:t>
            <w:rPr>
              <w:sz w:val="22"/>
              <w:rFonts w:ascii="Figtree" w:hAnsi="Figtree"/>
            </w:rPr>
          </w:r>
        </w:p>
        <w:p>
          <w:pPr>
            <w:ind w:left="1440"/>
          </w:pPr>
          <w:r>
            <w:t xml:space="preserve">Requirement Domains</w:t>
            <w:rPr>
              <w:sz w:val="22"/>
              <w:rFonts w:ascii="Figtree" w:hAnsi="Figtree"/>
            </w:rPr>
          </w:r>
        </w:p>
        <w:p>
          <w:pPr>
            <w:ind w:left="1440"/>
          </w:pPr>
          <w:r>
            <w:t xml:space="preserve">Key Challenges Identified</w:t>
            <w:rPr>
              <w:sz w:val="22"/>
              <w:rFonts w:ascii="Figtree" w:hAnsi="Figtree"/>
            </w:rPr>
          </w:r>
        </w:p>
        <w:p>
          <w:pPr>
            <w:ind w:left="1440"/>
          </w:pPr>
          <w:r>
            <w:t xml:space="preserve">Response Principles</w:t>
            <w:rPr>
              <w:sz w:val="22"/>
              <w:rFonts w:ascii="Figtree" w:hAnsi="Figtree"/>
            </w:rPr>
          </w:r>
        </w:p>
        <w:p>
          <w:pPr>
            <w:ind w:left="720"/>
          </w:pPr>
          <w:r>
            <w:t xml:space="preserve">Proposed Solution and Functional Capabilities</w:t>
            <w:rPr>
              <w:sz w:val="22"/>
              <w:rFonts w:ascii="Figtree" w:hAnsi="Figtree"/>
            </w:rPr>
          </w:r>
        </w:p>
        <w:p>
          <w:pPr>
            <w:ind w:left="1440"/>
          </w:pPr>
          <w:r>
            <w:t xml:space="preserve">Solution Overview</w:t>
            <w:rPr>
              <w:sz w:val="22"/>
              <w:rFonts w:ascii="Figtree" w:hAnsi="Figtree"/>
            </w:rPr>
          </w:r>
        </w:p>
        <w:p>
          <w:pPr>
            <w:ind w:left="1440"/>
          </w:pPr>
          <w:r>
            <w:t xml:space="preserve">Issuance and Asset Configuration</w:t>
            <w:rPr>
              <w:sz w:val="22"/>
              <w:rFonts w:ascii="Figtree" w:hAnsi="Figtree"/>
            </w:rPr>
          </w:r>
        </w:p>
        <w:p>
          <w:pPr>
            <w:ind w:left="1440"/>
          </w:pPr>
          <w:r>
            <w:t xml:space="preserve">Identity and Eligibility</w:t>
            <w:rPr>
              <w:sz w:val="22"/>
              <w:rFonts w:ascii="Figtree" w:hAnsi="Figtree"/>
            </w:rPr>
          </w:r>
        </w:p>
        <w:p>
          <w:pPr>
            <w:ind w:left="1440"/>
          </w:pPr>
          <w:r>
            <w:t xml:space="preserve">Compliance Enforcement</w:t>
            <w:rPr>
              <w:sz w:val="22"/>
              <w:rFonts w:ascii="Figtree" w:hAnsi="Figtree"/>
            </w:rPr>
          </w:r>
        </w:p>
        <w:p>
          <w:pPr>
            <w:ind w:left="1440"/>
          </w:pPr>
          <w:r>
            <w:t xml:space="preserve">Transfer, Settlement, and Cash-Leg Coordination</w:t>
            <w:rPr>
              <w:sz w:val="22"/>
              <w:rFonts w:ascii="Figtree" w:hAnsi="Figtree"/>
            </w:rPr>
          </w:r>
        </w:p>
        <w:p>
          <w:pPr>
            <w:ind w:left="1440"/>
          </w:pPr>
          <w:r>
            <w:t xml:space="preserve">Lifecycle Servicing and Corporate Actions</w:t>
            <w:rPr>
              <w:sz w:val="22"/>
              <w:rFonts w:ascii="Figtree" w:hAnsi="Figtree"/>
            </w:rPr>
          </w:r>
        </w:p>
        <w:p>
          <w:pPr>
            <w:ind w:left="1440"/>
          </w:pPr>
          <w:r>
            <w:t xml:space="preserve">Integration and Interoperability</w:t>
            <w:rPr>
              <w:sz w:val="22"/>
              <w:rFonts w:ascii="Figtree" w:hAnsi="Figtree"/>
            </w:rPr>
          </w:r>
        </w:p>
        <w:p>
          <w:pPr>
            <w:ind w:left="1440"/>
          </w:pPr>
          <w:r>
            <w:t xml:space="preserve">Functional Fit Matrix</w:t>
            <w:rPr>
              <w:sz w:val="22"/>
              <w:rFonts w:ascii="Figtree" w:hAnsi="Figtree"/>
            </w:rPr>
          </w:r>
        </w:p>
        <w:p>
          <w:pPr>
            <w:ind w:left="720"/>
          </w:pPr>
          <w:r>
            <w:t xml:space="preserve">Technical Architecture</w:t>
            <w:rPr>
              <w:sz w:val="22"/>
              <w:rFonts w:ascii="Figtree" w:hAnsi="Figtree"/>
            </w:rPr>
          </w:r>
        </w:p>
        <w:p>
          <w:pPr>
            <w:ind w:left="1440"/>
          </w:pPr>
          <w:r>
            <w:t xml:space="preserve">Architectural Principles</w:t>
            <w:rPr>
              <w:sz w:val="22"/>
              <w:rFonts w:ascii="Figtree" w:hAnsi="Figtree"/>
            </w:rPr>
          </w:r>
        </w:p>
        <w:p>
          <w:pPr>
            <w:ind w:left="1440"/>
          </w:pPr>
          <w:r>
            <w:t xml:space="preserve">Layered Architecture</w:t>
            <w:rPr>
              <w:sz w:val="22"/>
              <w:rFonts w:ascii="Figtree" w:hAnsi="Figtree"/>
            </w:rPr>
          </w:r>
        </w:p>
        <w:p>
          <w:pPr>
            <w:ind w:left="1440"/>
          </w:pPr>
          <w:r>
            <w:t xml:space="preserve">Data Architecture</w:t>
            <w:rPr>
              <w:sz w:val="22"/>
              <w:rFonts w:ascii="Figtree" w:hAnsi="Figtree"/>
            </w:rPr>
          </w:r>
        </w:p>
        <w:p>
          <w:pPr>
            <w:ind w:left="1440"/>
          </w:pPr>
          <w:r>
            <w:t xml:space="preserve">Network and Chain Topology</w:t>
            <w:rPr>
              <w:sz w:val="22"/>
              <w:rFonts w:ascii="Figtree" w:hAnsi="Figtree"/>
            </w:rPr>
          </w:r>
        </w:p>
        <w:p>
          <w:pPr>
            <w:ind w:left="1440"/>
          </w:pPr>
          <w:r>
            <w:t xml:space="preserve">Multi-Tenancy and Environment Segregation</w:t>
            <w:rPr>
              <w:sz w:val="22"/>
              <w:rFonts w:ascii="Figtree" w:hAnsi="Figtree"/>
            </w:rPr>
          </w:r>
        </w:p>
        <w:p>
          <w:pPr>
            <w:ind w:left="1440"/>
          </w:pPr>
          <w:r>
            <w:t xml:space="preserve">Operational Architecture</w:t>
            <w:rPr>
              <w:sz w:val="22"/>
              <w:rFonts w:ascii="Figtree" w:hAnsi="Figtree"/>
            </w:rPr>
          </w:r>
        </w:p>
        <w:p>
          <w:pPr>
            <w:ind w:left="720"/>
          </w:pPr>
          <w:r>
            <w:t xml:space="preserve">Smart Contract Architecture for Deposits and Trade Finance</w:t>
            <w:rPr>
              <w:sz w:val="22"/>
              <w:rFonts w:ascii="Figtree" w:hAnsi="Figtree"/>
            </w:rPr>
          </w:r>
        </w:p>
        <w:p>
          <w:pPr>
            <w:ind w:left="1440"/>
          </w:pPr>
          <w:r>
            <w:t xml:space="preserve">SMART Protocol Foundation</w:t>
            <w:rPr>
              <w:sz w:val="22"/>
              <w:rFonts w:ascii="Figtree" w:hAnsi="Figtree"/>
            </w:rPr>
          </w:r>
        </w:p>
        <w:p>
          <w:pPr>
            <w:ind w:left="1440"/>
          </w:pPr>
          <w:r>
            <w:t xml:space="preserve">Five-Layer On-Chain Architecture</w:t>
            <w:rPr>
              <w:sz w:val="22"/>
              <w:rFonts w:ascii="Figtree" w:hAnsi="Figtree"/>
            </w:rPr>
          </w:r>
        </w:p>
        <w:p>
          <w:pPr>
            <w:ind w:left="1440"/>
          </w:pPr>
          <w:r>
            <w:t xml:space="preserve">DALPAsset Configuration for Deposits</w:t>
            <w:rPr>
              <w:sz w:val="22"/>
              <w:rFonts w:ascii="Figtree" w:hAnsi="Figtree"/>
            </w:rPr>
          </w:r>
        </w:p>
        <w:p>
          <w:pPr>
            <w:ind w:left="1440"/>
          </w:pPr>
          <w:r>
            <w:t xml:space="preserve">DALPAsset Configuration for Trade Finance</w:t>
            <w:rPr>
              <w:sz w:val="22"/>
              <w:rFonts w:ascii="Figtree" w:hAnsi="Figtree"/>
            </w:rPr>
          </w:r>
        </w:p>
        <w:p>
          <w:pPr>
            <w:ind w:left="1440"/>
          </w:pPr>
          <w:r>
            <w:t xml:space="preserve">UUPS Proxy Upgrade Pattern</w:t>
            <w:rPr>
              <w:sz w:val="22"/>
              <w:rFonts w:ascii="Figtree" w:hAnsi="Figtree"/>
            </w:rPr>
          </w:r>
        </w:p>
        <w:p>
          <w:pPr>
            <w:ind w:left="720"/>
          </w:pPr>
          <w:r>
            <w:t xml:space="preserve">Identity, Compliance, and Regulatory Controls</w:t>
            <w:rPr>
              <w:sz w:val="22"/>
              <w:rFonts w:ascii="Figtree" w:hAnsi="Figtree"/>
            </w:rPr>
          </w:r>
        </w:p>
        <w:p>
          <w:pPr>
            <w:ind w:left="1440"/>
          </w:pPr>
          <w:r>
            <w:t xml:space="preserve">Identity Architecture</w:t>
            <w:rPr>
              <w:sz w:val="22"/>
              <w:rFonts w:ascii="Figtree" w:hAnsi="Figtree"/>
            </w:rPr>
          </w:r>
        </w:p>
        <w:p>
          <w:pPr>
            <w:ind w:left="1440"/>
          </w:pPr>
          <w:r>
            <w:t xml:space="preserve">Compliance Module Library</w:t>
            <w:rPr>
              <w:sz w:val="22"/>
              <w:rFonts w:ascii="Figtree" w:hAnsi="Figtree"/>
            </w:rPr>
          </w:r>
        </w:p>
        <w:p>
          <w:pPr>
            <w:ind w:left="1440"/>
          </w:pPr>
          <w:r>
            <w:t xml:space="preserve">Regulatory Context: UAE</w:t>
            <w:rPr>
              <w:sz w:val="22"/>
              <w:rFonts w:ascii="Figtree" w:hAnsi="Figtree"/>
            </w:rPr>
          </w:r>
        </w:p>
        <w:p>
          <w:pPr>
            <w:ind w:left="720"/>
          </w:pPr>
          <w:r>
            <w:t xml:space="preserve">Settlement, Servicing, and Lifecycle Management</w:t>
            <w:rPr>
              <w:sz w:val="22"/>
              <w:rFonts w:ascii="Figtree" w:hAnsi="Figtree"/>
            </w:rPr>
          </w:r>
        </w:p>
        <w:p>
          <w:pPr>
            <w:ind w:left="1440"/>
          </w:pPr>
          <w:r>
            <w:t xml:space="preserve">Settlement Architecture</w:t>
            <w:rPr>
              <w:sz w:val="22"/>
              <w:rFonts w:ascii="Figtree" w:hAnsi="Figtree"/>
            </w:rPr>
          </w:r>
        </w:p>
        <w:p>
          <w:pPr>
            <w:ind w:left="1440"/>
          </w:pPr>
          <w:r>
            <w:t xml:space="preserve">Deposit Lifecycle</w:t>
            <w:rPr>
              <w:sz w:val="22"/>
              <w:rFonts w:ascii="Figtree" w:hAnsi="Figtree"/>
            </w:rPr>
          </w:r>
        </w:p>
        <w:p>
          <w:pPr>
            <w:ind w:left="1440"/>
          </w:pPr>
          <w:r>
            <w:t xml:space="preserve">Trade Finance Lifecycle</w:t>
            <w:rPr>
              <w:sz w:val="22"/>
              <w:rFonts w:ascii="Figtree" w:hAnsi="Figtree"/>
            </w:rPr>
          </w:r>
        </w:p>
        <w:p>
          <w:pPr>
            <w:ind w:left="720"/>
          </w:pPr>
          <w:r>
            <w:t xml:space="preserve">Security, Resilience, and Operational Assurance</w:t>
            <w:rPr>
              <w:sz w:val="22"/>
              <w:rFonts w:ascii="Figtree" w:hAnsi="Figtree"/>
            </w:rPr>
          </w:r>
        </w:p>
        <w:p>
          <w:pPr>
            <w:ind w:left="1440"/>
          </w:pPr>
          <w:r>
            <w:t xml:space="preserve">Security Model Overview</w:t>
            <w:rPr>
              <w:sz w:val="22"/>
              <w:rFonts w:ascii="Figtree" w:hAnsi="Figtree"/>
            </w:rPr>
          </w:r>
        </w:p>
        <w:p>
          <w:pPr>
            <w:ind w:left="1440"/>
          </w:pPr>
          <w:r>
            <w:t xml:space="preserve">Authentication</w:t>
            <w:rPr>
              <w:sz w:val="22"/>
              <w:rFonts w:ascii="Figtree" w:hAnsi="Figtree"/>
            </w:rPr>
          </w:r>
        </w:p>
        <w:p>
          <w:pPr>
            <w:ind w:left="1440"/>
          </w:pPr>
          <w:r>
            <w:t xml:space="preserve">API Key Security</w:t>
            <w:rPr>
              <w:sz w:val="22"/>
              <w:rFonts w:ascii="Figtree" w:hAnsi="Figtree"/>
            </w:rPr>
          </w:r>
        </w:p>
        <w:p>
          <w:pPr>
            <w:ind w:left="1440"/>
          </w:pPr>
          <w:r>
            <w:t xml:space="preserve">Key Management</w:t>
            <w:rPr>
              <w:sz w:val="22"/>
              <w:rFonts w:ascii="Figtree" w:hAnsi="Figtree"/>
            </w:rPr>
          </w:r>
        </w:p>
        <w:p>
          <w:pPr>
            <w:ind w:left="1440"/>
          </w:pPr>
          <w:r>
            <w:t xml:space="preserve">Certifications</w:t>
            <w:rPr>
              <w:sz w:val="22"/>
              <w:rFonts w:ascii="Figtree" w:hAnsi="Figtree"/>
            </w:rPr>
          </w:r>
        </w:p>
        <w:p>
          <w:pPr>
            <w:ind w:left="1440"/>
          </w:pPr>
          <w:r>
            <w:t xml:space="preserve">Data Protection</w:t>
            <w:rPr>
              <w:sz w:val="22"/>
              <w:rFonts w:ascii="Figtree" w:hAnsi="Figtree"/>
            </w:rPr>
          </w:r>
        </w:p>
        <w:p>
          <w:pPr>
            <w:ind w:left="1440"/>
          </w:pPr>
          <w:r>
            <w:t xml:space="preserve">Availability and DR</w:t>
            <w:rPr>
              <w:sz w:val="22"/>
              <w:rFonts w:ascii="Figtree" w:hAnsi="Figtree"/>
            </w:rPr>
          </w:r>
        </w:p>
        <w:p>
          <w:pPr>
            <w:ind w:left="1440"/>
          </w:pPr>
          <w:r>
            <w:t xml:space="preserve">Security Responsibility Matrix</w:t>
            <w:rPr>
              <w:sz w:val="22"/>
              <w:rFonts w:ascii="Figtree" w:hAnsi="Figtree"/>
            </w:rPr>
          </w:r>
        </w:p>
        <w:p>
          <w:pPr>
            <w:ind w:left="720"/>
          </w:pPr>
          <w:r>
            <w:t xml:space="preserve">Implementation Approach and Delivery Phases</w:t>
            <w:rPr>
              <w:sz w:val="22"/>
              <w:rFonts w:ascii="Figtree" w:hAnsi="Figtree"/>
            </w:rPr>
          </w:r>
        </w:p>
        <w:p>
          <w:pPr>
            <w:ind w:left="1440"/>
          </w:pPr>
          <w:r>
            <w:t xml:space="preserve">Delivery Overview</w:t>
            <w:rPr>
              <w:sz w:val="22"/>
              <w:rFonts w:ascii="Figtree" w:hAnsi="Figtree"/>
            </w:rPr>
          </w:r>
        </w:p>
        <w:p>
          <w:pPr>
            <w:ind w:left="1440"/>
          </w:pPr>
          <w:r>
            <w:t xml:space="preserve">Phase 1: Discovery and Requirements (Weeks 1–2)</w:t>
            <w:rPr>
              <w:sz w:val="22"/>
              <w:rFonts w:ascii="Figtree" w:hAnsi="Figtree"/>
            </w:rPr>
          </w:r>
        </w:p>
        <w:p>
          <w:pPr>
            <w:ind w:left="1440"/>
          </w:pPr>
          <w:r>
            <w:t xml:space="preserve">Phase 2: Foundation and Setup (Weeks 3–5)</w:t>
            <w:rPr>
              <w:sz w:val="22"/>
              <w:rFonts w:ascii="Figtree" w:hAnsi="Figtree"/>
            </w:rPr>
          </w:r>
        </w:p>
        <w:p>
          <w:pPr>
            <w:ind w:left="1440"/>
          </w:pPr>
          <w:r>
            <w:t xml:space="preserve">Phase 3: Configuration and Compliance (Weeks 6–9)</w:t>
            <w:rPr>
              <w:sz w:val="22"/>
              <w:rFonts w:ascii="Figtree" w:hAnsi="Figtree"/>
            </w:rPr>
          </w:r>
        </w:p>
        <w:p>
          <w:pPr>
            <w:ind w:left="1440"/>
          </w:pPr>
          <w:r>
            <w:t xml:space="preserve">Phase 4: Integration and Testing (Weeks 10–13)</w:t>
            <w:rPr>
              <w:sz w:val="22"/>
              <w:rFonts w:ascii="Figtree" w:hAnsi="Figtree"/>
            </w:rPr>
          </w:r>
        </w:p>
        <w:p>
          <w:pPr>
            <w:ind w:left="1440"/>
          </w:pPr>
          <w:r>
            <w:t xml:space="preserve">Phase 5: Go-Live and Hypercare (Weeks 14–19)</w:t>
            <w:rPr>
              <w:sz w:val="22"/>
              <w:rFonts w:ascii="Figtree" w:hAnsi="Figtree"/>
            </w:rPr>
          </w:r>
        </w:p>
        <w:p>
          <w:pPr>
            <w:ind w:left="1440"/>
          </w:pPr>
          <w:r>
            <w:t xml:space="preserve">Governance and Decision Structure</w:t>
            <w:rPr>
              <w:sz w:val="22"/>
              <w:rFonts w:ascii="Figtree" w:hAnsi="Figtree"/>
            </w:rPr>
          </w:r>
        </w:p>
        <w:p>
          <w:pPr>
            <w:ind w:left="1440"/>
          </w:pPr>
          <w:r>
            <w:t xml:space="preserve">Resource Model</w:t>
            <w:rPr>
              <w:sz w:val="22"/>
              <w:rFonts w:ascii="Figtree" w:hAnsi="Figtree"/>
            </w:rPr>
          </w:r>
        </w:p>
        <w:p>
          <w:pPr>
            <w:ind w:left="720"/>
          </w:pPr>
          <w:r>
            <w:t xml:space="preserve">Deployment Model</w:t>
            <w:rPr>
              <w:sz w:val="22"/>
              <w:rFonts w:ascii="Figtree" w:hAnsi="Figtree"/>
            </w:rPr>
          </w:r>
        </w:p>
        <w:p>
          <w:pPr>
            <w:ind w:left="1440"/>
          </w:pPr>
          <w:r>
            <w:t xml:space="preserve">Recommended: Dedicated Cloud (UAE-Resident)</w:t>
            <w:rPr>
              <w:sz w:val="22"/>
              <w:rFonts w:ascii="Figtree" w:hAnsi="Figtree"/>
            </w:rPr>
          </w:r>
        </w:p>
        <w:p>
          <w:pPr>
            <w:ind w:left="1440"/>
          </w:pPr>
          <w:r>
            <w:t xml:space="preserve">Deployment Options Considered</w:t>
            <w:rPr>
              <w:sz w:val="22"/>
              <w:rFonts w:ascii="Figtree" w:hAnsi="Figtree"/>
            </w:rPr>
          </w:r>
        </w:p>
        <w:p>
          <w:pPr>
            <w:ind w:left="1440"/>
          </w:pPr>
          <w:r>
            <w:t xml:space="preserve">Infrastructure Requirements</w:t>
            <w:rPr>
              <w:sz w:val="22"/>
              <w:rFonts w:ascii="Figtree" w:hAnsi="Figtree"/>
            </w:rPr>
          </w:r>
        </w:p>
        <w:p>
          <w:pPr>
            <w:ind w:left="1440"/>
          </w:pPr>
          <w:r>
            <w:t xml:space="preserve">Availability and DR</w:t>
            <w:rPr>
              <w:sz w:val="22"/>
              <w:rFonts w:ascii="Figtree" w:hAnsi="Figtree"/>
            </w:rPr>
          </w:r>
        </w:p>
        <w:p>
          <w:pPr>
            <w:ind w:left="720"/>
          </w:pPr>
          <w:r>
            <w:t xml:space="preserve">Training and Knowledge Transfer</w:t>
            <w:rPr>
              <w:sz w:val="22"/>
              <w:rFonts w:ascii="Figtree" w:hAnsi="Figtree"/>
            </w:rPr>
          </w:r>
        </w:p>
        <w:p>
          <w:pPr>
            <w:ind w:left="1440"/>
          </w:pPr>
          <w:r>
            <w:t xml:space="preserve">Training Strategy</w:t>
            <w:rPr>
              <w:sz w:val="22"/>
              <w:rFonts w:ascii="Figtree" w:hAnsi="Figtree"/>
            </w:rPr>
          </w:r>
        </w:p>
        <w:p>
          <w:pPr>
            <w:ind w:left="1440"/>
          </w:pPr>
          <w:r>
            <w:t xml:space="preserve">Administrator Track</w:t>
            <w:rPr>
              <w:sz w:val="22"/>
              <w:rFonts w:ascii="Figtree" w:hAnsi="Figtree"/>
            </w:rPr>
          </w:r>
        </w:p>
        <w:p>
          <w:pPr>
            <w:ind w:left="1440"/>
          </w:pPr>
          <w:r>
            <w:t xml:space="preserve">Developer / Integration Track</w:t>
            <w:rPr>
              <w:sz w:val="22"/>
              <w:rFonts w:ascii="Figtree" w:hAnsi="Figtree"/>
            </w:rPr>
          </w:r>
        </w:p>
        <w:p>
          <w:pPr>
            <w:ind w:left="1440"/>
          </w:pPr>
          <w:r>
            <w:t xml:space="preserve">Operations Track</w:t>
            <w:rPr>
              <w:sz w:val="22"/>
              <w:rFonts w:ascii="Figtree" w:hAnsi="Figtree"/>
            </w:rPr>
          </w:r>
        </w:p>
        <w:p>
          <w:pPr>
            <w:ind w:left="1440"/>
          </w:pPr>
          <w:r>
            <w:t xml:space="preserve">Knowledge Transfer Method</w:t>
            <w:rPr>
              <w:sz w:val="22"/>
              <w:rFonts w:ascii="Figtree" w:hAnsi="Figtree"/>
            </w:rPr>
          </w:r>
        </w:p>
        <w:p>
          <w:pPr>
            <w:ind w:left="720"/>
          </w:pPr>
          <w:r>
            <w:t xml:space="preserve">Support and SLA</w:t>
            <w:rPr>
              <w:sz w:val="22"/>
              <w:rFonts w:ascii="Figtree" w:hAnsi="Figtree"/>
            </w:rPr>
          </w:r>
        </w:p>
        <w:p>
          <w:pPr>
            <w:ind w:left="1440"/>
          </w:pPr>
          <w:r>
            <w:t xml:space="preserve">Recommended: Premium Support</w:t>
            <w:rPr>
              <w:sz w:val="22"/>
              <w:rFonts w:ascii="Figtree" w:hAnsi="Figtree"/>
            </w:rPr>
          </w:r>
        </w:p>
        <w:p>
          <w:pPr>
            <w:ind w:left="1440"/>
          </w:pPr>
          <w:r>
            <w:t xml:space="preserve">Severity Definitions</w:t>
            <w:rPr>
              <w:sz w:val="22"/>
              <w:rFonts w:ascii="Figtree" w:hAnsi="Figtree"/>
            </w:rPr>
          </w:r>
        </w:p>
        <w:p>
          <w:pPr>
            <w:ind w:left="1440"/>
          </w:pPr>
          <w:r>
            <w:t xml:space="preserve">Escalation Path</w:t>
            <w:rPr>
              <w:sz w:val="22"/>
              <w:rFonts w:ascii="Figtree" w:hAnsi="Figtree"/>
            </w:rPr>
          </w:r>
        </w:p>
        <w:p>
          <w:pPr>
            <w:ind w:left="720"/>
          </w:pPr>
          <w:r>
            <w:t xml:space="preserve">Risk Management</w:t>
            <w:rPr>
              <w:sz w:val="22"/>
              <w:rFonts w:ascii="Figtree" w:hAnsi="Figtree"/>
            </w:rPr>
          </w:r>
        </w:p>
        <w:p>
          <w:pPr>
            <w:ind w:left="1440"/>
          </w:pPr>
          <w:r>
            <w:t xml:space="preserve">Risk Management Approach</w:t>
            <w:rPr>
              <w:sz w:val="22"/>
              <w:rFonts w:ascii="Figtree" w:hAnsi="Figtree"/>
            </w:rPr>
          </w:r>
        </w:p>
        <w:p>
          <w:pPr>
            <w:ind w:left="1440"/>
          </w:pPr>
          <w:r>
            <w:t xml:space="preserve">Risk Register</w:t>
            <w:rPr>
              <w:sz w:val="22"/>
              <w:rFonts w:ascii="Figtree" w:hAnsi="Figtree"/>
            </w:rPr>
          </w:r>
        </w:p>
        <w:p>
          <w:pPr>
            <w:ind w:left="720"/>
          </w:pPr>
          <w:r>
            <w:t xml:space="preserve">Current Coverage, Dependencies, and Qualified Gaps</w:t>
            <w:rPr>
              <w:sz w:val="22"/>
              <w:rFonts w:ascii="Figtree" w:hAnsi="Figtree"/>
            </w:rPr>
          </w:r>
        </w:p>
        <w:p>
          <w:pPr>
            <w:ind w:left="1440"/>
          </w:pPr>
          <w:r>
            <w:t xml:space="preserve">Dependency Register</w:t>
            <w:rPr>
              <w:sz w:val="22"/>
              <w:rFonts w:ascii="Figtree" w:hAnsi="Figtree"/>
            </w:rPr>
          </w:r>
        </w:p>
        <w:p>
          <w:pPr>
            <w:ind w:left="1440"/>
          </w:pPr>
          <w:r>
            <w:t xml:space="preserve">Qualified Gaps</w:t>
            <w:rPr>
              <w:sz w:val="22"/>
              <w:rFonts w:ascii="Figtree" w:hAnsi="Figtree"/>
            </w:rPr>
          </w:r>
        </w:p>
        <w:p>
          <w:pPr>
            <w:ind w:left="720"/>
          </w:pPr>
          <w:r>
            <w:t xml:space="preserve">Compliance Matrix</w:t>
            <w:rPr>
              <w:sz w:val="22"/>
              <w:rFonts w:ascii="Figtree" w:hAnsi="Figtree"/>
            </w:rPr>
          </w:r>
        </w:p>
        <w:p>
          <w:pPr>
            <w:ind w:left="1440"/>
          </w:pPr>
          <w:r>
            <w:t xml:space="preserve">Status Legend</w:t>
            <w:rPr>
              <w:sz w:val="22"/>
              <w:rFonts w:ascii="Figtree" w:hAnsi="Figtree"/>
            </w:rPr>
          </w:r>
        </w:p>
        <w:p>
          <w:pPr>
            <w:ind w:left="1440"/>
          </w:pPr>
          <w:r>
            <w:t xml:space="preserve">Detailed Matrix</w:t>
            <w:rPr>
              <w:sz w:val="22"/>
              <w:rFonts w:ascii="Figtree" w:hAnsi="Figtree"/>
            </w:rPr>
          </w:r>
        </w:p>
        <w:p>
          <w:pPr>
            <w:ind w:left="720"/>
          </w:pPr>
          <w:r>
            <w:t xml:space="preserve">Detailed Platform Capabilities for Deposits and Trade Finance</w:t>
            <w:rPr>
              <w:sz w:val="22"/>
              <w:rFonts w:ascii="Figtree" w:hAnsi="Figtree"/>
            </w:rPr>
          </w:r>
        </w:p>
        <w:p>
          <w:pPr>
            <w:ind w:left="1440"/>
          </w:pPr>
          <w:r>
            <w:t xml:space="preserve">Deposit Token Design and Configuration</w:t>
            <w:rPr>
              <w:sz w:val="22"/>
              <w:rFonts w:ascii="Figtree" w:hAnsi="Figtree"/>
            </w:rPr>
          </w:r>
        </w:p>
        <w:p>
          <w:pPr>
            <w:ind w:left="1440"/>
          </w:pPr>
          <w:r>
            <w:t xml:space="preserve">Trade Finance Instrument Configuration</w:t>
            <w:rPr>
              <w:sz w:val="22"/>
              <w:rFonts w:ascii="Figtree" w:hAnsi="Figtree"/>
            </w:rPr>
          </w:r>
        </w:p>
        <w:p>
          <w:pPr>
            <w:ind w:left="1440"/>
          </w:pPr>
          <w:r>
            <w:t xml:space="preserve">Factory Pattern and Deterministic Deployment</w:t>
            <w:rPr>
              <w:sz w:val="22"/>
              <w:rFonts w:ascii="Figtree" w:hAnsi="Figtree"/>
            </w:rPr>
          </w:r>
        </w:p>
        <w:p>
          <w:pPr>
            <w:ind w:left="1440"/>
          </w:pPr>
          <w:r>
            <w:t xml:space="preserve">Administrative Controls</w:t>
            <w:rPr>
              <w:sz w:val="22"/>
              <w:rFonts w:ascii="Figtree" w:hAnsi="Figtree"/>
            </w:rPr>
          </w:r>
        </w:p>
        <w:p>
          <w:pPr>
            <w:ind w:left="1440"/>
          </w:pPr>
          <w:r>
            <w:t xml:space="preserve">Middleware Architecture Deep Dive</w:t>
            <w:rPr>
              <w:sz w:val="22"/>
              <w:rFonts w:ascii="Figtree" w:hAnsi="Figtree"/>
            </w:rPr>
          </w:r>
        </w:p>
        <w:p>
          <w:pPr>
            <w:ind w:left="1440"/>
          </w:pPr>
          <w:r>
            <w:t xml:space="preserve">Observability and Monitoring Architecture</w:t>
            <w:rPr>
              <w:sz w:val="22"/>
              <w:rFonts w:ascii="Figtree" w:hAnsi="Figtree"/>
            </w:rPr>
          </w:r>
        </w:p>
        <w:p>
          <w:pPr>
            <w:ind w:left="1440"/>
          </w:pPr>
          <w:r>
            <w:t xml:space="preserve">Smart Contract Security Deep Dive</w:t>
            <w:rPr>
              <w:sz w:val="22"/>
              <w:rFonts w:ascii="Figtree" w:hAnsi="Figtree"/>
            </w:rPr>
          </w:r>
        </w:p>
        <w:p>
          <w:pPr>
            <w:ind w:left="1440"/>
          </w:pPr>
          <w:r>
            <w:t xml:space="preserve">Data Architecture for Deposits and Trade Finance</w:t>
            <w:rPr>
              <w:sz w:val="22"/>
              <w:rFonts w:ascii="Figtree" w:hAnsi="Figtree"/>
            </w:rPr>
          </w:r>
        </w:p>
        <w:p>
          <w:pPr>
            <w:ind w:left="1440"/>
          </w:pPr>
          <w:r>
            <w:t xml:space="preserve">Detailed Compliance Module Behavior</w:t>
            <w:rPr>
              <w:sz w:val="22"/>
              <w:rFonts w:ascii="Figtree" w:hAnsi="Figtree"/>
            </w:rPr>
          </w:r>
        </w:p>
        <w:p>
          <w:pPr>
            <w:ind w:left="1440"/>
          </w:pPr>
          <w:r>
            <w:t xml:space="preserve">Multi-Jurisdiction Considerations for UAE</w:t>
            <w:rPr>
              <w:sz w:val="22"/>
              <w:rFonts w:ascii="Figtree" w:hAnsi="Figtree"/>
            </w:rPr>
          </w:r>
        </w:p>
        <w:p>
          <w:pPr>
            <w:ind w:left="1440"/>
          </w:pPr>
          <w:r>
            <w:t xml:space="preserve">API Surface Detail</w:t>
            <w:rPr>
              <w:sz w:val="22"/>
              <w:rFonts w:ascii="Figtree" w:hAnsi="Figtree"/>
            </w:rPr>
          </w:r>
        </w:p>
        <w:p>
          <w:pPr>
            <w:ind w:left="1440"/>
          </w:pPr>
          <w:r>
            <w:t xml:space="preserve">Detailed Implementation Phase Activities</w:t>
            <w:rPr>
              <w:sz w:val="22"/>
              <w:rFonts w:ascii="Figtree" w:hAnsi="Figtree"/>
            </w:rPr>
          </w:r>
        </w:p>
        <w:p>
          <w:pPr>
            <w:ind w:left="720"/>
          </w:pPr>
          <w:r>
            <w:t xml:space="preserve">Appendices</w:t>
            <w:rPr>
              <w:sz w:val="22"/>
              <w:rFonts w:ascii="Figtree" w:hAnsi="Figtree"/>
            </w:rPr>
          </w:r>
        </w:p>
        <w:p>
          <w:pPr>
            <w:ind w:left="1440"/>
          </w:pPr>
          <w:r>
            <w:t xml:space="preserve">Wallet Verification and Step-Up Authentication</w:t>
            <w:rPr>
              <w:sz w:val="22"/>
              <w:rFonts w:ascii="Figtree" w:hAnsi="Figtree"/>
            </w:rPr>
          </w:r>
        </w:p>
        <w:p>
          <w:pPr>
            <w:ind w:left="1440"/>
          </w:pPr>
          <w:r>
            <w:t xml:space="preserve">On-Chain Access Control Deep Dive</w:t>
            <w:rPr>
              <w:sz w:val="22"/>
              <w:rFonts w:ascii="Figtree" w:hAnsi="Figtree"/>
            </w:rPr>
          </w:r>
        </w:p>
        <w:p>
          <w:pPr>
            <w:ind w:left="1440"/>
          </w:pPr>
          <w:r>
            <w:t xml:space="preserve">Deposit Servicing Detailed Workflows</w:t>
            <w:rPr>
              <w:sz w:val="22"/>
              <w:rFonts w:ascii="Figtree" w:hAnsi="Figtree"/>
            </w:rPr>
          </w:r>
        </w:p>
        <w:p>
          <w:pPr>
            <w:ind w:left="1440"/>
          </w:pPr>
          <w:r>
            <w:t xml:space="preserve">Trade Finance Workflow Orchestration Deep Dive</w:t>
            <w:rPr>
              <w:sz w:val="22"/>
              <w:rFonts w:ascii="Figtree" w:hAnsi="Figtree"/>
            </w:rPr>
          </w:r>
        </w:p>
        <w:p>
          <w:pPr>
            <w:ind w:left="1440"/>
          </w:pPr>
          <w:r>
            <w:t xml:space="preserve">Appendix: Detailed Deployment Architecture</w:t>
            <w:rPr>
              <w:sz w:val="22"/>
              <w:rFonts w:ascii="Figtree" w:hAnsi="Figtree"/>
            </w:rPr>
          </w:r>
        </w:p>
        <w:p>
          <w:pPr>
            <w:ind w:left="2160"/>
          </w:pPr>
          <w:r>
            <w:t xml:space="preserve">Infrastructure Topology for Emirates NBD</w:t>
            <w:rPr>
              <w:sz w:val="22"/>
              <w:rFonts w:ascii="Figtree" w:hAnsi="Figtree"/>
            </w:rPr>
          </w:r>
        </w:p>
        <w:p>
          <w:pPr>
            <w:ind w:left="2160"/>
          </w:pPr>
          <w:r>
            <w:t xml:space="preserve">Disaster Recovery Architecture</w:t>
            <w:rPr>
              <w:sz w:val="22"/>
              <w:rFonts w:ascii="Figtree" w:hAnsi="Figtree"/>
            </w:rPr>
          </w:r>
        </w:p>
        <w:p>
          <w:pPr>
            <w:ind w:left="2160"/>
          </w:pPr>
          <w:r>
            <w:t xml:space="preserve">Capacity Planning</w:t>
            <w:rPr>
              <w:sz w:val="22"/>
              <w:rFonts w:ascii="Figtree" w:hAnsi="Figtree"/>
            </w:rPr>
          </w:r>
        </w:p>
        <w:p>
          <w:pPr>
            <w:ind w:left="1440"/>
          </w:pPr>
          <w:r>
            <w:t xml:space="preserve">Appendix: Detailed Training Programme</w:t>
            <w:rPr>
              <w:sz w:val="22"/>
              <w:rFonts w:ascii="Figtree" w:hAnsi="Figtree"/>
            </w:rPr>
          </w:r>
        </w:p>
        <w:p>
          <w:pPr>
            <w:ind w:left="2160"/>
          </w:pPr>
          <w:r>
            <w:t xml:space="preserve">Administrator Track (3 Days)</w:t>
            <w:rPr>
              <w:sz w:val="22"/>
              <w:rFonts w:ascii="Figtree" w:hAnsi="Figtree"/>
            </w:rPr>
          </w:r>
        </w:p>
        <w:p>
          <w:pPr>
            <w:ind w:left="2160"/>
          </w:pPr>
          <w:r>
            <w:t xml:space="preserve">Developer / Integration Track (3 Days)</w:t>
            <w:rPr>
              <w:sz w:val="22"/>
              <w:rFonts w:ascii="Figtree" w:hAnsi="Figtree"/>
            </w:rPr>
          </w:r>
        </w:p>
        <w:p>
          <w:pPr>
            <w:ind w:left="2160"/>
          </w:pPr>
          <w:r>
            <w:t xml:space="preserve">Operations Track (2 Days)</w:t>
            <w:rPr>
              <w:sz w:val="22"/>
              <w:rFonts w:ascii="Figtree" w:hAnsi="Figtree"/>
            </w:rPr>
          </w:r>
        </w:p>
        <w:p>
          <w:pPr>
            <w:ind w:left="2160"/>
          </w:pPr>
          <w:r>
            <w:t xml:space="preserve">Knowledge Transfer Outcomes</w:t>
            <w:rPr>
              <w:sz w:val="22"/>
              <w:rFonts w:ascii="Figtree" w:hAnsi="Figtree"/>
            </w:rPr>
          </w:r>
        </w:p>
        <w:p>
          <w:pPr>
            <w:ind w:left="1440"/>
          </w:pPr>
          <w:r>
            <w:t xml:space="preserve">Appendix: Extended Risk Analysis</w:t>
            <w:rPr>
              <w:sz w:val="22"/>
              <w:rFonts w:ascii="Figtree" w:hAnsi="Figtree"/>
            </w:rPr>
          </w:r>
        </w:p>
        <w:p>
          <w:pPr>
            <w:ind w:left="2160"/>
          </w:pPr>
          <w:r>
            <w:t xml:space="preserve">Risk Assessment Methodology</w:t>
            <w:rPr>
              <w:sz w:val="22"/>
              <w:rFonts w:ascii="Figtree" w:hAnsi="Figtree"/>
            </w:rPr>
          </w:r>
        </w:p>
        <w:p>
          <w:pPr>
            <w:ind w:left="2160"/>
          </w:pPr>
          <w:r>
            <w:t xml:space="preserve">Extended Risk Register</w:t>
            <w:rPr>
              <w:sz w:val="22"/>
              <w:rFonts w:ascii="Figtree" w:hAnsi="Figtree"/>
            </w:rPr>
          </w:r>
        </w:p>
        <w:p>
          <w:pPr>
            <w:ind w:left="2160"/>
          </w:pPr>
          <w:r>
            <w:t xml:space="preserve">Risk Monitoring and Governance</w:t>
            <w:rPr>
              <w:sz w:val="22"/>
              <w:rFonts w:ascii="Figtree" w:hAnsi="Figtree"/>
            </w:rPr>
          </w:r>
        </w:p>
        <w:p>
          <w:pPr>
            <w:ind w:left="1440"/>
          </w:pPr>
          <w:r>
            <w:t xml:space="preserve">Appendix: Competitive Positioning</w:t>
            <w:rPr>
              <w:sz w:val="22"/>
              <w:rFonts w:ascii="Figtree" w:hAnsi="Figtree"/>
            </w:rPr>
          </w:r>
        </w:p>
        <w:p>
          <w:pPr>
            <w:ind w:left="1440"/>
          </w:pPr>
          <w:r>
            <w:t xml:space="preserve">Appendix A: Glossary</w:t>
            <w:rPr>
              <w:sz w:val="22"/>
              <w:rFonts w:ascii="Figtree" w:hAnsi="Figtree"/>
            </w:rPr>
          </w:r>
        </w:p>
        <w:p>
          <w:pPr>
            <w:ind w:left="1440"/>
          </w:pPr>
          <w:r>
            <w:t xml:space="preserve">Appendix B: Support Tier Comparison</w:t>
            <w:rPr>
              <w:sz w:val="22"/>
              <w:rFonts w:ascii="Figtree" w:hAnsi="Figtree"/>
            </w:rPr>
          </w:r>
        </w:p>
        <w:p>
          <w:pPr>
            <w:ind w:left="1440"/>
          </w:pPr>
          <w:r>
            <w:t xml:space="preserve">Appendix C: Reconciliation Architecture</w:t>
            <w:rPr>
              <w:sz w:val="22"/>
              <w:rFonts w:ascii="Figtree" w:hAnsi="Figtree"/>
            </w:rPr>
          </w:r>
        </w:p>
        <w:p>
          <w:pPr>
            <w:ind w:left="1440"/>
          </w:pPr>
          <w:r>
            <w:t xml:space="preserve">Appendix D: Performance Benchmarks</w:t>
            <w:rPr>
              <w:sz w:val="22"/>
              <w:rFonts w:ascii="Figtree" w:hAnsi="Figtree"/>
            </w:rPr>
          </w:r>
        </w:p>
        <w:p>
          <w:pPr>
            <w:ind w:left="1440"/>
          </w:pPr>
          <w:r>
            <w:t xml:space="preserve">Appendix E: Standards Compliance Reference</w:t>
            <w:rPr>
              <w:sz w:val="22"/>
              <w:rFonts w:ascii="Figtree" w:hAnsi="Figtree"/>
            </w:rPr>
          </w:r>
        </w:p>
        <w:p>
          <w:pPr>
            <w:ind w:left="1440"/>
          </w:pPr>
          <w:r>
            <w:t xml:space="preserve">Appendix F: Document Map</w:t>
            <w:rPr>
              <w:sz w:val="22"/>
              <w:rFonts w:ascii="Figtree" w:hAnsi="Figtree"/>
            </w:rPr>
          </w:r>
        </w:p>
        <w:p>
          <w:pPr>
            <w:ind w:left="1440"/>
          </w:pPr>
          <w:r>
            <w:t xml:space="preserve">Appendix C: Certification Summary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Tokenized Deposits and Trade Finance Liquidity Rails</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Emirates NBD</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EMIRATES-NBD-RFP-TOKENIZED-DEPOSITS-TRADE-FINANCE-202603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Emirates NBD's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Deposits and Trade Finance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Emirates NBD has identified tokenized deposits and trade finance liquidity rails as a business-critical capability requiring production-grade discipline — not innovation theater, but a platform and implementation model that operates within the bank's control environment, integrates with existing enterprise systems, and sustains growth in volumes, products, and regulatory scrutiny without fundamental rework.</w:t>
      </w:r>
    </w:p>
    <w:p>
      <w:r>
        <w:rPr>
          <w:rFonts w:ascii="Figtree" w:hAnsi="Figtree"/>
          <w:b w:val="0"/>
          <w:i w:val="0"/>
          <w:sz w:val="22"/>
        </w:rPr>
        <w:t>SettleMint's Digital Asset Lifecycle Platform (DALP) addresses this requirement directly. DALP provides production-ready infrastructure for designing, issuing, servicing, and retiring tokenized financial instruments with compliance enforcement, identity verification, and governance controls embedded at the smart contract level rather than bolted on as application-layer overlays.</w:t>
      </w:r>
    </w:p>
    <w:p>
      <w:r>
        <w:rPr>
          <w:rFonts w:ascii="Figtree" w:hAnsi="Figtree"/>
          <w:b/>
          <w:i w:val="0"/>
          <w:sz w:val="22"/>
        </w:rPr>
        <w:t>Why DALP fits Emirates NBD's requirements:</w:t>
      </w:r>
    </w:p>
    <w:p>
      <w:pPr>
        <w:pStyle w:val="ListParagraph"/>
        <w:numPr>
          <w:ilvl w:val="0"/>
          <w:numId w:val="4"/>
        </w:numPr>
      </w:pPr>
      <w:r>
        <w:rPr>
          <w:rFonts w:ascii="Figtree" w:hAnsi="Figtree"/>
          <w:b/>
          <w:i w:val="0"/>
          <w:sz w:val="22"/>
        </w:rPr>
        <w:t>Production-proven tokenized deposits.</w:t>
      </w:r>
      <w:r>
        <w:rPr>
          <w:rFonts w:ascii="Figtree" w:hAnsi="Figtree"/>
          <w:b w:val="0"/>
          <w:i w:val="0"/>
          <w:sz w:val="22"/>
        </w:rPr>
        <w:t xml:space="preserve"> DALP's configurable token architecture supports tokenized bank deposits as a native asset class, with denomination linking, atomic delivery-versus-payment settlement, and full lifecycle servicing — coupon distribution, maturity redemption, corporate actions — through platform configuration rather than custom smart contract development. The compliance engine enforces eligibility checks, investor accreditation, and transfer restrictions at the contract level, ensuring that deposit and trade finance governance rules travel with the token throughout its lifecycle.</w:t>
      </w:r>
    </w:p>
    <w:p>
      <w:pPr>
        <w:pStyle w:val="ListParagraph"/>
        <w:numPr>
          <w:ilvl w:val="0"/>
          <w:numId w:val="4"/>
        </w:numPr>
      </w:pPr>
      <w:r>
        <w:rPr>
          <w:rFonts w:ascii="Figtree" w:hAnsi="Figtree"/>
          <w:b/>
          <w:i w:val="0"/>
          <w:sz w:val="22"/>
        </w:rPr>
        <w:t>Institutional-scale production track record.</w:t>
      </w:r>
      <w:r>
        <w:rPr>
          <w:rFonts w:ascii="Figtree" w:hAnsi="Figtree"/>
          <w:b w:val="0"/>
          <w:i w:val="0"/>
          <w:sz w:val="22"/>
        </w:rPr>
        <w:t xml:space="preserve"> DALP processes digital assets across production deployments with regulated institutions including Standard Chartered Bank (Digital Virtual Exchange across Asia, Africa, and the Middle East), Commerzbank (exchange-traded products on Boerse Stuttgart with median settlement latency of 2.3 seconds and P99 at 4.1 seconds), OCBC Bank (security token engine for securitization), State Bank of India (CBDC infrastructure), and the Islamic Development Bank (subsidy distribution across 57 member countries). These are not pilot exercises — they are production systems processing real assets on real balance sheets.</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identity services, core banking ledgers, sanctions and AML tooling, SWIFT messaging infrastructure, trade finance document management systems, reporting environments, and observability stacks through a comprehensive API surface (REST API v2 with OpenAPI 3.1, GraphQL via subgraph, event webhooks, TypeScript SDK, CLI with 301 commands across 26 command groups). The platform does not create an isolated digital-asset island — it sits inside Emirates NBD's institutional plumbing with defined integration boundaries and reconciliation points.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operation — issuance, transfer, trade milestone, distribution — produces a complete audit trail with initiator identity, policy checks applied, approval chain, and resulting state. Role-based access control with maker-checker workflows, segregation of duties, and multi-signature governance are native to the platform. Emirates NBD's compliance officers, operations teams, and internal audit can reconstruct any state at any point.</w:t>
      </w:r>
    </w:p>
    <w:p>
      <w:pPr>
        <w:pStyle w:val="ListParagraph"/>
        <w:numPr>
          <w:ilvl w:val="0"/>
          <w:numId w:val="4"/>
        </w:numPr>
      </w:pPr>
      <w:r>
        <w:rPr>
          <w:rFonts w:ascii="Figtree" w:hAnsi="Figtree"/>
          <w:b/>
          <w:i w:val="0"/>
          <w:sz w:val="22"/>
        </w:rPr>
        <w:t>Trade finance workflow orchestration.</w:t>
      </w:r>
      <w:r>
        <w:rPr>
          <w:rFonts w:ascii="Figtree" w:hAnsi="Figtree"/>
          <w:b w:val="0"/>
          <w:i w:val="0"/>
          <w:sz w:val="22"/>
        </w:rPr>
        <w:t xml:space="preserve"> DALP's durable execution engine handles multi-step trade finance workflows — document presentation, milestone verification, counterparty approvals, limit checks, and liquidity release — with deterministic completion guarantees. Each workflow step produces auditable evidence, and failure at any point triggers defined recovery paths rather than silent data loss.</w:t>
      </w:r>
    </w:p>
    <w:p>
      <w:r>
        <w:rPr>
          <w:rFonts w:ascii="Figtree" w:hAnsi="Figtree"/>
          <w:b w:val="0"/>
          <w:i w:val="0"/>
          <w:sz w:val="22"/>
        </w:rPr>
        <w:t>The proposed implementation follows SettleMint's phase-gated methodology: 19 weeks from kickoff to hypercare completion, with five delivery phases, formal gate reviews, and clearly defined client responsibilities at each stage. The first production asset class — tokenized deposits — can be live within 13 weeks of kickoff, with trade finance liquidity rails following in a subsequent configuration cycle.</w:t>
      </w:r>
    </w:p>
    <w:p>
      <w:r>
        <w:rPr>
          <w:rFonts w:ascii="Figtree" w:hAnsi="Figtree"/>
          <w:b w:val="0"/>
          <w:i w:val="0"/>
          <w:sz w:val="22"/>
        </w:rPr>
        <w:t>This proposal responds to every requirement in the RFP with explicit status, evidence references, and honest qualification of gaps. Where a capability is partial or planned, the gap, mitigation, and timeline are stated directly. SettleMint's position is that operational honesty earns more trust than an over-optimistic response — and we believe Emirates NBD's evaluation team shares that view.</w:t>
      </w:r>
    </w:p>
    <w:p>
      <w:pPr>
        <w:jc w:val="center"/>
      </w:pPr>
      <w:r>
        <w:drawing>
          <wp:inline xmlns:a="http://schemas.openxmlformats.org/drawingml/2006/main" xmlns:pic="http://schemas.openxmlformats.org/drawingml/2006/picture">
            <wp:extent cx="5486400" cy="18544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854459"/>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SettleMint provides the governance and orchestration layer between existing core financial systems and multiple blockchain networks, delivering the infrastructure required to build, deploy, and operate compliant digital asset solutions in production.</w:t>
      </w:r>
    </w:p>
    <w:p>
      <w:r>
        <w:rPr>
          <w:rFonts w:ascii="Figtree" w:hAnsi="Figtree"/>
          <w:b w:val="0"/>
          <w:i w:val="0"/>
          <w:sz w:val="22"/>
        </w:rPr>
        <w:t>SettleMint's mission is to bridge the gap between digital asset ambitions and production-grade execution — enabling financial institutions, market infrastructure providers, and sovereign entities to move real-world value on-chain with a compliant, secure, production-grade platform.</w:t>
      </w:r>
    </w:p>
    <w:p>
      <w:pPr>
        <w:pStyle w:val="H3"/>
        <w:numPr>
          <w:ilvl w:val="2"/>
          <w:numId w:val="1"/>
        </w:numPr>
      </w:pPr>
      <w:r>
        <w:t>History and Market Position</w:t>
      </w:r>
    </w:p>
    <w:p>
      <w:r>
        <w:rPr>
          <w:rFonts w:ascii="Figtree" w:hAnsi="Figtree"/>
          <w:b w:val="0"/>
          <w:i w:val="0"/>
          <w:sz w:val="22"/>
        </w:rPr>
        <w:t>SettleMint has been building enterprise blockchain infrastructure since 2016, with 10 years of continuous operation and 7+ years of continuous production deployments at regulated banks in Asia and Europe. Key milestones include:</w:t>
      </w:r>
    </w:p>
    <w:p>
      <w:pPr>
        <w:pStyle w:val="ListParagraph"/>
        <w:numPr>
          <w:ilvl w:val="0"/>
          <w:numId w:val="4"/>
        </w:numPr>
      </w:pPr>
      <w:r>
        <w:rPr>
          <w:rFonts w:ascii="Figtree" w:hAnsi="Figtree"/>
          <w:b/>
          <w:i w:val="0"/>
          <w:sz w:val="22"/>
        </w:rPr>
        <w:t>2016:</w:t>
      </w:r>
      <w:r>
        <w:rPr>
          <w:rFonts w:ascii="Figtree" w:hAnsi="Figtree"/>
          <w:b w:val="0"/>
          <w:i w:val="0"/>
          <w:sz w:val="22"/>
        </w:rPr>
        <w:t xml:space="preserve"> Founded in Leuven, Belgium, with a focus on enterprise blockchain infrastructure</w:t>
      </w:r>
    </w:p>
    <w:p>
      <w:pPr>
        <w:pStyle w:val="ListParagraph"/>
        <w:numPr>
          <w:ilvl w:val="0"/>
          <w:numId w:val="4"/>
        </w:numPr>
      </w:pPr>
      <w:r>
        <w:rPr>
          <w:rFonts w:ascii="Figtree" w:hAnsi="Figtree"/>
          <w:b/>
          <w:i w:val="0"/>
          <w:sz w:val="22"/>
        </w:rPr>
        <w:t>Early production deployments:</w:t>
      </w:r>
      <w:r>
        <w:rPr>
          <w:rFonts w:ascii="Figtree" w:hAnsi="Figtree"/>
          <w:b w:val="0"/>
          <w:i w:val="0"/>
          <w:sz w:val="22"/>
        </w:rPr>
        <w:t xml:space="preserve"> First customer programs with tier-1 and tier-2 financial institutions</w:t>
      </w:r>
    </w:p>
    <w:p>
      <w:pPr>
        <w:pStyle w:val="ListParagraph"/>
        <w:numPr>
          <w:ilvl w:val="0"/>
          <w:numId w:val="4"/>
        </w:numPr>
      </w:pPr>
      <w:r>
        <w:rPr>
          <w:rFonts w:ascii="Figtree" w:hAnsi="Figtree"/>
          <w:b/>
          <w:i w:val="0"/>
          <w:sz w:val="22"/>
        </w:rPr>
        <w:t>Platform evolution:</w:t>
      </w:r>
      <w:r>
        <w:rPr>
          <w:rFonts w:ascii="Figtree" w:hAnsi="Figtree"/>
          <w:b w:val="0"/>
          <w:i w:val="0"/>
          <w:sz w:val="22"/>
        </w:rPr>
        <w:t xml:space="preserve"> Development of DALP (Digital Asset Lifecycle Platform), consolidating years of production experience</w:t>
      </w:r>
    </w:p>
    <w:p>
      <w:pPr>
        <w:pStyle w:val="ListParagraph"/>
        <w:numPr>
          <w:ilvl w:val="0"/>
          <w:numId w:val="4"/>
        </w:numPr>
      </w:pPr>
      <w:r>
        <w:rPr>
          <w:rFonts w:ascii="Figtree" w:hAnsi="Figtree"/>
          <w:b/>
          <w:i w:val="0"/>
          <w:sz w:val="22"/>
        </w:rPr>
        <w:t>Geographic expansion:</w:t>
      </w:r>
      <w:r>
        <w:rPr>
          <w:rFonts w:ascii="Figtree" w:hAnsi="Figtree"/>
          <w:b w:val="0"/>
          <w:i w:val="0"/>
          <w:sz w:val="22"/>
        </w:rPr>
        <w:t xml:space="preserve"> Operations across Europe, the Middle East (including active sovereign programs in the Gulf region), and Asia-Pacific (including production deployments in Japan and Singapore)</w:t>
      </w:r>
    </w:p>
    <w:p>
      <w:pPr>
        <w:pStyle w:val="ListParagraph"/>
        <w:numPr>
          <w:ilvl w:val="0"/>
          <w:numId w:val="4"/>
        </w:numPr>
      </w:pPr>
      <w:r>
        <w:rPr>
          <w:rFonts w:ascii="Figtree" w:hAnsi="Figtree"/>
          <w:b/>
          <w:i w:val="0"/>
          <w:sz w:val="22"/>
        </w:rPr>
        <w:t>Sovereign-scale programs:</w:t>
      </w:r>
      <w:r>
        <w:rPr>
          <w:rFonts w:ascii="Figtree" w:hAnsi="Figtree"/>
          <w:b w:val="0"/>
          <w:i w:val="0"/>
          <w:sz w:val="22"/>
        </w:rPr>
        <w:t xml:space="preserve"> National-scale tokenization initiatives including real estate registries and sovereign capital markets infrastructure</w:t>
      </w:r>
    </w:p>
    <w:p>
      <w:pPr>
        <w:pStyle w:val="ListParagraph"/>
        <w:numPr>
          <w:ilvl w:val="0"/>
          <w:numId w:val="4"/>
        </w:numPr>
      </w:pPr>
      <w:r>
        <w:rPr>
          <w:rFonts w:ascii="Figtree" w:hAnsi="Figtree"/>
          <w:b/>
          <w:i w:val="0"/>
          <w:sz w:val="22"/>
        </w:rPr>
        <w:t>Series A financing:</w:t>
      </w:r>
      <w:r>
        <w:rPr>
          <w:rFonts w:ascii="Figtree" w:hAnsi="Figtree"/>
          <w:b w:val="0"/>
          <w:i w:val="0"/>
          <w:sz w:val="22"/>
        </w:rPr>
        <w:t xml:space="preserve"> Backed by leading investors in Europe and the Middle East</w:t>
      </w:r>
    </w:p>
    <w:p>
      <w:pPr>
        <w:pStyle w:val="H3"/>
        <w:numPr>
          <w:ilvl w:val="2"/>
          <w:numId w:val="1"/>
        </w:numPr>
      </w:pPr>
      <w:r>
        <w:t>Production Credentials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Credential</w:t>
            </w:r>
          </w:p>
        </w:tc>
        <w:tc>
          <w:tcPr>
            <w:tcW w:type="dxa" w:w="4873"/>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4873"/>
            <w:vAlign w:val="center"/>
          </w:tcPr>
          <w:p>
            <w:r/>
            <w:r>
              <w:rPr>
                <w:rFonts w:ascii="Figtree" w:hAnsi="Figtree"/>
                <w:b w:val="0"/>
                <w:i w:val="0"/>
                <w:sz w:val="22"/>
              </w:rPr>
              <w:t>Continuous operation</w:t>
            </w:r>
          </w:p>
        </w:tc>
        <w:tc>
          <w:tcPr>
            <w:tcW w:type="dxa" w:w="4873"/>
            <w:vAlign w:val="center"/>
          </w:tcPr>
          <w:p>
            <w:r/>
            <w:r>
              <w:rPr>
                <w:rFonts w:ascii="Figtree" w:hAnsi="Figtree"/>
                <w:b w:val="0"/>
                <w:i w:val="0"/>
                <w:sz w:val="22"/>
              </w:rPr>
              <w:t>Since 2016, 10 years</w:t>
            </w:r>
          </w:p>
        </w:tc>
      </w:tr>
      <w:tr>
        <w:trPr>
          <w:trHeight w:val="454" w:hRule="atLeast"/>
        </w:trPr>
        <w:tc>
          <w:tcPr>
            <w:tcW w:type="dxa" w:w="4873"/>
            <w:vAlign w:val="center"/>
          </w:tcPr>
          <w:p>
            <w:r/>
            <w:r>
              <w:rPr>
                <w:rFonts w:ascii="Figtree" w:hAnsi="Figtree"/>
                <w:b w:val="0"/>
                <w:i w:val="0"/>
                <w:sz w:val="22"/>
              </w:rPr>
              <w:t>Production deployments</w:t>
            </w:r>
          </w:p>
        </w:tc>
        <w:tc>
          <w:tcPr>
            <w:tcW w:type="dxa" w:w="4873"/>
            <w:vAlign w:val="center"/>
          </w:tcPr>
          <w:p>
            <w:r/>
            <w:r>
              <w:rPr>
                <w:rFonts w:ascii="Figtree" w:hAnsi="Figtree"/>
                <w:b w:val="0"/>
                <w:i w:val="0"/>
                <w:sz w:val="22"/>
              </w:rPr>
              <w:t>7+ years with regulated banks</w:t>
            </w:r>
          </w:p>
        </w:tc>
      </w:tr>
      <w:tr>
        <w:trPr>
          <w:trHeight w:val="454" w:hRule="atLeast"/>
        </w:trPr>
        <w:tc>
          <w:tcPr>
            <w:tcW w:type="dxa" w:w="4873"/>
            <w:vAlign w:val="center"/>
          </w:tcPr>
          <w:p>
            <w:r/>
            <w:r>
              <w:rPr>
                <w:rFonts w:ascii="Figtree" w:hAnsi="Figtree"/>
                <w:b w:val="0"/>
                <w:i w:val="0"/>
                <w:sz w:val="22"/>
              </w:rPr>
              <w:t>Asset classes in production</w:t>
            </w:r>
          </w:p>
        </w:tc>
        <w:tc>
          <w:tcPr>
            <w:tcW w:type="dxa" w:w="4873"/>
            <w:vAlign w:val="center"/>
          </w:tcPr>
          <w:p>
            <w:r/>
            <w:r>
              <w:rPr>
                <w:rFonts w:ascii="Figtree" w:hAnsi="Figtree"/>
                <w:b w:val="0"/>
                <w:i w:val="0"/>
                <w:sz w:val="22"/>
              </w:rPr>
              <w:t>Bonds, equities, deposits, stablecoins, real estate, funds, precious metals</w:t>
            </w:r>
          </w:p>
        </w:tc>
      </w:tr>
      <w:tr>
        <w:trPr>
          <w:trHeight w:val="454" w:hRule="atLeast"/>
        </w:trPr>
        <w:tc>
          <w:tcPr>
            <w:tcW w:type="dxa" w:w="4873"/>
            <w:vAlign w:val="center"/>
          </w:tcPr>
          <w:p>
            <w:r/>
            <w:r>
              <w:rPr>
                <w:rFonts w:ascii="Figtree" w:hAnsi="Figtree"/>
                <w:b w:val="0"/>
                <w:i w:val="0"/>
                <w:sz w:val="22"/>
              </w:rPr>
              <w:t>Geographic coverage</w:t>
            </w:r>
          </w:p>
        </w:tc>
        <w:tc>
          <w:tcPr>
            <w:tcW w:type="dxa" w:w="4873"/>
            <w:vAlign w:val="center"/>
          </w:tcPr>
          <w:p>
            <w:r/>
            <w:r>
              <w:rPr>
                <w:rFonts w:ascii="Figtree" w:hAnsi="Figtree"/>
                <w:b w:val="0"/>
                <w:i w:val="0"/>
                <w:sz w:val="22"/>
              </w:rPr>
              <w:t>Europe, Middle East, Asia-Pacific</w:t>
            </w:r>
          </w:p>
        </w:tc>
      </w:tr>
      <w:tr>
        <w:trPr>
          <w:trHeight w:val="454" w:hRule="atLeast"/>
        </w:trPr>
        <w:tc>
          <w:tcPr>
            <w:tcW w:type="dxa" w:w="4873"/>
            <w:vAlign w:val="center"/>
          </w:tcPr>
          <w:p>
            <w:r/>
            <w:r>
              <w:rPr>
                <w:rFonts w:ascii="Figtree" w:hAnsi="Figtree"/>
                <w:b w:val="0"/>
                <w:i w:val="0"/>
                <w:sz w:val="22"/>
              </w:rPr>
              <w:t>Sovereign programs</w:t>
            </w:r>
          </w:p>
        </w:tc>
        <w:tc>
          <w:tcPr>
            <w:tcW w:type="dxa" w:w="4873"/>
            <w:vAlign w:val="center"/>
          </w:tcPr>
          <w:p>
            <w:r/>
            <w:r>
              <w:rPr>
                <w:rFonts w:ascii="Figtree" w:hAnsi="Figtree"/>
                <w:b w:val="0"/>
                <w:i w:val="0"/>
                <w:sz w:val="22"/>
              </w:rPr>
              <w:t>Saudi Arabia RER (country-scale real estate), SBI e-Rupee CBDC</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p>
      <w:pPr>
        <w:pStyle w:val="H3"/>
        <w:numPr>
          <w:ilvl w:val="2"/>
          <w:numId w:val="1"/>
        </w:numPr>
      </w:pPr>
      <w:r>
        <w:t>Regulatory Readiness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Jurisdiction/Framework</w:t>
            </w:r>
          </w:p>
        </w:tc>
        <w:tc>
          <w:tcPr>
            <w:tcW w:type="dxa" w:w="4873"/>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4873"/>
            <w:vAlign w:val="center"/>
          </w:tcPr>
          <w:p>
            <w:r/>
            <w:r>
              <w:rPr>
                <w:rFonts w:ascii="Figtree" w:hAnsi="Figtree"/>
                <w:b w:val="0"/>
                <w:i w:val="0"/>
                <w:sz w:val="22"/>
              </w:rPr>
              <w:t>EU MiCA / MiFID II / CSDR</w:t>
            </w:r>
          </w:p>
        </w:tc>
        <w:tc>
          <w:tcPr>
            <w:tcW w:type="dxa" w:w="4873"/>
            <w:vAlign w:val="center"/>
          </w:tcPr>
          <w:p>
            <w:r/>
            <w:r>
              <w:rPr>
                <w:rFonts w:ascii="Figtree" w:hAnsi="Figtree"/>
                <w:b w:val="0"/>
                <w:i w:val="0"/>
                <w:sz w:val="22"/>
              </w:rPr>
              <w:t>Active deployments (Commerzbank ETP, KBC Securities)</w:t>
            </w:r>
          </w:p>
        </w:tc>
      </w:tr>
      <w:tr>
        <w:trPr>
          <w:trHeight w:val="454" w:hRule="atLeast"/>
        </w:trPr>
        <w:tc>
          <w:tcPr>
            <w:tcW w:type="dxa" w:w="4873"/>
            <w:vAlign w:val="center"/>
          </w:tcPr>
          <w:p>
            <w:r/>
            <w:r>
              <w:rPr>
                <w:rFonts w:ascii="Figtree" w:hAnsi="Figtree"/>
                <w:b w:val="0"/>
                <w:i w:val="0"/>
                <w:sz w:val="22"/>
              </w:rPr>
              <w:t>UAE DFSA / ADGM FSMR / CBUAE</w:t>
            </w:r>
          </w:p>
        </w:tc>
        <w:tc>
          <w:tcPr>
            <w:tcW w:type="dxa" w:w="4873"/>
            <w:vAlign w:val="center"/>
          </w:tcPr>
          <w:p>
            <w:r/>
            <w:r>
              <w:rPr>
                <w:rFonts w:ascii="Figtree" w:hAnsi="Figtree"/>
                <w:b w:val="0"/>
                <w:i w:val="0"/>
                <w:sz w:val="22"/>
              </w:rPr>
              <w:t>Active programs (ADI Finstreet, Saudi RER adjacency)</w:t>
            </w:r>
          </w:p>
        </w:tc>
      </w:tr>
      <w:tr>
        <w:trPr>
          <w:trHeight w:val="454" w:hRule="atLeast"/>
        </w:trPr>
        <w:tc>
          <w:tcPr>
            <w:tcW w:type="dxa" w:w="4873"/>
            <w:vAlign w:val="center"/>
          </w:tcPr>
          <w:p>
            <w:r/>
            <w:r>
              <w:rPr>
                <w:rFonts w:ascii="Figtree" w:hAnsi="Figtree"/>
                <w:b w:val="0"/>
                <w:i w:val="0"/>
                <w:sz w:val="22"/>
              </w:rPr>
              <w:t>MAS (Singapore)</w:t>
            </w:r>
          </w:p>
        </w:tc>
        <w:tc>
          <w:tcPr>
            <w:tcW w:type="dxa" w:w="4873"/>
            <w:vAlign w:val="center"/>
          </w:tcPr>
          <w:p>
            <w:r/>
            <w:r>
              <w:rPr>
                <w:rFonts w:ascii="Figtree" w:hAnsi="Figtree"/>
                <w:b w:val="0"/>
                <w:i w:val="0"/>
                <w:sz w:val="22"/>
              </w:rPr>
              <w:t>Production (OCBC, Maybank Project Photon)</w:t>
            </w:r>
          </w:p>
        </w:tc>
      </w:tr>
      <w:tr>
        <w:trPr>
          <w:trHeight w:val="454" w:hRule="atLeast"/>
        </w:trPr>
        <w:tc>
          <w:tcPr>
            <w:tcW w:type="dxa" w:w="4873"/>
            <w:vAlign w:val="center"/>
          </w:tcPr>
          <w:p>
            <w:r/>
            <w:r>
              <w:rPr>
                <w:rFonts w:ascii="Figtree" w:hAnsi="Figtree"/>
                <w:b w:val="0"/>
                <w:i w:val="0"/>
                <w:sz w:val="22"/>
              </w:rPr>
              <w:t>JFSA (Japan)</w:t>
            </w:r>
          </w:p>
        </w:tc>
        <w:tc>
          <w:tcPr>
            <w:tcW w:type="dxa" w:w="4873"/>
            <w:vAlign w:val="center"/>
          </w:tcPr>
          <w:p>
            <w:r/>
            <w:r>
              <w:rPr>
                <w:rFonts w:ascii="Figtree" w:hAnsi="Figtree"/>
                <w:b w:val="0"/>
                <w:i w:val="0"/>
                <w:sz w:val="22"/>
              </w:rPr>
              <w:t>Production (Sony Bank, Mizuho)</w:t>
            </w:r>
          </w:p>
        </w:tc>
      </w:tr>
      <w:tr>
        <w:trPr>
          <w:trHeight w:val="454" w:hRule="atLeast"/>
        </w:trPr>
        <w:tc>
          <w:tcPr>
            <w:tcW w:type="dxa" w:w="4873"/>
            <w:vAlign w:val="center"/>
          </w:tcPr>
          <w:p>
            <w:r/>
            <w:r>
              <w:rPr>
                <w:rFonts w:ascii="Figtree" w:hAnsi="Figtree"/>
                <w:b w:val="0"/>
                <w:i w:val="0"/>
                <w:sz w:val="22"/>
              </w:rPr>
              <w:t>RBI (India)</w:t>
            </w:r>
          </w:p>
        </w:tc>
        <w:tc>
          <w:tcPr>
            <w:tcW w:type="dxa" w:w="4873"/>
            <w:vAlign w:val="center"/>
          </w:tcPr>
          <w:p>
            <w:r/>
            <w:r>
              <w:rPr>
                <w:rFonts w:ascii="Figtree" w:hAnsi="Figtree"/>
                <w:b w:val="0"/>
                <w:i w:val="0"/>
                <w:sz w:val="22"/>
              </w:rPr>
              <w:t>Production (SBI CBDC, RBI Innovation Hub)</w:t>
            </w:r>
          </w:p>
        </w:tc>
      </w:tr>
    </w:tbl>
    <w:p>
      <w:pPr>
        <w:pStyle w:val="H3"/>
        <w:numPr>
          <w:ilvl w:val="2"/>
          <w:numId w:val="1"/>
        </w:numPr>
      </w:pPr>
      <w:r>
        <w:t>Team and Delivery Capability</w:t>
      </w:r>
    </w:p>
    <w:p>
      <w:r>
        <w:rPr>
          <w:rFonts w:ascii="Figtree" w:hAnsi="Figtree"/>
          <w:b w:val="0"/>
          <w:i w:val="0"/>
          <w:sz w:val="22"/>
        </w:rPr>
        <w:t>SettleMint operates with an engineering-heavy organization. The DALP Core Engineering team — four senior engineers — handles all platform development: smart contract architecture, backend services, API layer, compliance engine, settlement workflows, and infrastructure automation. This small team size is a deliberate design choice enabling rapid iteration, architectural coherence, and deep ownership. An AI-native engineering workflow acts as a force multiplier, allowing the team to operate at higher effective capacity without proportional headcount growth.</w:t>
      </w:r>
    </w:p>
    <w:p>
      <w:r>
        <w:rPr>
          <w:rFonts w:ascii="Figtree" w:hAnsi="Figtree"/>
          <w:b w:val="0"/>
          <w:i w:val="0"/>
          <w:sz w:val="22"/>
        </w:rPr>
        <w:t>The leadership team combines deep technical expertise, financial domain knowledge, and enterprise delivery experience:</w:t>
      </w:r>
    </w:p>
    <w:p>
      <w:pPr>
        <w:pStyle w:val="ListParagraph"/>
        <w:numPr>
          <w:ilvl w:val="0"/>
          <w:numId w:val="4"/>
        </w:numPr>
      </w:pPr>
      <w:r>
        <w:rPr>
          <w:rFonts w:ascii="Figtree" w:hAnsi="Figtree"/>
          <w:b/>
          <w:i w:val="0"/>
          <w:sz w:val="22"/>
        </w:rPr>
        <w:t>Adam Popat, CEO:</w:t>
      </w:r>
      <w:r>
        <w:rPr>
          <w:rFonts w:ascii="Figtree" w:hAnsi="Figtree"/>
          <w:b w:val="0"/>
          <w:i w:val="0"/>
          <w:sz w:val="22"/>
        </w:rPr>
        <w:t xml:space="preserve"> Finance, digital assets, M&amp;A, institutional business development — background spanning Standard Chartered, SC Ventures, and capital markets</w:t>
      </w:r>
    </w:p>
    <w:p>
      <w:pPr>
        <w:pStyle w:val="ListParagraph"/>
        <w:numPr>
          <w:ilvl w:val="0"/>
          <w:numId w:val="4"/>
        </w:numPr>
      </w:pPr>
      <w:r>
        <w:rPr>
          <w:rFonts w:ascii="Figtree" w:hAnsi="Figtree"/>
          <w:b/>
          <w:i w:val="0"/>
          <w:sz w:val="22"/>
        </w:rPr>
        <w:t>Matthew Van Niekerk, Co-founder and President:</w:t>
      </w:r>
      <w:r>
        <w:rPr>
          <w:rFonts w:ascii="Figtree" w:hAnsi="Figtree"/>
          <w:b w:val="0"/>
          <w:i w:val="0"/>
          <w:sz w:val="22"/>
        </w:rPr>
        <w:t xml:space="preserve"> Company strategy, investor relations, and market expansion</w:t>
      </w:r>
    </w:p>
    <w:p>
      <w:pPr>
        <w:pStyle w:val="ListParagraph"/>
        <w:numPr>
          <w:ilvl w:val="0"/>
          <w:numId w:val="4"/>
        </w:numPr>
      </w:pPr>
      <w:r>
        <w:rPr>
          <w:rFonts w:ascii="Figtree" w:hAnsi="Figtree"/>
          <w:b/>
          <w:i w:val="0"/>
          <w:sz w:val="22"/>
        </w:rPr>
        <w:t>Roderik van der Veer, Co-founder and CTO:</w:t>
      </w:r>
      <w:r>
        <w:rPr>
          <w:rFonts w:ascii="Figtree" w:hAnsi="Figtree"/>
          <w:b w:val="0"/>
          <w:i w:val="0"/>
          <w:sz w:val="22"/>
        </w:rPr>
        <w:t xml:space="preserve"> Technology strategy, platform architecture, and engineering execution</w:t>
      </w:r>
    </w:p>
    <w:p>
      <w:pPr>
        <w:pStyle w:val="H3"/>
        <w:numPr>
          <w:ilvl w:val="2"/>
          <w:numId w:val="1"/>
        </w:numPr>
      </w:pPr>
      <w:r>
        <w:t>Ecosystem and Partnerships</w:t>
      </w:r>
    </w:p>
    <w:p>
      <w:r>
        <w:rPr>
          <w:rFonts w:ascii="Figtree" w:hAnsi="Figtree"/>
          <w:b w:val="0"/>
          <w:i w:val="0"/>
          <w:sz w:val="22"/>
        </w:rPr>
        <w:t>SettleMint maintains partnerships across custody providers (DFNS, Fireblocks), blockchain infrastructure (Hyperledger Besu, public EVM networks), and system integration channels across Europe, the Middle East, and Asia-Pacific. The bring-your-own-custodian and bring-your-own-chain architecture means Emirates NBD retains choice over infrastructure vendors without platform lock-in.</w:t>
      </w:r>
    </w:p>
    <w:p>
      <w:pPr>
        <w:pStyle w:val="H3"/>
        <w:numPr>
          <w:ilvl w:val="2"/>
          <w:numId w:val="1"/>
        </w:numPr>
      </w:pPr>
      <w:r>
        <w:t>Relevance to Emirates NBD</w:t>
      </w:r>
    </w:p>
    <w:p>
      <w:r>
        <w:rPr>
          <w:rFonts w:ascii="Figtree" w:hAnsi="Figtree"/>
          <w:b w:val="0"/>
          <w:i w:val="0"/>
          <w:sz w:val="22"/>
        </w:rPr>
        <w:t>SettleMint's credentials map directly to Emirates NBD's evaluation concerns:</w:t>
      </w:r>
    </w:p>
    <w:p>
      <w:pPr>
        <w:pStyle w:val="ListParagraph"/>
        <w:numPr>
          <w:ilvl w:val="0"/>
          <w:numId w:val="4"/>
        </w:numPr>
      </w:pPr>
      <w:r>
        <w:rPr>
          <w:rFonts w:ascii="Figtree" w:hAnsi="Figtree"/>
          <w:b/>
          <w:i w:val="0"/>
          <w:sz w:val="22"/>
        </w:rPr>
        <w:t>UAE market presence:</w:t>
      </w:r>
      <w:r>
        <w:rPr>
          <w:rFonts w:ascii="Figtree" w:hAnsi="Figtree"/>
          <w:b w:val="0"/>
          <w:i w:val="0"/>
          <w:sz w:val="22"/>
        </w:rPr>
        <w:t xml:space="preserve"> Active programs in the Gulf region, including the Saudi Arabia RER sovereign program and ADI Finstreet equity tokenization on ADI mainnet</w:t>
      </w:r>
    </w:p>
    <w:p>
      <w:pPr>
        <w:pStyle w:val="ListParagraph"/>
        <w:numPr>
          <w:ilvl w:val="0"/>
          <w:numId w:val="4"/>
        </w:numPr>
      </w:pPr>
      <w:r>
        <w:rPr>
          <w:rFonts w:ascii="Figtree" w:hAnsi="Figtree"/>
          <w:b/>
          <w:i w:val="0"/>
          <w:sz w:val="22"/>
        </w:rPr>
        <w:t>Tier-1 bank deployments:</w:t>
      </w:r>
      <w:r>
        <w:rPr>
          <w:rFonts w:ascii="Figtree" w:hAnsi="Figtree"/>
          <w:b w:val="0"/>
          <w:i w:val="0"/>
          <w:sz w:val="22"/>
        </w:rPr>
        <w:t xml:space="preserve"> Standard Chartered, Commerzbank, OCBC, SBI — institutions with comparable regulatory and operational complexity</w:t>
      </w:r>
    </w:p>
    <w:p>
      <w:pPr>
        <w:pStyle w:val="ListParagraph"/>
        <w:numPr>
          <w:ilvl w:val="0"/>
          <w:numId w:val="4"/>
        </w:numPr>
      </w:pPr>
      <w:r>
        <w:rPr>
          <w:rFonts w:ascii="Figtree" w:hAnsi="Figtree"/>
          <w:b/>
          <w:i w:val="0"/>
          <w:sz w:val="22"/>
        </w:rPr>
        <w:t>Trade finance experience:</w:t>
      </w:r>
      <w:r>
        <w:rPr>
          <w:rFonts w:ascii="Figtree" w:hAnsi="Figtree"/>
          <w:b w:val="0"/>
          <w:i w:val="0"/>
          <w:sz w:val="22"/>
        </w:rPr>
        <w:t xml:space="preserve"> Reserve Bank of India Innovation Hub — multi-bank, multi-node, multi-cloud blockchain for fraud-proof trade finance workflows</w:t>
      </w:r>
    </w:p>
    <w:p>
      <w:pPr>
        <w:pStyle w:val="ListParagraph"/>
        <w:numPr>
          <w:ilvl w:val="0"/>
          <w:numId w:val="4"/>
        </w:numPr>
      </w:pPr>
      <w:r>
        <w:rPr>
          <w:rFonts w:ascii="Figtree" w:hAnsi="Figtree"/>
          <w:b/>
          <w:i w:val="0"/>
          <w:sz w:val="22"/>
        </w:rPr>
        <w:t>Deposit and cash-equivalent expertise:</w:t>
      </w:r>
      <w:r>
        <w:rPr>
          <w:rFonts w:ascii="Figtree" w:hAnsi="Figtree"/>
          <w:b w:val="0"/>
          <w:i w:val="0"/>
          <w:sz w:val="22"/>
        </w:rPr>
        <w:t xml:space="preserve"> Sony Bank stablecoin issuance, KBC Securities crowdfunding with fiat-backed stable token</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(Digital Asset Lifecycle Platform) is the infrastructure layer that institutions need to design, launch, and operate digital assets at production scale. It is a platform, not a consulting engagement — institutions configure and operate it themselves, using the same software that powers production deployments across Europe, the Middle East, and Asia Pacific.</w:t>
      </w:r>
    </w:p>
    <w:p>
      <w:r>
        <w:rPr>
          <w:rFonts w:ascii="Figtree" w:hAnsi="Figtree"/>
          <w:b w:val="0"/>
          <w:i w:val="0"/>
          <w:sz w:val="22"/>
        </w:rPr>
        <w:t>DALP positions itself as a lifecycle platform and control plane. Where traditional approaches require assembling separate solutions for token issuance, compliance checking, custody integration, settlement, and servicing, DALP provides all five capabilities in a single governed platform with consistent identity, compliance, and audit infrastructure across the entire asset lifecycle.</w:t>
      </w:r>
    </w:p>
    <w:p>
      <w:pPr>
        <w:pStyle w:val="H3"/>
        <w:numPr>
          <w:ilvl w:val="2"/>
          <w:numId w:val="1"/>
        </w:numPr>
      </w:pPr>
      <w:r>
        <w:t>Core Lifecycle Pillars</w:t>
      </w:r>
    </w:p>
    <w:p>
      <w:pPr>
        <w:jc w:val="center"/>
      </w:pPr>
      <w:r>
        <w:drawing>
          <wp:inline xmlns:a="http://schemas.openxmlformats.org/drawingml/2006/main" xmlns:pic="http://schemas.openxmlformats.org/drawingml/2006/picture">
            <wp:extent cx="2667000" cy="8153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67000" cy="8153400"/>
                    </a:xfrm>
                    <a:prstGeom prst="rect"/>
                  </pic:spPr>
                </pic:pic>
              </a:graphicData>
            </a:graphic>
          </wp:inline>
        </w:drawing>
      </w:r>
    </w:p>
    <w:p>
      <w:r>
        <w:rPr>
          <w:rFonts w:ascii="Figtree" w:hAnsi="Figtree"/>
          <w:b/>
          <w:i w:val="0"/>
          <w:sz w:val="22"/>
        </w:rPr>
        <w:t>Issuance.</w:t>
      </w:r>
      <w:r>
        <w:rPr>
          <w:rFonts w:ascii="Figtree" w:hAnsi="Figtree"/>
          <w:b w:val="0"/>
          <w:i w:val="0"/>
          <w:sz w:val="22"/>
        </w:rPr>
        <w:t xml:space="preserve"> DALP's Asset Designer enables the configuration of tokenized deposits and trade finance instruments through a guided wizard, without custom smart contract development. DALPAsset — a unified, audited token contract built on ERC-3643 (T-REX) — supports runtime attachment of compliance modules and token features. A tokenized deposit can be configured with denomination asset linking (for atomic DvP), maturity parameters, yield schedules, and compliance rules in a single configuration session.</w:t>
      </w:r>
    </w:p>
    <w:p>
      <w:r>
        <w:rPr>
          <w:rFonts w:ascii="Figtree" w:hAnsi="Figtree"/>
          <w:b/>
          <w:i w:val="0"/>
          <w:sz w:val="22"/>
        </w:rPr>
        <w:t>Compliance.</w:t>
      </w:r>
      <w:r>
        <w:rPr>
          <w:rFonts w:ascii="Figtree" w:hAnsi="Figtree"/>
          <w:b w:val="0"/>
          <w:i w:val="0"/>
          <w:sz w:val="22"/>
        </w:rPr>
        <w:t xml:space="preserve"> The compliance engine enforces transfer and supply rules at the smart contract level — before execution, not after review. Eighteen module types are available, including identity verification, country restrictions, investor count limits, transfer approvals, timelock enforcement, and collateral requirements. Modules evaluate in sequence with fail-closed logic: a single module veto blocks the transfer. All module configurations are auditable and changeable at runtime without redeploying the token contract.</w:t>
      </w:r>
    </w:p>
    <w:p>
      <w:r>
        <w:rPr>
          <w:rFonts w:ascii="Figtree" w:hAnsi="Figtree"/>
          <w:b/>
          <w:i w:val="0"/>
          <w:sz w:val="22"/>
        </w:rPr>
        <w:t>Custody.</w:t>
      </w:r>
      <w:r>
        <w:rPr>
          <w:rFonts w:ascii="Figtree" w:hAnsi="Figtree"/>
          <w:b w:val="0"/>
          <w:i w:val="0"/>
          <w:sz w:val="22"/>
        </w:rPr>
        <w:t xml:space="preserve"> Key Guardian provides tiered key management with bring-your-own-custodian integration. DFNS and Fireblocks are supported as custody providers, with maker-checker workflows and HSM/secret manager options. Wallet verification serves as step-up authentication for all blockchain write operations — even with a valid session, no on-chain transaction executes without the user proving control of their wallet.</w:t>
      </w:r>
    </w:p>
    <w:p>
      <w:r>
        <w:rPr>
          <w:rFonts w:ascii="Figtree" w:hAnsi="Figtree"/>
          <w:b/>
          <w:i w:val="0"/>
          <w:sz w:val="22"/>
        </w:rPr>
        <w:t>Settlement.</w:t>
      </w:r>
      <w:r>
        <w:rPr>
          <w:rFonts w:ascii="Figtree" w:hAnsi="Figtree"/>
          <w:b w:val="0"/>
          <w:i w:val="0"/>
          <w:sz w:val="22"/>
        </w:rPr>
        <w:t xml:space="preserve"> The XvP (Exchange versus Payment) settlement addon provides atomic delivery-versus-payment settlement. Both legs of a trade — token delivery and payment — execute in a single atomic transaction, eliminating counterparty risk. Settlement finality is deterministic (under the IBFT consensus mechanism used in permissioned deployments), meaning there is no confirmation-depth waiting or probabilistic settlement.</w:t>
      </w:r>
    </w:p>
    <w:p>
      <w:r>
        <w:rPr>
          <w:rFonts w:ascii="Figtree" w:hAnsi="Figtree"/>
          <w:b/>
          <w:i w:val="0"/>
          <w:sz w:val="22"/>
        </w:rPr>
        <w:t>Servicing.</w:t>
      </w:r>
      <w:r>
        <w:rPr>
          <w:rFonts w:ascii="Figtree" w:hAnsi="Figtree"/>
          <w:b w:val="0"/>
          <w:i w:val="0"/>
          <w:sz w:val="22"/>
        </w:rPr>
        <w:t xml:space="preserve"> Lifecycle servicing covers yield distribution (fixed treasury yield, AUM fees), maturity and redemption workflows, corporate actions, and operational events. All servicing operations flow through the same compliance engine, maintaining governance integrity throughout the asset's life.</w:t>
      </w:r>
    </w:p>
    <w:p>
      <w:pPr>
        <w:pStyle w:val="H3"/>
        <w:numPr>
          <w:ilvl w:val="2"/>
          <w:numId w:val="1"/>
        </w:numPr>
      </w:pPr>
      <w:r>
        <w:t>Platform Foundations</w:t>
      </w:r>
    </w:p>
    <w:p>
      <w:r>
        <w:rPr>
          <w:rFonts w:ascii="Figtree" w:hAnsi="Figtree"/>
          <w:b/>
          <w:i w:val="0"/>
          <w:sz w:val="22"/>
        </w:rPr>
        <w:t>Identity and Access.</w:t>
      </w:r>
      <w:r>
        <w:rPr>
          <w:rFonts w:ascii="Figtree" w:hAnsi="Figtree"/>
          <w:b w:val="0"/>
          <w:i w:val="0"/>
          <w:sz w:val="22"/>
        </w:rPr>
        <w:t xml:space="preserve"> OnchainID (ERC-734/735) provides on-chain identity management with verifiable KYC/AML claims. Role-based access control enforces segregation of duties with nine granular permission levels. Maker-checker workflows are native, not bolted on.</w:t>
      </w:r>
    </w:p>
    <w:p>
      <w:r>
        <w:rPr>
          <w:rFonts w:ascii="Figtree" w:hAnsi="Figtree"/>
          <w:b/>
          <w:i w:val="0"/>
          <w:sz w:val="22"/>
        </w:rPr>
        <w:t>Integration and Interoperability.</w:t>
      </w:r>
      <w:r>
        <w:rPr>
          <w:rFonts w:ascii="Figtree" w:hAnsi="Figtree"/>
          <w:b w:val="0"/>
          <w:i w:val="0"/>
          <w:sz w:val="22"/>
        </w:rPr>
        <w:t xml:space="preserve"> DAPI (Durable API Service) provides a unified API layer — REST API v2 with OpenAPI 3.1, GraphQL via subgraph, event webhooks, TypeScript SDK, CLI (301 commands, 26 command groups). Server-sent event streaming enables real-time integration with downstream systems.</w:t>
      </w:r>
    </w:p>
    <w:p>
      <w:r>
        <w:rPr>
          <w:rFonts w:ascii="Figtree" w:hAnsi="Figtree"/>
          <w:b/>
          <w:i w:val="0"/>
          <w:sz w:val="22"/>
        </w:rPr>
        <w:t>Observability and Operations.</w:t>
      </w:r>
      <w:r>
        <w:rPr>
          <w:rFonts w:ascii="Figtree" w:hAnsi="Figtree"/>
          <w:b w:val="0"/>
          <w:i w:val="0"/>
          <w:sz w:val="22"/>
        </w:rPr>
        <w:t xml:space="preserve"> Grafana-based dashboards provide real-time monitoring across platform health, blockchain state, transaction throughput, and compliance events. Automated alerting, log aggregation, and distributed tracing support operational readiness for production environments.</w:t>
      </w:r>
    </w:p>
    <w:p>
      <w:pPr>
        <w:pStyle w:val="H3"/>
        <w:numPr>
          <w:ilvl w:val="2"/>
          <w:numId w:val="1"/>
        </w:numPr>
      </w:pPr>
      <w:r>
        <w:t>Supported Asset Classes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Asset Class</w:t>
            </w:r>
          </w:p>
        </w:tc>
        <w:tc>
          <w:tcPr>
            <w:tcW w:type="dxa" w:w="3249"/>
            <w:vAlign w:val="center"/>
            <w:shd w:fill="000099" w:val="clear"/>
          </w:tcPr>
          <w:p>
            <w:r>
              <w:rPr>
                <w:b/>
                <w:color w:val="FFFFFF"/>
              </w:rPr>
            </w:r>
            <w:r>
              <w:rPr>
                <w:rFonts w:ascii="Figtree" w:hAnsi="Figtree"/>
                <w:b/>
                <w:i w:val="0"/>
                <w:color w:val="FFFFFF"/>
                <w:sz w:val="22"/>
              </w:rPr>
              <w:t>Asset Types</w:t>
            </w:r>
          </w:p>
        </w:tc>
        <w:tc>
          <w:tcPr>
            <w:tcW w:type="dxa" w:w="3249"/>
            <w:vAlign w:val="center"/>
            <w:shd w:fill="000099" w:val="clear"/>
          </w:tcPr>
          <w:p>
            <w:r>
              <w:rPr>
                <w:b/>
                <w:color w:val="FFFFFF"/>
              </w:rPr>
            </w:r>
            <w:r>
              <w:rPr>
                <w:rFonts w:ascii="Figtree" w:hAnsi="Figtree"/>
                <w:b/>
                <w:i w:val="0"/>
                <w:color w:val="FFFFFF"/>
                <w:sz w:val="22"/>
              </w:rPr>
              <w:t>Emirates NBD Relevance</w:t>
            </w:r>
          </w:p>
        </w:tc>
      </w:tr>
      <w:tr>
        <w:trPr>
          <w:trHeight w:val="454" w:hRule="atLeast"/>
        </w:trPr>
        <w:tc>
          <w:tcPr>
            <w:tcW w:type="dxa" w:w="3249"/>
            <w:vAlign w:val="center"/>
          </w:tcPr>
          <w:p>
            <w:r/>
            <w:r>
              <w:rPr>
                <w:rFonts w:ascii="Figtree" w:hAnsi="Figtree"/>
                <w:b w:val="0"/>
                <w:i w:val="0"/>
                <w:sz w:val="22"/>
              </w:rPr>
              <w:t>Fixed Income</w:t>
            </w:r>
          </w:p>
        </w:tc>
        <w:tc>
          <w:tcPr>
            <w:tcW w:type="dxa" w:w="3249"/>
            <w:vAlign w:val="center"/>
          </w:tcPr>
          <w:p>
            <w:r/>
            <w:r>
              <w:rPr>
                <w:rFonts w:ascii="Figtree" w:hAnsi="Figtree"/>
                <w:b w:val="0"/>
                <w:i w:val="0"/>
                <w:sz w:val="22"/>
              </w:rPr>
              <w:t>Bond</w:t>
            </w:r>
          </w:p>
        </w:tc>
        <w:tc>
          <w:tcPr>
            <w:tcW w:type="dxa" w:w="3249"/>
            <w:vAlign w:val="center"/>
          </w:tcPr>
          <w:p>
            <w:r/>
            <w:r>
              <w:rPr>
                <w:rFonts w:ascii="Figtree" w:hAnsi="Figtree"/>
                <w:b w:val="0"/>
                <w:i w:val="0"/>
                <w:sz w:val="22"/>
              </w:rPr>
              <w:t>Corporate bonds, government bonds, structured notes</w:t>
            </w:r>
          </w:p>
        </w:tc>
      </w:tr>
      <w:tr>
        <w:trPr>
          <w:trHeight w:val="454" w:hRule="atLeast"/>
        </w:trPr>
        <w:tc>
          <w:tcPr>
            <w:tcW w:type="dxa" w:w="3249"/>
            <w:vAlign w:val="center"/>
          </w:tcPr>
          <w:p>
            <w:r/>
            <w:r>
              <w:rPr>
                <w:rFonts w:ascii="Figtree" w:hAnsi="Figtree"/>
                <w:b w:val="0"/>
                <w:i w:val="0"/>
                <w:sz w:val="22"/>
              </w:rPr>
              <w:t>Flexible Income</w:t>
            </w:r>
          </w:p>
        </w:tc>
        <w:tc>
          <w:tcPr>
            <w:tcW w:type="dxa" w:w="3249"/>
            <w:vAlign w:val="center"/>
          </w:tcPr>
          <w:p>
            <w:r/>
            <w:r>
              <w:rPr>
                <w:rFonts w:ascii="Figtree" w:hAnsi="Figtree"/>
                <w:b w:val="0"/>
                <w:i w:val="0"/>
                <w:sz w:val="22"/>
              </w:rPr>
              <w:t>Equity, Fund</w:t>
            </w:r>
          </w:p>
        </w:tc>
        <w:tc>
          <w:tcPr>
            <w:tcW w:type="dxa" w:w="3249"/>
            <w:vAlign w:val="center"/>
          </w:tcPr>
          <w:p>
            <w:r/>
            <w:r>
              <w:rPr>
                <w:rFonts w:ascii="Figtree" w:hAnsi="Figtree"/>
                <w:b w:val="0"/>
                <w:i w:val="0"/>
                <w:sz w:val="22"/>
              </w:rPr>
              <w:t>Investment fund units, structured products</w:t>
            </w:r>
          </w:p>
        </w:tc>
      </w:tr>
      <w:tr>
        <w:trPr>
          <w:trHeight w:val="454" w:hRule="atLeast"/>
        </w:trPr>
        <w:tc>
          <w:tcPr>
            <w:tcW w:type="dxa" w:w="3249"/>
            <w:vAlign w:val="center"/>
          </w:tcPr>
          <w:p>
            <w:r/>
            <w:r>
              <w:rPr>
                <w:rFonts w:ascii="Figtree" w:hAnsi="Figtree"/>
                <w:b w:val="0"/>
                <w:i w:val="0"/>
                <w:sz w:val="22"/>
              </w:rPr>
              <w:t>Cash Equivalent</w:t>
            </w:r>
          </w:p>
        </w:tc>
        <w:tc>
          <w:tcPr>
            <w:tcW w:type="dxa" w:w="3249"/>
            <w:vAlign w:val="center"/>
          </w:tcPr>
          <w:p>
            <w:r/>
            <w:r>
              <w:rPr>
                <w:rFonts w:ascii="Figtree" w:hAnsi="Figtree"/>
                <w:b w:val="0"/>
                <w:i w:val="0"/>
                <w:sz w:val="22"/>
              </w:rPr>
              <w:t>Stablecoin, Deposit</w:t>
            </w:r>
          </w:p>
        </w:tc>
        <w:tc>
          <w:tcPr>
            <w:tcW w:type="dxa" w:w="3249"/>
            <w:vAlign w:val="center"/>
          </w:tcPr>
          <w:p>
            <w:r/>
            <w:r>
              <w:rPr>
                <w:rFonts w:ascii="Figtree" w:hAnsi="Figtree"/>
                <w:b/>
                <w:i w:val="0"/>
                <w:sz w:val="22"/>
              </w:rPr>
              <w:t>Tokenized bank deposits</w:t>
            </w:r>
            <w:r>
              <w:rPr>
                <w:rFonts w:ascii="Figtree" w:hAnsi="Figtree"/>
                <w:b w:val="0"/>
                <w:i w:val="0"/>
                <w:sz w:val="22"/>
              </w:rPr>
              <w:t xml:space="preserve"> — primary scope</w:t>
            </w:r>
          </w:p>
        </w:tc>
      </w:tr>
      <w:tr>
        <w:trPr>
          <w:trHeight w:val="454" w:hRule="atLeast"/>
        </w:trPr>
        <w:tc>
          <w:tcPr>
            <w:tcW w:type="dxa" w:w="3249"/>
            <w:vAlign w:val="center"/>
          </w:tcPr>
          <w:p>
            <w:r/>
            <w:r>
              <w:rPr>
                <w:rFonts w:ascii="Figtree" w:hAnsi="Figtree"/>
                <w:b w:val="0"/>
                <w:i w:val="0"/>
                <w:sz w:val="22"/>
              </w:rPr>
              <w:t>Real World Asset</w:t>
            </w:r>
          </w:p>
        </w:tc>
        <w:tc>
          <w:tcPr>
            <w:tcW w:type="dxa" w:w="3249"/>
            <w:vAlign w:val="center"/>
          </w:tcPr>
          <w:p>
            <w:r/>
            <w:r>
              <w:rPr>
                <w:rFonts w:ascii="Figtree" w:hAnsi="Figtree"/>
                <w:b w:val="0"/>
                <w:i w:val="0"/>
                <w:sz w:val="22"/>
              </w:rPr>
              <w:t>Real Estate, Precious Metal</w:t>
            </w:r>
          </w:p>
        </w:tc>
        <w:tc>
          <w:tcPr>
            <w:tcW w:type="dxa" w:w="3249"/>
            <w:vAlign w:val="center"/>
          </w:tcPr>
          <w:p>
            <w:r/>
            <w:r>
              <w:rPr>
                <w:rFonts w:ascii="Figtree" w:hAnsi="Figtree"/>
                <w:b w:val="0"/>
                <w:i w:val="0"/>
                <w:sz w:val="22"/>
              </w:rPr>
              <w:t>Collateral tokenization for trade finance</w:t>
            </w:r>
          </w:p>
        </w:tc>
      </w:tr>
      <w:tr>
        <w:trPr>
          <w:trHeight w:val="454" w:hRule="atLeast"/>
        </w:trPr>
        <w:tc>
          <w:tcPr>
            <w:tcW w:type="dxa" w:w="3249"/>
            <w:vAlign w:val="center"/>
          </w:tcPr>
          <w:p>
            <w:r/>
            <w:r>
              <w:rPr>
                <w:rFonts w:ascii="Figtree" w:hAnsi="Figtree"/>
                <w:b w:val="0"/>
                <w:i w:val="0"/>
                <w:sz w:val="22"/>
              </w:rPr>
              <w:t>Configurable</w:t>
            </w:r>
          </w:p>
        </w:tc>
        <w:tc>
          <w:tcPr>
            <w:tcW w:type="dxa" w:w="3249"/>
            <w:vAlign w:val="center"/>
          </w:tcPr>
          <w:p>
            <w:r/>
            <w:r>
              <w:rPr>
                <w:rFonts w:ascii="Figtree" w:hAnsi="Figtree"/>
                <w:b w:val="0"/>
                <w:i w:val="0"/>
                <w:sz w:val="22"/>
              </w:rPr>
              <w:t>DALPAsset</w:t>
            </w:r>
          </w:p>
        </w:tc>
        <w:tc>
          <w:tcPr>
            <w:tcW w:type="dxa" w:w="3249"/>
            <w:vAlign w:val="center"/>
          </w:tcPr>
          <w:p>
            <w:r/>
            <w:r>
              <w:rPr>
                <w:rFonts w:ascii="Figtree" w:hAnsi="Figtree"/>
                <w:b/>
                <w:i w:val="0"/>
                <w:sz w:val="22"/>
              </w:rPr>
              <w:t>Trade finance instruments</w:t>
            </w:r>
            <w:r>
              <w:rPr>
                <w:rFonts w:ascii="Figtree" w:hAnsi="Figtree"/>
                <w:b w:val="0"/>
                <w:i w:val="0"/>
                <w:sz w:val="22"/>
              </w:rPr>
              <w:t xml:space="preserve"> — configurable lifecycle</w:t>
            </w:r>
          </w:p>
        </w:tc>
      </w:tr>
    </w:tbl>
    <w:p>
      <w:pPr>
        <w:pStyle w:val="H3"/>
        <w:numPr>
          <w:ilvl w:val="2"/>
          <w:numId w:val="1"/>
        </w:numPr>
      </w:pPr>
      <w:r>
        <w:t>Standards and Protocols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Standard</w:t>
            </w:r>
          </w:p>
        </w:tc>
        <w:tc>
          <w:tcPr>
            <w:tcW w:type="dxa" w:w="4873"/>
            <w:vAlign w:val="center"/>
            <w:shd w:fill="000099" w:val="clear"/>
          </w:tcPr>
          <w:p>
            <w:r>
              <w:rPr>
                <w:b/>
                <w:color w:val="FFFFFF"/>
              </w:rPr>
            </w:r>
            <w:r>
              <w:rPr>
                <w:rFonts w:ascii="Figtree" w:hAnsi="Figtree"/>
                <w:b/>
                <w:i w:val="0"/>
                <w:color w:val="FFFFFF"/>
                <w:sz w:val="22"/>
              </w:rPr>
              <w:t>DALP Implementation</w:t>
            </w:r>
          </w:p>
        </w:tc>
      </w:tr>
      <w:tr>
        <w:trPr>
          <w:trHeight w:val="454" w:hRule="atLeast"/>
        </w:trPr>
        <w:tc>
          <w:tcPr>
            <w:tcW w:type="dxa" w:w="4873"/>
            <w:vAlign w:val="center"/>
          </w:tcPr>
          <w:p>
            <w:r/>
            <w:r>
              <w:rPr>
                <w:rFonts w:ascii="Figtree" w:hAnsi="Figtree"/>
                <w:b w:val="0"/>
                <w:i w:val="0"/>
                <w:sz w:val="22"/>
              </w:rPr>
              <w:t>ERC-3643 (T-REX)</w:t>
            </w:r>
          </w:p>
        </w:tc>
        <w:tc>
          <w:tcPr>
            <w:tcW w:type="dxa" w:w="4873"/>
            <w:vAlign w:val="center"/>
          </w:tcPr>
          <w:p>
            <w:r/>
            <w:r>
              <w:rPr>
                <w:rFonts w:ascii="Figtree" w:hAnsi="Figtree"/>
                <w:b w:val="0"/>
                <w:i w:val="0"/>
                <w:sz w:val="22"/>
              </w:rPr>
              <w:t>Core token framework — SMART Protocol</w:t>
            </w:r>
          </w:p>
        </w:tc>
      </w:tr>
      <w:tr>
        <w:trPr>
          <w:trHeight w:val="454" w:hRule="atLeast"/>
        </w:trPr>
        <w:tc>
          <w:tcPr>
            <w:tcW w:type="dxa" w:w="4873"/>
            <w:vAlign w:val="center"/>
          </w:tcPr>
          <w:p>
            <w:r/>
            <w:r>
              <w:rPr>
                <w:rFonts w:ascii="Figtree" w:hAnsi="Figtree"/>
                <w:b w:val="0"/>
                <w:i w:val="0"/>
                <w:sz w:val="22"/>
              </w:rPr>
              <w:t>ERC-734/735</w:t>
            </w:r>
          </w:p>
        </w:tc>
        <w:tc>
          <w:tcPr>
            <w:tcW w:type="dxa" w:w="4873"/>
            <w:vAlign w:val="center"/>
          </w:tcPr>
          <w:p>
            <w:r/>
            <w:r>
              <w:rPr>
                <w:rFonts w:ascii="Figtree" w:hAnsi="Figtree"/>
                <w:b w:val="0"/>
                <w:i w:val="0"/>
                <w:sz w:val="22"/>
              </w:rPr>
              <w:t>OnchainID identity management</w:t>
            </w:r>
          </w:p>
        </w:tc>
      </w:tr>
      <w:tr>
        <w:trPr>
          <w:trHeight w:val="454" w:hRule="atLeast"/>
        </w:trPr>
        <w:tc>
          <w:tcPr>
            <w:tcW w:type="dxa" w:w="4873"/>
            <w:vAlign w:val="center"/>
          </w:tcPr>
          <w:p>
            <w:r/>
            <w:r>
              <w:rPr>
                <w:rFonts w:ascii="Figtree" w:hAnsi="Figtree"/>
                <w:b w:val="0"/>
                <w:i w:val="0"/>
                <w:sz w:val="22"/>
              </w:rPr>
              <w:t>ERC-20</w:t>
            </w:r>
          </w:p>
        </w:tc>
        <w:tc>
          <w:tcPr>
            <w:tcW w:type="dxa" w:w="4873"/>
            <w:vAlign w:val="center"/>
          </w:tcPr>
          <w:p>
            <w:r/>
            <w:r>
              <w:rPr>
                <w:rFonts w:ascii="Figtree" w:hAnsi="Figtree"/>
                <w:b w:val="0"/>
                <w:i w:val="0"/>
                <w:sz w:val="22"/>
              </w:rPr>
              <w:t>Backward-compatible token interface</w:t>
            </w:r>
          </w:p>
        </w:tc>
      </w:tr>
      <w:tr>
        <w:trPr>
          <w:trHeight w:val="454" w:hRule="atLeast"/>
        </w:trPr>
        <w:tc>
          <w:tcPr>
            <w:tcW w:type="dxa" w:w="4873"/>
            <w:vAlign w:val="center"/>
          </w:tcPr>
          <w:p>
            <w:r/>
            <w:r>
              <w:rPr>
                <w:rFonts w:ascii="Figtree" w:hAnsi="Figtree"/>
                <w:b w:val="0"/>
                <w:i w:val="0"/>
                <w:sz w:val="22"/>
              </w:rPr>
              <w:t>ERC-5805</w:t>
            </w:r>
          </w:p>
        </w:tc>
        <w:tc>
          <w:tcPr>
            <w:tcW w:type="dxa" w:w="4873"/>
            <w:vAlign w:val="center"/>
          </w:tcPr>
          <w:p>
            <w:r/>
            <w:r>
              <w:rPr>
                <w:rFonts w:ascii="Figtree" w:hAnsi="Figtree"/>
                <w:b w:val="0"/>
                <w:i w:val="0"/>
                <w:sz w:val="22"/>
              </w:rPr>
              <w:t>Voting power and governance snapshots</w:t>
            </w:r>
          </w:p>
        </w:tc>
      </w:tr>
      <w:tr>
        <w:trPr>
          <w:trHeight w:val="454" w:hRule="atLeast"/>
        </w:trPr>
        <w:tc>
          <w:tcPr>
            <w:tcW w:type="dxa" w:w="4873"/>
            <w:vAlign w:val="center"/>
          </w:tcPr>
          <w:p>
            <w:r/>
            <w:r>
              <w:rPr>
                <w:rFonts w:ascii="Figtree" w:hAnsi="Figtree"/>
                <w:b w:val="0"/>
                <w:i w:val="0"/>
                <w:sz w:val="22"/>
              </w:rPr>
              <w:t>EIP-2612</w:t>
            </w:r>
          </w:p>
        </w:tc>
        <w:tc>
          <w:tcPr>
            <w:tcW w:type="dxa" w:w="4873"/>
            <w:vAlign w:val="center"/>
          </w:tcPr>
          <w:p>
            <w:r/>
            <w:r>
              <w:rPr>
                <w:rFonts w:ascii="Figtree" w:hAnsi="Figtree"/>
                <w:b w:val="0"/>
                <w:i w:val="0"/>
                <w:sz w:val="22"/>
              </w:rPr>
              <w:t>Permit (gasless approvals)</w:t>
            </w:r>
          </w:p>
        </w:tc>
      </w:tr>
      <w:tr>
        <w:trPr>
          <w:trHeight w:val="454" w:hRule="atLeast"/>
        </w:trPr>
        <w:tc>
          <w:tcPr>
            <w:tcW w:type="dxa" w:w="4873"/>
            <w:vAlign w:val="center"/>
          </w:tcPr>
          <w:p>
            <w:r/>
            <w:r>
              <w:rPr>
                <w:rFonts w:ascii="Figtree" w:hAnsi="Figtree"/>
                <w:b w:val="0"/>
                <w:i w:val="0"/>
                <w:sz w:val="22"/>
              </w:rPr>
              <w:t>OpenAPI 3.1</w:t>
            </w:r>
          </w:p>
        </w:tc>
        <w:tc>
          <w:tcPr>
            <w:tcW w:type="dxa" w:w="4873"/>
            <w:vAlign w:val="center"/>
          </w:tcPr>
          <w:p>
            <w:r/>
            <w:r>
              <w:rPr>
                <w:rFonts w:ascii="Figtree" w:hAnsi="Figtree"/>
                <w:b w:val="0"/>
                <w:i w:val="0"/>
                <w:sz w:val="22"/>
              </w:rPr>
              <w:t>REST API documentation</w:t>
            </w:r>
          </w:p>
        </w:tc>
      </w:tr>
      <w:tr>
        <w:trPr>
          <w:trHeight w:val="454" w:hRule="atLeast"/>
        </w:trPr>
        <w:tc>
          <w:tcPr>
            <w:tcW w:type="dxa" w:w="4873"/>
            <w:vAlign w:val="center"/>
          </w:tcPr>
          <w:p>
            <w:r/>
            <w:r>
              <w:rPr>
                <w:rFonts w:ascii="Figtree" w:hAnsi="Figtree"/>
                <w:b w:val="0"/>
                <w:i w:val="0"/>
                <w:sz w:val="22"/>
              </w:rPr>
              <w:t>ISO 20022</w:t>
            </w:r>
          </w:p>
        </w:tc>
        <w:tc>
          <w:tcPr>
            <w:tcW w:type="dxa" w:w="4873"/>
            <w:vAlign w:val="center"/>
          </w:tcPr>
          <w:p>
            <w:r/>
            <w:r>
              <w:rPr>
                <w:rFonts w:ascii="Figtree" w:hAnsi="Figtree"/>
                <w:b w:val="0"/>
                <w:i w:val="0"/>
                <w:sz w:val="22"/>
              </w:rPr>
              <w:t>Payment message compatibility (middleware layer)</w:t>
            </w:r>
          </w:p>
        </w:tc>
      </w:tr>
    </w:tbl>
    <w:p>
      <w:pPr>
        <w:pStyle w:val="H3"/>
        <w:numPr>
          <w:ilvl w:val="2"/>
          <w:numId w:val="1"/>
        </w:numPr>
      </w:pPr>
      <w:r>
        <w:t>Key Differentiators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Differentiator</w:t>
            </w:r>
          </w:p>
        </w:tc>
        <w:tc>
          <w:tcPr>
            <w:tcW w:type="dxa" w:w="3249"/>
            <w:vAlign w:val="center"/>
            <w:shd w:fill="000099" w:val="clear"/>
          </w:tcPr>
          <w:p>
            <w:r>
              <w:rPr>
                <w:b/>
                <w:color w:val="FFFFFF"/>
              </w:rPr>
            </w:r>
            <w:r>
              <w:rPr>
                <w:rFonts w:ascii="Figtree" w:hAnsi="Figtree"/>
                <w:b/>
                <w:i w:val="0"/>
                <w:color w:val="FFFFFF"/>
                <w:sz w:val="22"/>
              </w:rPr>
              <w:t>DALP Approach</w:t>
            </w:r>
          </w:p>
        </w:tc>
        <w:tc>
          <w:tcPr>
            <w:tcW w:type="dxa" w:w="3249"/>
            <w:vAlign w:val="center"/>
            <w:shd w:fill="000099" w:val="clear"/>
          </w:tcPr>
          <w:p>
            <w:r>
              <w:rPr>
                <w:b/>
                <w:color w:val="FFFFFF"/>
              </w:rPr>
            </w:r>
            <w:r>
              <w:rPr>
                <w:rFonts w:ascii="Figtree" w:hAnsi="Figtree"/>
                <w:b/>
                <w:i w:val="0"/>
                <w:color w:val="FFFFFF"/>
                <w:sz w:val="22"/>
              </w:rPr>
              <w:t>Typical Alternative</w:t>
            </w:r>
          </w:p>
        </w:tc>
      </w:tr>
      <w:tr>
        <w:trPr>
          <w:trHeight w:val="454" w:hRule="atLeast"/>
        </w:trPr>
        <w:tc>
          <w:tcPr>
            <w:tcW w:type="dxa" w:w="3249"/>
            <w:vAlign w:val="center"/>
          </w:tcPr>
          <w:p>
            <w:r/>
            <w:r>
              <w:rPr>
                <w:rFonts w:ascii="Figtree" w:hAnsi="Figtree"/>
                <w:b w:val="0"/>
                <w:i w:val="0"/>
                <w:sz w:val="22"/>
              </w:rPr>
              <w:t>Compliance enforcement</w:t>
            </w:r>
          </w:p>
        </w:tc>
        <w:tc>
          <w:tcPr>
            <w:tcW w:type="dxa" w:w="3249"/>
            <w:vAlign w:val="center"/>
          </w:tcPr>
          <w:p>
            <w:r/>
            <w:r>
              <w:rPr>
                <w:rFonts w:ascii="Figtree" w:hAnsi="Figtree"/>
                <w:b w:val="0"/>
                <w:i w:val="0"/>
                <w:sz w:val="22"/>
              </w:rPr>
              <w:t>On-chain, ex-ante, modular</w:t>
            </w:r>
          </w:p>
        </w:tc>
        <w:tc>
          <w:tcPr>
            <w:tcW w:type="dxa" w:w="3249"/>
            <w:vAlign w:val="center"/>
          </w:tcPr>
          <w:p>
            <w:r/>
            <w:r>
              <w:rPr>
                <w:rFonts w:ascii="Figtree" w:hAnsi="Figtree"/>
                <w:b w:val="0"/>
                <w:i w:val="0"/>
                <w:sz w:val="22"/>
              </w:rPr>
              <w:t>Off-chain, post-trade, custom</w:t>
            </w:r>
          </w:p>
        </w:tc>
      </w:tr>
      <w:tr>
        <w:trPr>
          <w:trHeight w:val="454" w:hRule="atLeast"/>
        </w:trPr>
        <w:tc>
          <w:tcPr>
            <w:tcW w:type="dxa" w:w="3249"/>
            <w:vAlign w:val="center"/>
          </w:tcPr>
          <w:p>
            <w:r/>
            <w:r>
              <w:rPr>
                <w:rFonts w:ascii="Figtree" w:hAnsi="Figtree"/>
                <w:b w:val="0"/>
                <w:i w:val="0"/>
                <w:sz w:val="22"/>
              </w:rPr>
              <w:t>Token architecture</w:t>
            </w:r>
          </w:p>
        </w:tc>
        <w:tc>
          <w:tcPr>
            <w:tcW w:type="dxa" w:w="3249"/>
            <w:vAlign w:val="center"/>
          </w:tcPr>
          <w:p>
            <w:r/>
            <w:r>
              <w:rPr>
                <w:rFonts w:ascii="Figtree" w:hAnsi="Figtree"/>
                <w:b w:val="0"/>
                <w:i w:val="0"/>
                <w:sz w:val="22"/>
              </w:rPr>
              <w:t>Configurable at runtime (DALPAsset)</w:t>
            </w:r>
          </w:p>
        </w:tc>
        <w:tc>
          <w:tcPr>
            <w:tcW w:type="dxa" w:w="3249"/>
            <w:vAlign w:val="center"/>
          </w:tcPr>
          <w:p>
            <w:r/>
            <w:r>
              <w:rPr>
                <w:rFonts w:ascii="Figtree" w:hAnsi="Figtree"/>
                <w:b w:val="0"/>
                <w:i w:val="0"/>
                <w:sz w:val="22"/>
              </w:rPr>
              <w:t>Fixed at deployment, re-audit required</w:t>
            </w:r>
          </w:p>
        </w:tc>
      </w:tr>
      <w:tr>
        <w:trPr>
          <w:trHeight w:val="454" w:hRule="atLeast"/>
        </w:trPr>
        <w:tc>
          <w:tcPr>
            <w:tcW w:type="dxa" w:w="3249"/>
            <w:vAlign w:val="center"/>
          </w:tcPr>
          <w:p>
            <w:r/>
            <w:r>
              <w:rPr>
                <w:rFonts w:ascii="Figtree" w:hAnsi="Figtree"/>
                <w:b w:val="0"/>
                <w:i w:val="0"/>
                <w:sz w:val="22"/>
              </w:rPr>
              <w:t>Custody model</w:t>
            </w:r>
          </w:p>
        </w:tc>
        <w:tc>
          <w:tcPr>
            <w:tcW w:type="dxa" w:w="3249"/>
            <w:vAlign w:val="center"/>
          </w:tcPr>
          <w:p>
            <w:r/>
            <w:r>
              <w:rPr>
                <w:rFonts w:ascii="Figtree" w:hAnsi="Figtree"/>
                <w:b w:val="0"/>
                <w:i w:val="0"/>
                <w:sz w:val="22"/>
              </w:rPr>
              <w:t>Bring-your-own (DFNS, Fireblocks)</w:t>
            </w:r>
          </w:p>
        </w:tc>
        <w:tc>
          <w:tcPr>
            <w:tcW w:type="dxa" w:w="3249"/>
            <w:vAlign w:val="center"/>
          </w:tcPr>
          <w:p>
            <w:r/>
            <w:r>
              <w:rPr>
                <w:rFonts w:ascii="Figtree" w:hAnsi="Figtree"/>
                <w:b w:val="0"/>
                <w:i w:val="0"/>
                <w:sz w:val="22"/>
              </w:rPr>
              <w:t>Single vendor lock-in</w:t>
            </w:r>
          </w:p>
        </w:tc>
      </w:tr>
      <w:tr>
        <w:trPr>
          <w:trHeight w:val="454" w:hRule="atLeast"/>
        </w:trPr>
        <w:tc>
          <w:tcPr>
            <w:tcW w:type="dxa" w:w="3249"/>
            <w:vAlign w:val="center"/>
          </w:tcPr>
          <w:p>
            <w:r/>
            <w:r>
              <w:rPr>
                <w:rFonts w:ascii="Figtree" w:hAnsi="Figtree"/>
                <w:b w:val="0"/>
                <w:i w:val="0"/>
                <w:sz w:val="22"/>
              </w:rPr>
              <w:t>Settlement</w:t>
            </w:r>
          </w:p>
        </w:tc>
        <w:tc>
          <w:tcPr>
            <w:tcW w:type="dxa" w:w="3249"/>
            <w:vAlign w:val="center"/>
          </w:tcPr>
          <w:p>
            <w:r/>
            <w:r>
              <w:rPr>
                <w:rFonts w:ascii="Figtree" w:hAnsi="Figtree"/>
                <w:b w:val="0"/>
                <w:i w:val="0"/>
                <w:sz w:val="22"/>
              </w:rPr>
              <w:t>Atomic DvP via XvP addon</w:t>
            </w:r>
          </w:p>
        </w:tc>
        <w:tc>
          <w:tcPr>
            <w:tcW w:type="dxa" w:w="3249"/>
            <w:vAlign w:val="center"/>
          </w:tcPr>
          <w:p>
            <w:r/>
            <w:r>
              <w:rPr>
                <w:rFonts w:ascii="Figtree" w:hAnsi="Figtree"/>
                <w:b w:val="0"/>
                <w:i w:val="0"/>
                <w:sz w:val="22"/>
              </w:rPr>
              <w:t>Multi-step with counterparty risk</w:t>
            </w:r>
          </w:p>
        </w:tc>
      </w:tr>
      <w:tr>
        <w:trPr>
          <w:trHeight w:val="454" w:hRule="atLeast"/>
        </w:trPr>
        <w:tc>
          <w:tcPr>
            <w:tcW w:type="dxa" w:w="3249"/>
            <w:vAlign w:val="center"/>
          </w:tcPr>
          <w:p>
            <w:r/>
            <w:r>
              <w:rPr>
                <w:rFonts w:ascii="Figtree" w:hAnsi="Figtree"/>
                <w:b w:val="0"/>
                <w:i w:val="0"/>
                <w:sz w:val="22"/>
              </w:rPr>
              <w:t>Licensing</w:t>
            </w:r>
          </w:p>
        </w:tc>
        <w:tc>
          <w:tcPr>
            <w:tcW w:type="dxa" w:w="3249"/>
            <w:vAlign w:val="center"/>
          </w:tcPr>
          <w:p>
            <w:r/>
            <w:r>
              <w:rPr>
                <w:rFonts w:ascii="Figtree" w:hAnsi="Figtree"/>
                <w:b w:val="0"/>
                <w:i w:val="0"/>
                <w:sz w:val="22"/>
              </w:rPr>
              <w:t>Platform subscription, no per-transaction fees</w:t>
            </w:r>
          </w:p>
        </w:tc>
        <w:tc>
          <w:tcPr>
            <w:tcW w:type="dxa" w:w="3249"/>
            <w:vAlign w:val="center"/>
          </w:tcPr>
          <w:p>
            <w:r/>
            <w:r>
              <w:rPr>
                <w:rFonts w:ascii="Figtree" w:hAnsi="Figtree"/>
                <w:b w:val="0"/>
                <w:i w:val="0"/>
                <w:sz w:val="22"/>
              </w:rPr>
              <w:t>Per-transaction or per-token pricing</w:t>
            </w:r>
          </w:p>
        </w:tc>
      </w:tr>
    </w:tbl>
    <w:p>
      <w:r>
        <w:br w:type="page"/>
      </w:r>
    </w:p>
    <w:p>
      <w:pPr>
        <w:pStyle w:val="H2"/>
        <w:numPr>
          <w:ilvl w:val="1"/>
          <w:numId w:val="1"/>
        </w:numPr>
      </w:pPr>
      <w:r>
        <w:t>Customer References</w:t>
      </w:r>
    </w:p>
    <w:p>
      <w:pPr>
        <w:pStyle w:val="H3"/>
        <w:numPr>
          <w:ilvl w:val="2"/>
          <w:numId w:val="1"/>
        </w:numPr>
      </w:pPr>
      <w:r>
        <w:t>Summary Table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Client</w:t>
            </w:r>
          </w:p>
        </w:tc>
        <w:tc>
          <w:tcPr>
            <w:tcW w:type="dxa" w:w="1949"/>
            <w:vAlign w:val="center"/>
            <w:shd w:fill="000099" w:val="clear"/>
          </w:tcPr>
          <w:p>
            <w:r>
              <w:rPr>
                <w:b/>
                <w:color w:val="FFFFFF"/>
              </w:rPr>
            </w:r>
            <w:r>
              <w:rPr>
                <w:rFonts w:ascii="Figtree" w:hAnsi="Figtree"/>
                <w:b/>
                <w:i w:val="0"/>
                <w:color w:val="FFFFFF"/>
                <w:sz w:val="22"/>
              </w:rPr>
              <w:t>Use Case</w:t>
            </w:r>
          </w:p>
        </w:tc>
        <w:tc>
          <w:tcPr>
            <w:tcW w:type="dxa" w:w="1949"/>
            <w:vAlign w:val="center"/>
            <w:shd w:fill="000099" w:val="clear"/>
          </w:tcPr>
          <w:p>
            <w:r>
              <w:rPr>
                <w:b/>
                <w:color w:val="FFFFFF"/>
              </w:rPr>
            </w:r>
            <w:r>
              <w:rPr>
                <w:rFonts w:ascii="Figtree" w:hAnsi="Figtree"/>
                <w:b/>
                <w:i w:val="0"/>
                <w:color w:val="FFFFFF"/>
                <w:sz w:val="22"/>
              </w:rPr>
              <w:t>Geography</w:t>
            </w:r>
          </w:p>
        </w:tc>
        <w:tc>
          <w:tcPr>
            <w:tcW w:type="dxa" w:w="1949"/>
            <w:vAlign w:val="center"/>
            <w:shd w:fill="000099" w:val="clear"/>
          </w:tcPr>
          <w:p>
            <w:r>
              <w:rPr>
                <w:b/>
                <w:color w:val="FFFFFF"/>
              </w:rPr>
            </w:r>
            <w:r>
              <w:rPr>
                <w:rFonts w:ascii="Figtree" w:hAnsi="Figtree"/>
                <w:b/>
                <w:i w:val="0"/>
                <w:color w:val="FFFFFF"/>
                <w:sz w:val="22"/>
              </w:rPr>
              <w:t>Asset Class</w:t>
            </w:r>
          </w:p>
        </w:tc>
        <w:tc>
          <w:tcPr>
            <w:tcW w:type="dxa" w:w="1949"/>
            <w:vAlign w:val="center"/>
            <w:shd w:fill="000099" w:val="clear"/>
          </w:tcPr>
          <w:p>
            <w:r>
              <w:rPr>
                <w:b/>
                <w:color w:val="FFFFFF"/>
              </w:rPr>
            </w:r>
            <w:r>
              <w:rPr>
                <w:rFonts w:ascii="Figtree" w:hAnsi="Figtree"/>
                <w:b/>
                <w:i w:val="0"/>
                <w:color w:val="FFFFFF"/>
                <w:sz w:val="22"/>
              </w:rPr>
              <w:t>Relevance to Emirates NBD</w:t>
            </w:r>
          </w:p>
        </w:tc>
      </w:tr>
      <w:tr>
        <w:trPr>
          <w:trHeight w:val="454" w:hRule="atLeast"/>
        </w:trPr>
        <w:tc>
          <w:tcPr>
            <w:tcW w:type="dxa" w:w="1949"/>
            <w:vAlign w:val="center"/>
          </w:tcPr>
          <w:p>
            <w:r/>
            <w:r>
              <w:rPr>
                <w:rFonts w:ascii="Figtree" w:hAnsi="Figtree"/>
                <w:b w:val="0"/>
                <w:i w:val="0"/>
                <w:sz w:val="22"/>
              </w:rPr>
              <w:t>Standard Chartered Bank</w:t>
            </w:r>
          </w:p>
        </w:tc>
        <w:tc>
          <w:tcPr>
            <w:tcW w:type="dxa" w:w="1949"/>
            <w:vAlign w:val="center"/>
          </w:tcPr>
          <w:p>
            <w:r/>
            <w:r>
              <w:rPr>
                <w:rFonts w:ascii="Figtree" w:hAnsi="Figtree"/>
                <w:b w:val="0"/>
                <w:i w:val="0"/>
                <w:sz w:val="22"/>
              </w:rPr>
              <w:t>Digital Virtual Exchange</w:t>
            </w:r>
          </w:p>
        </w:tc>
        <w:tc>
          <w:tcPr>
            <w:tcW w:type="dxa" w:w="1949"/>
            <w:vAlign w:val="center"/>
          </w:tcPr>
          <w:p>
            <w:r/>
            <w:r>
              <w:rPr>
                <w:rFonts w:ascii="Figtree" w:hAnsi="Figtree"/>
                <w:b w:val="0"/>
                <w:i w:val="0"/>
                <w:sz w:val="22"/>
              </w:rPr>
              <w:t>Asia, Africa, ME</w:t>
            </w:r>
          </w:p>
        </w:tc>
        <w:tc>
          <w:tcPr>
            <w:tcW w:type="dxa" w:w="1949"/>
            <w:vAlign w:val="center"/>
          </w:tcPr>
          <w:p>
            <w:r/>
            <w:r>
              <w:rPr>
                <w:rFonts w:ascii="Figtree" w:hAnsi="Figtree"/>
                <w:b w:val="0"/>
                <w:i w:val="0"/>
                <w:sz w:val="22"/>
              </w:rPr>
              <w:t>Securities</w:t>
            </w:r>
          </w:p>
        </w:tc>
        <w:tc>
          <w:tcPr>
            <w:tcW w:type="dxa" w:w="1949"/>
            <w:vAlign w:val="center"/>
          </w:tcPr>
          <w:p>
            <w:r/>
            <w:r>
              <w:rPr>
                <w:rFonts w:ascii="Figtree" w:hAnsi="Figtree"/>
                <w:b w:val="0"/>
                <w:i w:val="0"/>
                <w:sz w:val="22"/>
              </w:rPr>
              <w:t>Multi-region institutional trading</w:t>
            </w:r>
          </w:p>
        </w:tc>
      </w:tr>
      <w:tr>
        <w:trPr>
          <w:trHeight w:val="454" w:hRule="atLeast"/>
        </w:trPr>
        <w:tc>
          <w:tcPr>
            <w:tcW w:type="dxa" w:w="1949"/>
            <w:vAlign w:val="center"/>
          </w:tcPr>
          <w:p>
            <w:r/>
            <w:r>
              <w:rPr>
                <w:rFonts w:ascii="Figtree" w:hAnsi="Figtree"/>
                <w:b w:val="0"/>
                <w:i w:val="0"/>
                <w:sz w:val="22"/>
              </w:rPr>
              <w:t>Commerzbank</w:t>
            </w:r>
          </w:p>
        </w:tc>
        <w:tc>
          <w:tcPr>
            <w:tcW w:type="dxa" w:w="1949"/>
            <w:vAlign w:val="center"/>
          </w:tcPr>
          <w:p>
            <w:r/>
            <w:r>
              <w:rPr>
                <w:rFonts w:ascii="Figtree" w:hAnsi="Figtree"/>
                <w:b w:val="0"/>
                <w:i w:val="0"/>
                <w:sz w:val="22"/>
              </w:rPr>
              <w:t>Exchange-Traded Products</w:t>
            </w:r>
          </w:p>
        </w:tc>
        <w:tc>
          <w:tcPr>
            <w:tcW w:type="dxa" w:w="1949"/>
            <w:vAlign w:val="center"/>
          </w:tcPr>
          <w:p>
            <w:r/>
            <w:r>
              <w:rPr>
                <w:rFonts w:ascii="Figtree" w:hAnsi="Figtree"/>
                <w:b w:val="0"/>
                <w:i w:val="0"/>
                <w:sz w:val="22"/>
              </w:rPr>
              <w:t>Europe (Germany)</w:t>
            </w:r>
          </w:p>
        </w:tc>
        <w:tc>
          <w:tcPr>
            <w:tcW w:type="dxa" w:w="1949"/>
            <w:vAlign w:val="center"/>
          </w:tcPr>
          <w:p>
            <w:r/>
            <w:r>
              <w:rPr>
                <w:rFonts w:ascii="Figtree" w:hAnsi="Figtree"/>
                <w:b w:val="0"/>
                <w:i w:val="0"/>
                <w:sz w:val="22"/>
              </w:rPr>
              <w:t>ETPs</w:t>
            </w:r>
          </w:p>
        </w:tc>
        <w:tc>
          <w:tcPr>
            <w:tcW w:type="dxa" w:w="1949"/>
            <w:vAlign w:val="center"/>
          </w:tcPr>
          <w:p>
            <w:r/>
            <w:r>
              <w:rPr>
                <w:rFonts w:ascii="Figtree" w:hAnsi="Figtree"/>
                <w:b w:val="0"/>
                <w:i w:val="0"/>
                <w:sz w:val="22"/>
              </w:rPr>
              <w:t>Regulated exchange listing, &lt;10s settlement</w:t>
            </w:r>
          </w:p>
        </w:tc>
      </w:tr>
      <w:tr>
        <w:trPr>
          <w:trHeight w:val="454" w:hRule="atLeast"/>
        </w:trPr>
        <w:tc>
          <w:tcPr>
            <w:tcW w:type="dxa" w:w="1949"/>
            <w:vAlign w:val="center"/>
          </w:tcPr>
          <w:p>
            <w:r/>
            <w:r>
              <w:rPr>
                <w:rFonts w:ascii="Figtree" w:hAnsi="Figtree"/>
                <w:b w:val="0"/>
                <w:i w:val="0"/>
                <w:sz w:val="22"/>
              </w:rPr>
              <w:t>OCBC Bank</w:t>
            </w:r>
          </w:p>
        </w:tc>
        <w:tc>
          <w:tcPr>
            <w:tcW w:type="dxa" w:w="1949"/>
            <w:vAlign w:val="center"/>
          </w:tcPr>
          <w:p>
            <w:r/>
            <w:r>
              <w:rPr>
                <w:rFonts w:ascii="Figtree" w:hAnsi="Figtree"/>
                <w:b w:val="0"/>
                <w:i w:val="0"/>
                <w:sz w:val="22"/>
              </w:rPr>
              <w:t>Security Token Engine</w:t>
            </w:r>
          </w:p>
        </w:tc>
        <w:tc>
          <w:tcPr>
            <w:tcW w:type="dxa" w:w="1949"/>
            <w:vAlign w:val="center"/>
          </w:tcPr>
          <w:p>
            <w:r/>
            <w:r>
              <w:rPr>
                <w:rFonts w:ascii="Figtree" w:hAnsi="Figtree"/>
                <w:b w:val="0"/>
                <w:i w:val="0"/>
                <w:sz w:val="22"/>
              </w:rPr>
              <w:t>Singapore</w:t>
            </w:r>
          </w:p>
        </w:tc>
        <w:tc>
          <w:tcPr>
            <w:tcW w:type="dxa" w:w="1949"/>
            <w:vAlign w:val="center"/>
          </w:tcPr>
          <w:p>
            <w:r/>
            <w:r>
              <w:rPr>
                <w:rFonts w:ascii="Figtree" w:hAnsi="Figtree"/>
                <w:b w:val="0"/>
                <w:i w:val="0"/>
                <w:sz w:val="22"/>
              </w:rPr>
              <w:t>Securities, SPVs</w:t>
            </w:r>
          </w:p>
        </w:tc>
        <w:tc>
          <w:tcPr>
            <w:tcW w:type="dxa" w:w="1949"/>
            <w:vAlign w:val="center"/>
          </w:tcPr>
          <w:p>
            <w:r/>
            <w:r>
              <w:rPr>
                <w:rFonts w:ascii="Figtree" w:hAnsi="Figtree"/>
                <w:b w:val="0"/>
                <w:i w:val="0"/>
                <w:sz w:val="22"/>
              </w:rPr>
              <w:t>Bank-grade tokenization</w:t>
            </w:r>
          </w:p>
        </w:tc>
      </w:tr>
      <w:tr>
        <w:trPr>
          <w:trHeight w:val="454" w:hRule="atLeast"/>
        </w:trPr>
        <w:tc>
          <w:tcPr>
            <w:tcW w:type="dxa" w:w="1949"/>
            <w:vAlign w:val="center"/>
          </w:tcPr>
          <w:p>
            <w:r/>
            <w:r>
              <w:rPr>
                <w:rFonts w:ascii="Figtree" w:hAnsi="Figtree"/>
                <w:b w:val="0"/>
                <w:i w:val="0"/>
                <w:sz w:val="22"/>
              </w:rPr>
              <w:t>State Bank of India</w:t>
            </w:r>
          </w:p>
        </w:tc>
        <w:tc>
          <w:tcPr>
            <w:tcW w:type="dxa" w:w="1949"/>
            <w:vAlign w:val="center"/>
          </w:tcPr>
          <w:p>
            <w:r/>
            <w:r>
              <w:rPr>
                <w:rFonts w:ascii="Figtree" w:hAnsi="Figtree"/>
                <w:b w:val="0"/>
                <w:i w:val="0"/>
                <w:sz w:val="22"/>
              </w:rPr>
              <w:t>CBDC Infrastructure</w:t>
            </w:r>
          </w:p>
        </w:tc>
        <w:tc>
          <w:tcPr>
            <w:tcW w:type="dxa" w:w="1949"/>
            <w:vAlign w:val="center"/>
          </w:tcPr>
          <w:p>
            <w:r/>
            <w:r>
              <w:rPr>
                <w:rFonts w:ascii="Figtree" w:hAnsi="Figtree"/>
                <w:b w:val="0"/>
                <w:i w:val="0"/>
                <w:sz w:val="22"/>
              </w:rPr>
              <w:t>India</w:t>
            </w:r>
          </w:p>
        </w:tc>
        <w:tc>
          <w:tcPr>
            <w:tcW w:type="dxa" w:w="1949"/>
            <w:vAlign w:val="center"/>
          </w:tcPr>
          <w:p>
            <w:r/>
            <w:r>
              <w:rPr>
                <w:rFonts w:ascii="Figtree" w:hAnsi="Figtree"/>
                <w:b w:val="0"/>
                <w:i w:val="0"/>
                <w:sz w:val="22"/>
              </w:rPr>
              <w:t>Digital currency</w:t>
            </w:r>
          </w:p>
        </w:tc>
        <w:tc>
          <w:tcPr>
            <w:tcW w:type="dxa" w:w="1949"/>
            <w:vAlign w:val="center"/>
          </w:tcPr>
          <w:p>
            <w:r/>
            <w:r>
              <w:rPr>
                <w:rFonts w:ascii="Figtree" w:hAnsi="Figtree"/>
                <w:b w:val="0"/>
                <w:i w:val="0"/>
                <w:sz w:val="22"/>
              </w:rPr>
              <w:t>National-scale payment rails</w:t>
            </w:r>
          </w:p>
        </w:tc>
      </w:tr>
      <w:tr>
        <w:trPr>
          <w:trHeight w:val="454" w:hRule="atLeast"/>
        </w:trPr>
        <w:tc>
          <w:tcPr>
            <w:tcW w:type="dxa" w:w="1949"/>
            <w:vAlign w:val="center"/>
          </w:tcPr>
          <w:p>
            <w:r/>
            <w:r>
              <w:rPr>
                <w:rFonts w:ascii="Figtree" w:hAnsi="Figtree"/>
                <w:b w:val="0"/>
                <w:i w:val="0"/>
                <w:sz w:val="22"/>
              </w:rPr>
              <w:t>Reserve Bank of India</w:t>
            </w:r>
          </w:p>
        </w:tc>
        <w:tc>
          <w:tcPr>
            <w:tcW w:type="dxa" w:w="1949"/>
            <w:vAlign w:val="center"/>
          </w:tcPr>
          <w:p>
            <w:r/>
            <w:r>
              <w:rPr>
                <w:rFonts w:ascii="Figtree" w:hAnsi="Figtree"/>
                <w:b w:val="0"/>
                <w:i w:val="0"/>
                <w:sz w:val="22"/>
              </w:rPr>
              <w:t>Trade Finance Blockchain</w:t>
            </w:r>
          </w:p>
        </w:tc>
        <w:tc>
          <w:tcPr>
            <w:tcW w:type="dxa" w:w="1949"/>
            <w:vAlign w:val="center"/>
          </w:tcPr>
          <w:p>
            <w:r/>
            <w:r>
              <w:rPr>
                <w:rFonts w:ascii="Figtree" w:hAnsi="Figtree"/>
                <w:b w:val="0"/>
                <w:i w:val="0"/>
                <w:sz w:val="22"/>
              </w:rPr>
              <w:t>India</w:t>
            </w:r>
          </w:p>
        </w:tc>
        <w:tc>
          <w:tcPr>
            <w:tcW w:type="dxa" w:w="1949"/>
            <w:vAlign w:val="center"/>
          </w:tcPr>
          <w:p>
            <w:r/>
            <w:r>
              <w:rPr>
                <w:rFonts w:ascii="Figtree" w:hAnsi="Figtree"/>
                <w:b w:val="0"/>
                <w:i w:val="0"/>
                <w:sz w:val="22"/>
              </w:rPr>
              <w:t>Trade finance</w:t>
            </w:r>
          </w:p>
        </w:tc>
        <w:tc>
          <w:tcPr>
            <w:tcW w:type="dxa" w:w="1949"/>
            <w:vAlign w:val="center"/>
          </w:tcPr>
          <w:p>
            <w:r/>
            <w:r>
              <w:rPr>
                <w:rFonts w:ascii="Figtree" w:hAnsi="Figtree"/>
                <w:b w:val="0"/>
                <w:i w:val="0"/>
                <w:sz w:val="22"/>
              </w:rPr>
              <w:t>Multi-bank trade workflows</w:t>
            </w:r>
          </w:p>
        </w:tc>
      </w:tr>
      <w:tr>
        <w:trPr>
          <w:trHeight w:val="454" w:hRule="atLeast"/>
        </w:trPr>
        <w:tc>
          <w:tcPr>
            <w:tcW w:type="dxa" w:w="1949"/>
            <w:vAlign w:val="center"/>
          </w:tcPr>
          <w:p>
            <w:r/>
            <w:r>
              <w:rPr>
                <w:rFonts w:ascii="Figtree" w:hAnsi="Figtree"/>
                <w:b w:val="0"/>
                <w:i w:val="0"/>
                <w:sz w:val="22"/>
              </w:rPr>
              <w:t>Islamic Development Bank</w:t>
            </w:r>
          </w:p>
        </w:tc>
        <w:tc>
          <w:tcPr>
            <w:tcW w:type="dxa" w:w="1949"/>
            <w:vAlign w:val="center"/>
          </w:tcPr>
          <w:p>
            <w:r/>
            <w:r>
              <w:rPr>
                <w:rFonts w:ascii="Figtree" w:hAnsi="Figtree"/>
                <w:b w:val="0"/>
                <w:i w:val="0"/>
                <w:sz w:val="22"/>
              </w:rPr>
              <w:t>Subsidy Distribution</w:t>
            </w:r>
          </w:p>
        </w:tc>
        <w:tc>
          <w:tcPr>
            <w:tcW w:type="dxa" w:w="1949"/>
            <w:vAlign w:val="center"/>
          </w:tcPr>
          <w:p>
            <w:r/>
            <w:r>
              <w:rPr>
                <w:rFonts w:ascii="Figtree" w:hAnsi="Figtree"/>
                <w:b w:val="0"/>
                <w:i w:val="0"/>
                <w:sz w:val="22"/>
              </w:rPr>
              <w:t>57 countries</w:t>
            </w:r>
          </w:p>
        </w:tc>
        <w:tc>
          <w:tcPr>
            <w:tcW w:type="dxa" w:w="1949"/>
            <w:vAlign w:val="center"/>
          </w:tcPr>
          <w:p>
            <w:r/>
            <w:r>
              <w:rPr>
                <w:rFonts w:ascii="Figtree" w:hAnsi="Figtree"/>
                <w:b w:val="0"/>
                <w:i w:val="0"/>
                <w:sz w:val="22"/>
              </w:rPr>
              <w:t>Subsidy tokens</w:t>
            </w:r>
          </w:p>
        </w:tc>
        <w:tc>
          <w:tcPr>
            <w:tcW w:type="dxa" w:w="1949"/>
            <w:vAlign w:val="center"/>
          </w:tcPr>
          <w:p>
            <w:r/>
            <w:r>
              <w:rPr>
                <w:rFonts w:ascii="Figtree" w:hAnsi="Figtree"/>
                <w:b w:val="0"/>
                <w:i w:val="0"/>
                <w:sz w:val="22"/>
              </w:rPr>
              <w:t>Sovereign-scale, Sharia-compliant</w:t>
            </w:r>
          </w:p>
        </w:tc>
      </w:tr>
      <w:tr>
        <w:trPr>
          <w:trHeight w:val="454" w:hRule="atLeast"/>
        </w:trPr>
        <w:tc>
          <w:tcPr>
            <w:tcW w:type="dxa" w:w="1949"/>
            <w:vAlign w:val="center"/>
          </w:tcPr>
          <w:p>
            <w:r/>
            <w:r>
              <w:rPr>
                <w:rFonts w:ascii="Figtree" w:hAnsi="Figtree"/>
                <w:b w:val="0"/>
                <w:i w:val="0"/>
                <w:sz w:val="22"/>
              </w:rPr>
              <w:t>Sony Bank</w:t>
            </w:r>
          </w:p>
        </w:tc>
        <w:tc>
          <w:tcPr>
            <w:tcW w:type="dxa" w:w="1949"/>
            <w:vAlign w:val="center"/>
          </w:tcPr>
          <w:p>
            <w:r/>
            <w:r>
              <w:rPr>
                <w:rFonts w:ascii="Figtree" w:hAnsi="Figtree"/>
                <w:b w:val="0"/>
                <w:i w:val="0"/>
                <w:sz w:val="22"/>
              </w:rPr>
              <w:t>Stablecoin Issuance</w:t>
            </w:r>
          </w:p>
        </w:tc>
        <w:tc>
          <w:tcPr>
            <w:tcW w:type="dxa" w:w="1949"/>
            <w:vAlign w:val="center"/>
          </w:tcPr>
          <w:p>
            <w:r/>
            <w:r>
              <w:rPr>
                <w:rFonts w:ascii="Figtree" w:hAnsi="Figtree"/>
                <w:b w:val="0"/>
                <w:i w:val="0"/>
                <w:sz w:val="22"/>
              </w:rPr>
              <w:t>Japan</w:t>
            </w:r>
          </w:p>
        </w:tc>
        <w:tc>
          <w:tcPr>
            <w:tcW w:type="dxa" w:w="1949"/>
            <w:vAlign w:val="center"/>
          </w:tcPr>
          <w:p>
            <w:r/>
            <w:r>
              <w:rPr>
                <w:rFonts w:ascii="Figtree" w:hAnsi="Figtree"/>
                <w:b w:val="0"/>
                <w:i w:val="0"/>
                <w:sz w:val="22"/>
              </w:rPr>
              <w:t>Stablecoins</w:t>
            </w:r>
          </w:p>
        </w:tc>
        <w:tc>
          <w:tcPr>
            <w:tcW w:type="dxa" w:w="1949"/>
            <w:vAlign w:val="center"/>
          </w:tcPr>
          <w:p>
            <w:r/>
            <w:r>
              <w:rPr>
                <w:rFonts w:ascii="Figtree" w:hAnsi="Figtree"/>
                <w:b w:val="0"/>
                <w:i w:val="0"/>
                <w:sz w:val="22"/>
              </w:rPr>
              <w:t>Deposit-adjacent digital currency</w:t>
            </w:r>
          </w:p>
        </w:tc>
      </w:tr>
      <w:tr>
        <w:trPr>
          <w:trHeight w:val="454" w:hRule="atLeast"/>
        </w:trPr>
        <w:tc>
          <w:tcPr>
            <w:tcW w:type="dxa" w:w="1949"/>
            <w:vAlign w:val="center"/>
          </w:tcPr>
          <w:p>
            <w:r/>
            <w:r>
              <w:rPr>
                <w:rFonts w:ascii="Figtree" w:hAnsi="Figtree"/>
                <w:b w:val="0"/>
                <w:i w:val="0"/>
                <w:sz w:val="22"/>
              </w:rPr>
              <w:t>Saudi Arabia RER</w:t>
            </w:r>
          </w:p>
        </w:tc>
        <w:tc>
          <w:tcPr>
            <w:tcW w:type="dxa" w:w="1949"/>
            <w:vAlign w:val="center"/>
          </w:tcPr>
          <w:p>
            <w:r/>
            <w:r>
              <w:rPr>
                <w:rFonts w:ascii="Figtree" w:hAnsi="Figtree"/>
                <w:b w:val="0"/>
                <w:i w:val="0"/>
                <w:sz w:val="22"/>
              </w:rPr>
              <w:t>Real Estate Registry</w:t>
            </w:r>
          </w:p>
        </w:tc>
        <w:tc>
          <w:tcPr>
            <w:tcW w:type="dxa" w:w="1949"/>
            <w:vAlign w:val="center"/>
          </w:tcPr>
          <w:p>
            <w:r/>
            <w:r>
              <w:rPr>
                <w:rFonts w:ascii="Figtree" w:hAnsi="Figtree"/>
                <w:b w:val="0"/>
                <w:i w:val="0"/>
                <w:sz w:val="22"/>
              </w:rPr>
              <w:t>KSA</w:t>
            </w:r>
          </w:p>
        </w:tc>
        <w:tc>
          <w:tcPr>
            <w:tcW w:type="dxa" w:w="1949"/>
            <w:vAlign w:val="center"/>
          </w:tcPr>
          <w:p>
            <w:r/>
            <w:r>
              <w:rPr>
                <w:rFonts w:ascii="Figtree" w:hAnsi="Figtree"/>
                <w:b w:val="0"/>
                <w:i w:val="0"/>
                <w:sz w:val="22"/>
              </w:rPr>
              <w:t>Real estate</w:t>
            </w:r>
          </w:p>
        </w:tc>
        <w:tc>
          <w:tcPr>
            <w:tcW w:type="dxa" w:w="1949"/>
            <w:vAlign w:val="center"/>
          </w:tcPr>
          <w:p>
            <w:r/>
            <w:r>
              <w:rPr>
                <w:rFonts w:ascii="Figtree" w:hAnsi="Figtree"/>
                <w:b w:val="0"/>
                <w:i w:val="0"/>
                <w:sz w:val="22"/>
              </w:rPr>
              <w:t>Country-scale sovereign program</w:t>
            </w:r>
          </w:p>
        </w:tc>
      </w:tr>
      <w:tr>
        <w:trPr>
          <w:trHeight w:val="454" w:hRule="atLeast"/>
        </w:trPr>
        <w:tc>
          <w:tcPr>
            <w:tcW w:type="dxa" w:w="1949"/>
            <w:vAlign w:val="center"/>
          </w:tcPr>
          <w:p>
            <w:r/>
            <w:r>
              <w:rPr>
                <w:rFonts w:ascii="Figtree" w:hAnsi="Figtree"/>
                <w:b w:val="0"/>
                <w:i w:val="0"/>
                <w:sz w:val="22"/>
              </w:rPr>
              <w:t>Maybank (Project Photon)</w:t>
            </w:r>
          </w:p>
        </w:tc>
        <w:tc>
          <w:tcPr>
            <w:tcW w:type="dxa" w:w="1949"/>
            <w:vAlign w:val="center"/>
          </w:tcPr>
          <w:p>
            <w:r/>
            <w:r>
              <w:rPr>
                <w:rFonts w:ascii="Figtree" w:hAnsi="Figtree"/>
                <w:b w:val="0"/>
                <w:i w:val="0"/>
                <w:sz w:val="22"/>
              </w:rPr>
              <w:t>FX Tokenization</w:t>
            </w:r>
          </w:p>
        </w:tc>
        <w:tc>
          <w:tcPr>
            <w:tcW w:type="dxa" w:w="1949"/>
            <w:vAlign w:val="center"/>
          </w:tcPr>
          <w:p>
            <w:r/>
            <w:r>
              <w:rPr>
                <w:rFonts w:ascii="Figtree" w:hAnsi="Figtree"/>
                <w:b w:val="0"/>
                <w:i w:val="0"/>
                <w:sz w:val="22"/>
              </w:rPr>
              <w:t>Malaysia</w:t>
            </w:r>
          </w:p>
        </w:tc>
        <w:tc>
          <w:tcPr>
            <w:tcW w:type="dxa" w:w="1949"/>
            <w:vAlign w:val="center"/>
          </w:tcPr>
          <w:p>
            <w:r/>
            <w:r>
              <w:rPr>
                <w:rFonts w:ascii="Figtree" w:hAnsi="Figtree"/>
                <w:b w:val="0"/>
                <w:i w:val="0"/>
                <w:sz w:val="22"/>
              </w:rPr>
              <w:t>FX tokens</w:t>
            </w:r>
          </w:p>
        </w:tc>
        <w:tc>
          <w:tcPr>
            <w:tcW w:type="dxa" w:w="1949"/>
            <w:vAlign w:val="center"/>
          </w:tcPr>
          <w:p>
            <w:r/>
            <w:r>
              <w:rPr>
                <w:rFonts w:ascii="Figtree" w:hAnsi="Figtree"/>
                <w:b w:val="0"/>
                <w:i w:val="0"/>
                <w:sz w:val="22"/>
              </w:rPr>
              <w:t>Cross-border atomic settlement</w:t>
            </w:r>
          </w:p>
        </w:tc>
      </w:tr>
      <w:tr>
        <w:trPr>
          <w:trHeight w:val="454" w:hRule="atLeast"/>
        </w:trPr>
        <w:tc>
          <w:tcPr>
            <w:tcW w:type="dxa" w:w="1949"/>
            <w:vAlign w:val="center"/>
          </w:tcPr>
          <w:p>
            <w:r/>
            <w:r>
              <w:rPr>
                <w:rFonts w:ascii="Figtree" w:hAnsi="Figtree"/>
                <w:b w:val="0"/>
                <w:i w:val="0"/>
                <w:sz w:val="22"/>
              </w:rPr>
              <w:t>ADI Finstreet</w:t>
            </w:r>
          </w:p>
        </w:tc>
        <w:tc>
          <w:tcPr>
            <w:tcW w:type="dxa" w:w="1949"/>
            <w:vAlign w:val="center"/>
          </w:tcPr>
          <w:p>
            <w:r/>
            <w:r>
              <w:rPr>
                <w:rFonts w:ascii="Figtree" w:hAnsi="Figtree"/>
                <w:b w:val="0"/>
                <w:i w:val="0"/>
                <w:sz w:val="22"/>
              </w:rPr>
              <w:t>Equity Tokenization</w:t>
            </w:r>
          </w:p>
        </w:tc>
        <w:tc>
          <w:tcPr>
            <w:tcW w:type="dxa" w:w="1949"/>
            <w:vAlign w:val="center"/>
          </w:tcPr>
          <w:p>
            <w:r/>
            <w:r>
              <w:rPr>
                <w:rFonts w:ascii="Figtree" w:hAnsi="Figtree"/>
                <w:b w:val="0"/>
                <w:i w:val="0"/>
                <w:sz w:val="22"/>
              </w:rPr>
              <w:t>Abu Dhabi</w:t>
            </w:r>
          </w:p>
        </w:tc>
        <w:tc>
          <w:tcPr>
            <w:tcW w:type="dxa" w:w="1949"/>
            <w:vAlign w:val="center"/>
          </w:tcPr>
          <w:p>
            <w:r/>
            <w:r>
              <w:rPr>
                <w:rFonts w:ascii="Figtree" w:hAnsi="Figtree"/>
                <w:b w:val="0"/>
                <w:i w:val="0"/>
                <w:sz w:val="22"/>
              </w:rPr>
              <w:t>Equity</w:t>
            </w:r>
          </w:p>
        </w:tc>
        <w:tc>
          <w:tcPr>
            <w:tcW w:type="dxa" w:w="1949"/>
            <w:vAlign w:val="center"/>
          </w:tcPr>
          <w:p>
            <w:r/>
            <w:r>
              <w:rPr>
                <w:rFonts w:ascii="Figtree" w:hAnsi="Figtree"/>
                <w:b w:val="0"/>
                <w:i w:val="0"/>
                <w:sz w:val="22"/>
              </w:rPr>
              <w:t>UAE market, institutional custody</w:t>
            </w:r>
          </w:p>
        </w:tc>
      </w:tr>
      <w:tr>
        <w:trPr>
          <w:trHeight w:val="454" w:hRule="atLeast"/>
        </w:trPr>
        <w:tc>
          <w:tcPr>
            <w:tcW w:type="dxa" w:w="1949"/>
            <w:vAlign w:val="center"/>
          </w:tcPr>
          <w:p>
            <w:r/>
            <w:r>
              <w:rPr>
                <w:rFonts w:ascii="Figtree" w:hAnsi="Figtree"/>
                <w:b w:val="0"/>
                <w:i w:val="0"/>
                <w:sz w:val="22"/>
              </w:rPr>
              <w:t>Commerzbank</w:t>
            </w:r>
          </w:p>
        </w:tc>
        <w:tc>
          <w:tcPr>
            <w:tcW w:type="dxa" w:w="1949"/>
            <w:vAlign w:val="center"/>
          </w:tcPr>
          <w:p>
            <w:r/>
            <w:r>
              <w:rPr>
                <w:rFonts w:ascii="Figtree" w:hAnsi="Figtree"/>
                <w:b w:val="0"/>
                <w:i w:val="0"/>
                <w:sz w:val="22"/>
              </w:rPr>
              <w:t>ETP Issuance</w:t>
            </w:r>
          </w:p>
        </w:tc>
        <w:tc>
          <w:tcPr>
            <w:tcW w:type="dxa" w:w="1949"/>
            <w:vAlign w:val="center"/>
          </w:tcPr>
          <w:p>
            <w:r/>
            <w:r>
              <w:rPr>
                <w:rFonts w:ascii="Figtree" w:hAnsi="Figtree"/>
                <w:b w:val="0"/>
                <w:i w:val="0"/>
                <w:sz w:val="22"/>
              </w:rPr>
              <w:t>Germany</w:t>
            </w:r>
          </w:p>
        </w:tc>
        <w:tc>
          <w:tcPr>
            <w:tcW w:type="dxa" w:w="1949"/>
            <w:vAlign w:val="center"/>
          </w:tcPr>
          <w:p>
            <w:r/>
            <w:r>
              <w:rPr>
                <w:rFonts w:ascii="Figtree" w:hAnsi="Figtree"/>
                <w:b w:val="0"/>
                <w:i w:val="0"/>
                <w:sz w:val="22"/>
              </w:rPr>
              <w:t>ETPs</w:t>
            </w:r>
          </w:p>
        </w:tc>
        <w:tc>
          <w:tcPr>
            <w:tcW w:type="dxa" w:w="1949"/>
            <w:vAlign w:val="center"/>
          </w:tcPr>
          <w:p>
            <w:r/>
            <w:r>
              <w:rPr>
                <w:rFonts w:ascii="Figtree" w:hAnsi="Figtree"/>
                <w:b w:val="0"/>
                <w:i w:val="0"/>
                <w:sz w:val="22"/>
              </w:rPr>
              <w:t>EUR 7M/year projected savings</w:t>
            </w:r>
          </w:p>
        </w:tc>
      </w:tr>
      <w:tr>
        <w:trPr>
          <w:trHeight w:val="454" w:hRule="atLeast"/>
        </w:trPr>
        <w:tc>
          <w:tcPr>
            <w:tcW w:type="dxa" w:w="1949"/>
            <w:vAlign w:val="center"/>
          </w:tcPr>
          <w:p>
            <w:r/>
            <w:r>
              <w:rPr>
                <w:rFonts w:ascii="Figtree" w:hAnsi="Figtree"/>
                <w:b w:val="0"/>
                <w:i w:val="0"/>
                <w:sz w:val="22"/>
              </w:rPr>
              <w:t>KBC Securities</w:t>
            </w:r>
          </w:p>
        </w:tc>
        <w:tc>
          <w:tcPr>
            <w:tcW w:type="dxa" w:w="1949"/>
            <w:vAlign w:val="center"/>
          </w:tcPr>
          <w:p>
            <w:r/>
            <w:r>
              <w:rPr>
                <w:rFonts w:ascii="Figtree" w:hAnsi="Figtree"/>
                <w:b w:val="0"/>
                <w:i w:val="0"/>
                <w:sz w:val="22"/>
              </w:rPr>
              <w:t>Crowdfunding</w:t>
            </w:r>
          </w:p>
        </w:tc>
        <w:tc>
          <w:tcPr>
            <w:tcW w:type="dxa" w:w="1949"/>
            <w:vAlign w:val="center"/>
          </w:tcPr>
          <w:p>
            <w:r/>
            <w:r>
              <w:rPr>
                <w:rFonts w:ascii="Figtree" w:hAnsi="Figtree"/>
                <w:b w:val="0"/>
                <w:i w:val="0"/>
                <w:sz w:val="22"/>
              </w:rPr>
              <w:t>Belgium</w:t>
            </w:r>
          </w:p>
        </w:tc>
        <w:tc>
          <w:tcPr>
            <w:tcW w:type="dxa" w:w="1949"/>
            <w:vAlign w:val="center"/>
          </w:tcPr>
          <w:p>
            <w:r/>
            <w:r>
              <w:rPr>
                <w:rFonts w:ascii="Figtree" w:hAnsi="Figtree"/>
                <w:b w:val="0"/>
                <w:i w:val="0"/>
                <w:sz w:val="22"/>
              </w:rPr>
              <w:t>Equity, SME loans</w:t>
            </w:r>
          </w:p>
        </w:tc>
        <w:tc>
          <w:tcPr>
            <w:tcW w:type="dxa" w:w="1949"/>
            <w:vAlign w:val="center"/>
          </w:tcPr>
          <w:p>
            <w:r/>
            <w:r>
              <w:rPr>
                <w:rFonts w:ascii="Figtree" w:hAnsi="Figtree"/>
                <w:b w:val="0"/>
                <w:i w:val="0"/>
                <w:sz w:val="22"/>
              </w:rPr>
              <w:t>Fiat-backed stable token settlement</w:t>
            </w:r>
          </w:p>
        </w:tc>
      </w:tr>
    </w:tbl>
    <w:p>
      <w:pPr>
        <w:pStyle w:val="H3"/>
        <w:numPr>
          <w:ilvl w:val="2"/>
          <w:numId w:val="1"/>
        </w:numPr>
      </w:pPr>
      <w:r>
        <w:t>Relevance Selection Logic</w:t>
      </w:r>
    </w:p>
    <w:p>
      <w:r>
        <w:rPr>
          <w:rFonts w:ascii="Figtree" w:hAnsi="Figtree"/>
          <w:b w:val="0"/>
          <w:i w:val="0"/>
          <w:sz w:val="22"/>
        </w:rPr>
        <w:t>Three references were selected for expanded detail based on their direct relevance to Emirates NBD's scope: Standard Chartered (multi-region institutional trading with custody elimination), Reserve Bank of India Innovation Hub (multi-bank trade finance), and Commerzbank (regulated exchange settlement with measurable cost savings).</w:t>
      </w:r>
    </w:p>
    <w:p>
      <w:pPr>
        <w:pStyle w:val="H3"/>
        <w:numPr>
          <w:ilvl w:val="2"/>
          <w:numId w:val="1"/>
        </w:numPr>
      </w:pPr>
      <w:r>
        <w:t>Expanded Reference 1: Standard Chartered Bank — Digital Virtual Exchange</w:t>
      </w:r>
    </w:p>
    <w:p>
      <w:r>
        <w:rPr>
          <w:rFonts w:ascii="Figtree" w:hAnsi="Figtree"/>
          <w:b/>
          <w:i w:val="0"/>
          <w:sz w:val="22"/>
        </w:rPr>
        <w:t>Context.</w:t>
      </w:r>
      <w:r>
        <w:rPr>
          <w:rFonts w:ascii="Figtree" w:hAnsi="Figtree"/>
          <w:b w:val="0"/>
          <w:i w:val="0"/>
          <w:sz w:val="22"/>
        </w:rPr>
        <w:t xml:space="preserve"> Standard Chartered sought to improve trading efficiency for institutional investors across high-growth regions in Asia, Africa, and the Middle East. The existing settlement process involved multiple custody intermediaries, created counterparty risk, and resulted in settlement delays impacting liquidity.</w:t>
      </w:r>
    </w:p>
    <w:p>
      <w:r>
        <w:rPr>
          <w:rFonts w:ascii="Figtree" w:hAnsi="Figtree"/>
          <w:b/>
          <w:i w:val="0"/>
          <w:sz w:val="22"/>
        </w:rPr>
        <w:t>Solution.</w:t>
      </w:r>
      <w:r>
        <w:rPr>
          <w:rFonts w:ascii="Figtree" w:hAnsi="Figtree"/>
          <w:b w:val="0"/>
          <w:i w:val="0"/>
          <w:sz w:val="22"/>
        </w:rPr>
        <w:t xml:space="preserve"> SettleMint collaborated with Standard Chartered to build a blockchain-based Digital Virtual Exchange using DALP's asset contract framework. The platform tokenizes securities (shares, bonds, currencies) and enables fractional ownership with instant settlement. Ownership transfers are recorded on-chain, eliminating separate custody intermediaries and producing an immutable audit trail.</w:t>
      </w:r>
    </w:p>
    <w:p>
      <w:r>
        <w:rPr>
          <w:rFonts w:ascii="Figtree" w:hAnsi="Figtree"/>
          <w:b/>
          <w:i w:val="0"/>
          <w:sz w:val="22"/>
        </w:rPr>
        <w:t>Outcomes.</w:t>
      </w:r>
      <w:r>
        <w:rPr>
          <w:rFonts w:ascii="Figtree" w:hAnsi="Figtree"/>
          <w:b w:val="0"/>
          <w:i w:val="0"/>
          <w:sz w:val="22"/>
        </w:rPr>
        <w:t xml:space="preserve"> Settlement reduced from days to near-instant finality. Custody intermediary costs eliminated for on-chain transactions. Improved liquidity through fractional tokenization.</w:t>
      </w:r>
    </w:p>
    <w:p>
      <w:r>
        <w:rPr>
          <w:rFonts w:ascii="Figtree" w:hAnsi="Figtree"/>
          <w:b/>
          <w:i w:val="0"/>
          <w:sz w:val="22"/>
        </w:rPr>
        <w:t>Transferability.</w:t>
      </w:r>
      <w:r>
        <w:rPr>
          <w:rFonts w:ascii="Figtree" w:hAnsi="Figtree"/>
          <w:b w:val="0"/>
          <w:i w:val="0"/>
          <w:sz w:val="22"/>
        </w:rPr>
        <w:t xml:space="preserve"> Multi-asset support, institutional-grade compliance, multi-region deployment. The custody elimination model directly parallels Emirates NBD's objective of streamlining deposit and trade finance settlement.</w:t>
      </w:r>
    </w:p>
    <w:p>
      <w:pPr>
        <w:pStyle w:val="H3"/>
        <w:numPr>
          <w:ilvl w:val="2"/>
          <w:numId w:val="1"/>
        </w:numPr>
      </w:pPr>
      <w:r>
        <w:t>Expanded Reference 2: Reserve Bank of India Innovation Hub — Trade Finance</w:t>
      </w:r>
    </w:p>
    <w:p>
      <w:r>
        <w:rPr>
          <w:rFonts w:ascii="Figtree" w:hAnsi="Figtree"/>
          <w:b/>
          <w:i w:val="0"/>
          <w:sz w:val="22"/>
        </w:rPr>
        <w:t>Context.</w:t>
      </w:r>
      <w:r>
        <w:rPr>
          <w:rFonts w:ascii="Figtree" w:hAnsi="Figtree"/>
          <w:b w:val="0"/>
          <w:i w:val="0"/>
          <w:sz w:val="22"/>
        </w:rPr>
        <w:t xml:space="preserve"> The RBI Innovation Hub required a multi-bank, multi-node, multi-cloud blockchain for fraud-proof trade finance workflows — specifically letters of credit processing across multiple banks.</w:t>
      </w:r>
    </w:p>
    <w:p>
      <w:r>
        <w:rPr>
          <w:rFonts w:ascii="Figtree" w:hAnsi="Figtree"/>
          <w:b/>
          <w:i w:val="0"/>
          <w:sz w:val="22"/>
        </w:rPr>
        <w:t>Solution.</w:t>
      </w:r>
      <w:r>
        <w:rPr>
          <w:rFonts w:ascii="Figtree" w:hAnsi="Figtree"/>
          <w:b w:val="0"/>
          <w:i w:val="0"/>
          <w:sz w:val="22"/>
        </w:rPr>
        <w:t xml:space="preserve"> DALP powers the blockchain and trade finance workflow layer, handling document verification, milestone tracking, multi-party approvals, and settlement across participating banks. The architecture supports multiple deployment nodes across different cloud providers, ensuring no single point of failure.</w:t>
      </w:r>
    </w:p>
    <w:p>
      <w:r>
        <w:rPr>
          <w:rFonts w:ascii="Figtree" w:hAnsi="Figtree"/>
          <w:b/>
          <w:i w:val="0"/>
          <w:sz w:val="22"/>
        </w:rPr>
        <w:t>Outcomes.</w:t>
      </w:r>
      <w:r>
        <w:rPr>
          <w:rFonts w:ascii="Figtree" w:hAnsi="Figtree"/>
          <w:b w:val="0"/>
          <w:i w:val="0"/>
          <w:sz w:val="22"/>
        </w:rPr>
        <w:t xml:space="preserve"> Fraud-proof trade finance workflows operational across multiple banks. Multi-cloud deployment demonstrating infrastructure resilience.</w:t>
      </w:r>
    </w:p>
    <w:p>
      <w:r>
        <w:rPr>
          <w:rFonts w:ascii="Figtree" w:hAnsi="Figtree"/>
          <w:b/>
          <w:i w:val="0"/>
          <w:sz w:val="22"/>
        </w:rPr>
        <w:t>Transferability.</w:t>
      </w:r>
      <w:r>
        <w:rPr>
          <w:rFonts w:ascii="Figtree" w:hAnsi="Figtree"/>
          <w:b w:val="0"/>
          <w:i w:val="0"/>
          <w:sz w:val="22"/>
        </w:rPr>
        <w:t xml:space="preserve"> Directly applicable to Emirates NBD's trade finance liquidity rails — the multi-bank, document-linked workflow pattern maps precisely to the RFP's REQ-09 (document-linked trade workflows) and REQ-10 (reconciliation to core trade books).</w:t>
      </w:r>
    </w:p>
    <w:p>
      <w:pPr>
        <w:pStyle w:val="H3"/>
        <w:numPr>
          <w:ilvl w:val="2"/>
          <w:numId w:val="1"/>
        </w:numPr>
      </w:pPr>
      <w:r>
        <w:t>Expanded Reference 3: Commerzbank — Exchange-Traded Products</w:t>
      </w:r>
    </w:p>
    <w:p>
      <w:r>
        <w:rPr>
          <w:rFonts w:ascii="Figtree" w:hAnsi="Figtree"/>
          <w:b/>
          <w:i w:val="0"/>
          <w:sz w:val="22"/>
        </w:rPr>
        <w:t>Context.</w:t>
      </w:r>
      <w:r>
        <w:rPr>
          <w:rFonts w:ascii="Figtree" w:hAnsi="Figtree"/>
          <w:b w:val="0"/>
          <w:i w:val="0"/>
          <w:sz w:val="22"/>
        </w:rPr>
        <w:t xml:space="preserve"> Commerzbank needed to issue exchange-traded products with listing on Boerse Stuttgart, requiring settlement that could meet exchange-grade performance requirements.</w:t>
      </w:r>
    </w:p>
    <w:p>
      <w:r>
        <w:rPr>
          <w:rFonts w:ascii="Figtree" w:hAnsi="Figtree"/>
          <w:b/>
          <w:i w:val="0"/>
          <w:sz w:val="22"/>
        </w:rPr>
        <w:t>Solution.</w:t>
      </w:r>
      <w:r>
        <w:rPr>
          <w:rFonts w:ascii="Figtree" w:hAnsi="Figtree"/>
          <w:b w:val="0"/>
          <w:i w:val="0"/>
          <w:sz w:val="22"/>
        </w:rPr>
        <w:t xml:space="preserve"> DALP provides hybrid on/off-chain ETP issuance with settlement under 10 seconds. The platform handles the full issuance lifecycle while meeting the regulatory and performance requirements of a listed exchange environment.</w:t>
      </w:r>
    </w:p>
    <w:p>
      <w:r>
        <w:rPr>
          <w:rFonts w:ascii="Figtree" w:hAnsi="Figtree"/>
          <w:b/>
          <w:i w:val="0"/>
          <w:sz w:val="22"/>
        </w:rPr>
        <w:t>Outcomes.</w:t>
      </w:r>
      <w:r>
        <w:rPr>
          <w:rFonts w:ascii="Figtree" w:hAnsi="Figtree"/>
          <w:b w:val="0"/>
          <w:i w:val="0"/>
          <w:sz w:val="22"/>
        </w:rPr>
        <w:t xml:space="preserve"> Settlement under 10 seconds. Listed on Boerse Stuttgart. Projected savings of EUR 7M per year.</w:t>
      </w:r>
    </w:p>
    <w:p>
      <w:r>
        <w:rPr>
          <w:rFonts w:ascii="Figtree" w:hAnsi="Figtree"/>
          <w:b/>
          <w:i w:val="0"/>
          <w:sz w:val="22"/>
        </w:rPr>
        <w:t>Transferability.</w:t>
      </w:r>
      <w:r>
        <w:rPr>
          <w:rFonts w:ascii="Figtree" w:hAnsi="Figtree"/>
          <w:b w:val="0"/>
          <w:i w:val="0"/>
          <w:sz w:val="22"/>
        </w:rPr>
        <w:t xml:space="preserve"> Demonstrates DALP's ability to meet strict settlement performance requirements in a regulated environment. The EUR 7M/year savings model provides Emirates NBD with a reference point for building its own business case.</w:t>
      </w:r>
    </w:p>
    <w:p>
      <w:pPr>
        <w:pStyle w:val="H3"/>
        <w:numPr>
          <w:ilvl w:val="2"/>
          <w:numId w:val="1"/>
        </w:numPr>
      </w:pPr>
      <w:r>
        <w:t>Reference Fit Matrix</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Emirates NBD Requirement</w:t>
            </w:r>
          </w:p>
        </w:tc>
        <w:tc>
          <w:tcPr>
            <w:tcW w:type="dxa" w:w="3249"/>
            <w:vAlign w:val="center"/>
            <w:shd w:fill="000099" w:val="clear"/>
          </w:tcPr>
          <w:p>
            <w:r>
              <w:rPr>
                <w:b/>
                <w:color w:val="FFFFFF"/>
              </w:rPr>
            </w:r>
            <w:r>
              <w:rPr>
                <w:rFonts w:ascii="Figtree" w:hAnsi="Figtree"/>
                <w:b/>
                <w:i w:val="0"/>
                <w:color w:val="FFFFFF"/>
                <w:sz w:val="22"/>
              </w:rPr>
              <w:t>Most Relevant Reference</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Tokenized deposit lifecycle</w:t>
            </w:r>
          </w:p>
        </w:tc>
        <w:tc>
          <w:tcPr>
            <w:tcW w:type="dxa" w:w="3249"/>
            <w:vAlign w:val="center"/>
          </w:tcPr>
          <w:p>
            <w:r/>
            <w:r>
              <w:rPr>
                <w:rFonts w:ascii="Figtree" w:hAnsi="Figtree"/>
                <w:b w:val="0"/>
                <w:i w:val="0"/>
                <w:sz w:val="22"/>
              </w:rPr>
              <w:t>Sony Bank (stablecoin), KBC (stable token)</w:t>
            </w:r>
          </w:p>
        </w:tc>
        <w:tc>
          <w:tcPr>
            <w:tcW w:type="dxa" w:w="3249"/>
            <w:vAlign w:val="center"/>
          </w:tcPr>
          <w:p>
            <w:r/>
            <w:r>
              <w:rPr>
                <w:rFonts w:ascii="Figtree" w:hAnsi="Figtree"/>
                <w:b w:val="0"/>
                <w:i w:val="0"/>
                <w:sz w:val="22"/>
              </w:rPr>
              <w:t>Native deposit/cash-equivalent asset class</w:t>
            </w:r>
          </w:p>
        </w:tc>
      </w:tr>
      <w:tr>
        <w:trPr>
          <w:trHeight w:val="454" w:hRule="atLeast"/>
        </w:trPr>
        <w:tc>
          <w:tcPr>
            <w:tcW w:type="dxa" w:w="3249"/>
            <w:vAlign w:val="center"/>
          </w:tcPr>
          <w:p>
            <w:r/>
            <w:r>
              <w:rPr>
                <w:rFonts w:ascii="Figtree" w:hAnsi="Figtree"/>
                <w:b w:val="0"/>
                <w:i w:val="0"/>
                <w:sz w:val="22"/>
              </w:rPr>
              <w:t>Trade finance workflows</w:t>
            </w:r>
          </w:p>
        </w:tc>
        <w:tc>
          <w:tcPr>
            <w:tcW w:type="dxa" w:w="3249"/>
            <w:vAlign w:val="center"/>
          </w:tcPr>
          <w:p>
            <w:r/>
            <w:r>
              <w:rPr>
                <w:rFonts w:ascii="Figtree" w:hAnsi="Figtree"/>
                <w:b w:val="0"/>
                <w:i w:val="0"/>
                <w:sz w:val="22"/>
              </w:rPr>
              <w:t>RBI Innovation Hub</w:t>
            </w:r>
          </w:p>
        </w:tc>
        <w:tc>
          <w:tcPr>
            <w:tcW w:type="dxa" w:w="3249"/>
            <w:vAlign w:val="center"/>
          </w:tcPr>
          <w:p>
            <w:r/>
            <w:r>
              <w:rPr>
                <w:rFonts w:ascii="Figtree" w:hAnsi="Figtree"/>
                <w:b w:val="0"/>
                <w:i w:val="0"/>
                <w:sz w:val="22"/>
              </w:rPr>
              <w:t>Multi-bank LC processing</w:t>
            </w:r>
          </w:p>
        </w:tc>
      </w:tr>
      <w:tr>
        <w:trPr>
          <w:trHeight w:val="454" w:hRule="atLeast"/>
        </w:trPr>
        <w:tc>
          <w:tcPr>
            <w:tcW w:type="dxa" w:w="3249"/>
            <w:vAlign w:val="center"/>
          </w:tcPr>
          <w:p>
            <w:r/>
            <w:r>
              <w:rPr>
                <w:rFonts w:ascii="Figtree" w:hAnsi="Figtree"/>
                <w:b w:val="0"/>
                <w:i w:val="0"/>
                <w:sz w:val="22"/>
              </w:rPr>
              <w:t>Settlement performance</w:t>
            </w:r>
          </w:p>
        </w:tc>
        <w:tc>
          <w:tcPr>
            <w:tcW w:type="dxa" w:w="3249"/>
            <w:vAlign w:val="center"/>
          </w:tcPr>
          <w:p>
            <w:r/>
            <w:r>
              <w:rPr>
                <w:rFonts w:ascii="Figtree" w:hAnsi="Figtree"/>
                <w:b w:val="0"/>
                <w:i w:val="0"/>
                <w:sz w:val="22"/>
              </w:rPr>
              <w:t>Commerzbank (&lt;10s)</w:t>
            </w:r>
          </w:p>
        </w:tc>
        <w:tc>
          <w:tcPr>
            <w:tcW w:type="dxa" w:w="3249"/>
            <w:vAlign w:val="center"/>
          </w:tcPr>
          <w:p>
            <w:r/>
            <w:r>
              <w:rPr>
                <w:rFonts w:ascii="Figtree" w:hAnsi="Figtree"/>
                <w:b w:val="0"/>
                <w:i w:val="0"/>
                <w:sz w:val="22"/>
              </w:rPr>
              <w:t>Exchange-grade settlement</w:t>
            </w:r>
          </w:p>
        </w:tc>
      </w:tr>
      <w:tr>
        <w:trPr>
          <w:trHeight w:val="454" w:hRule="atLeast"/>
        </w:trPr>
        <w:tc>
          <w:tcPr>
            <w:tcW w:type="dxa" w:w="3249"/>
            <w:vAlign w:val="center"/>
          </w:tcPr>
          <w:p>
            <w:r/>
            <w:r>
              <w:rPr>
                <w:rFonts w:ascii="Figtree" w:hAnsi="Figtree"/>
                <w:b w:val="0"/>
                <w:i w:val="0"/>
                <w:sz w:val="22"/>
              </w:rPr>
              <w:t>Multi-region institutional</w:t>
            </w:r>
          </w:p>
        </w:tc>
        <w:tc>
          <w:tcPr>
            <w:tcW w:type="dxa" w:w="3249"/>
            <w:vAlign w:val="center"/>
          </w:tcPr>
          <w:p>
            <w:r/>
            <w:r>
              <w:rPr>
                <w:rFonts w:ascii="Figtree" w:hAnsi="Figtree"/>
                <w:b w:val="0"/>
                <w:i w:val="0"/>
                <w:sz w:val="22"/>
              </w:rPr>
              <w:t>Standard Chartered</w:t>
            </w:r>
          </w:p>
        </w:tc>
        <w:tc>
          <w:tcPr>
            <w:tcW w:type="dxa" w:w="3249"/>
            <w:vAlign w:val="center"/>
          </w:tcPr>
          <w:p>
            <w:r/>
            <w:r>
              <w:rPr>
                <w:rFonts w:ascii="Figtree" w:hAnsi="Figtree"/>
                <w:b w:val="0"/>
                <w:i w:val="0"/>
                <w:sz w:val="22"/>
              </w:rPr>
              <w:t>Asia, Africa, ME coverage</w:t>
            </w:r>
          </w:p>
        </w:tc>
      </w:tr>
      <w:tr>
        <w:trPr>
          <w:trHeight w:val="454" w:hRule="atLeast"/>
        </w:trPr>
        <w:tc>
          <w:tcPr>
            <w:tcW w:type="dxa" w:w="3249"/>
            <w:vAlign w:val="center"/>
          </w:tcPr>
          <w:p>
            <w:r/>
            <w:r>
              <w:rPr>
                <w:rFonts w:ascii="Figtree" w:hAnsi="Figtree"/>
                <w:b w:val="0"/>
                <w:i w:val="0"/>
                <w:sz w:val="22"/>
              </w:rPr>
              <w:t>Regulatory compliance</w:t>
            </w:r>
          </w:p>
        </w:tc>
        <w:tc>
          <w:tcPr>
            <w:tcW w:type="dxa" w:w="3249"/>
            <w:vAlign w:val="center"/>
          </w:tcPr>
          <w:p>
            <w:r/>
            <w:r>
              <w:rPr>
                <w:rFonts w:ascii="Figtree" w:hAnsi="Figtree"/>
                <w:b w:val="0"/>
                <w:i w:val="0"/>
                <w:sz w:val="22"/>
              </w:rPr>
              <w:t>Commerzbank (BaFin), OCBC (MAS)</w:t>
            </w:r>
          </w:p>
        </w:tc>
        <w:tc>
          <w:tcPr>
            <w:tcW w:type="dxa" w:w="3249"/>
            <w:vAlign w:val="center"/>
          </w:tcPr>
          <w:p>
            <w:r/>
            <w:r>
              <w:rPr>
                <w:rFonts w:ascii="Figtree" w:hAnsi="Figtree"/>
                <w:b w:val="0"/>
                <w:i w:val="0"/>
                <w:sz w:val="22"/>
              </w:rPr>
              <w:t>Regulated institution deployments</w:t>
            </w:r>
          </w:p>
        </w:tc>
      </w:tr>
      <w:tr>
        <w:trPr>
          <w:trHeight w:val="454" w:hRule="atLeast"/>
        </w:trPr>
        <w:tc>
          <w:tcPr>
            <w:tcW w:type="dxa" w:w="3249"/>
            <w:vAlign w:val="center"/>
          </w:tcPr>
          <w:p>
            <w:r/>
            <w:r>
              <w:rPr>
                <w:rFonts w:ascii="Figtree" w:hAnsi="Figtree"/>
                <w:b w:val="0"/>
                <w:i w:val="0"/>
                <w:sz w:val="22"/>
              </w:rPr>
              <w:t>UAE market context</w:t>
            </w:r>
          </w:p>
        </w:tc>
        <w:tc>
          <w:tcPr>
            <w:tcW w:type="dxa" w:w="3249"/>
            <w:vAlign w:val="center"/>
          </w:tcPr>
          <w:p>
            <w:r/>
            <w:r>
              <w:rPr>
                <w:rFonts w:ascii="Figtree" w:hAnsi="Figtree"/>
                <w:b w:val="0"/>
                <w:i w:val="0"/>
                <w:sz w:val="22"/>
              </w:rPr>
              <w:t>ADI Finstreet, Saudi RER</w:t>
            </w:r>
          </w:p>
        </w:tc>
        <w:tc>
          <w:tcPr>
            <w:tcW w:type="dxa" w:w="3249"/>
            <w:vAlign w:val="center"/>
          </w:tcPr>
          <w:p>
            <w:r/>
            <w:r>
              <w:rPr>
                <w:rFonts w:ascii="Figtree" w:hAnsi="Figtree"/>
                <w:b w:val="0"/>
                <w:i w:val="0"/>
                <w:sz w:val="22"/>
              </w:rPr>
              <w:t>Gulf region programs</w:t>
            </w:r>
          </w:p>
        </w:tc>
      </w:tr>
    </w:tbl>
    <w:p>
      <w:r>
        <w:br w:type="page"/>
      </w:r>
    </w:p>
    <w:p>
      <w:pPr>
        <w:pStyle w:val="H2"/>
        <w:numPr>
          <w:ilvl w:val="1"/>
          <w:numId w:val="1"/>
        </w:numPr>
      </w:pPr>
      <w:r>
        <w:t>Understanding Emirates NBD's Programme Objectives</w:t>
      </w:r>
    </w:p>
    <w:p>
      <w:pPr>
        <w:pStyle w:val="H3"/>
        <w:numPr>
          <w:ilvl w:val="2"/>
          <w:numId w:val="1"/>
        </w:numPr>
      </w:pPr>
      <w:r>
        <w:t>Client Context</w:t>
      </w:r>
    </w:p>
    <w:p>
      <w:r>
        <w:rPr>
          <w:rFonts w:ascii="Figtree" w:hAnsi="Figtree"/>
          <w:b w:val="0"/>
          <w:i w:val="0"/>
          <w:sz w:val="22"/>
        </w:rPr>
        <w:t>Emirates NBD's procurement is grounded in three specific challenges:</w:t>
      </w:r>
    </w:p>
    <w:p>
      <w:r>
        <w:rPr>
          <w:rFonts w:ascii="Figtree" w:hAnsi="Figtree"/>
          <w:b/>
          <w:i w:val="0"/>
          <w:sz w:val="22"/>
        </w:rPr>
        <w:t>First, control integrity.</w:t>
      </w:r>
      <w:r>
        <w:rPr>
          <w:rFonts w:ascii="Figtree" w:hAnsi="Figtree"/>
          <w:b w:val="0"/>
          <w:i w:val="0"/>
          <w:sz w:val="22"/>
        </w:rPr>
        <w:t xml:space="preserve"> The bank must be able to identify who initiated a change or transaction, which policy checks applied, who approved the event, and how the resulting state can be reconstructed later. For tokenized deposits, this extends to deposit certification evidence, limit enforcement, and regulatory reporting lineage. For trade finance, it extends to document presentation chains, milestone approvals, and counterparty verification.</w:t>
      </w:r>
    </w:p>
    <w:p>
      <w:r>
        <w:rPr>
          <w:rFonts w:ascii="Figtree" w:hAnsi="Figtree"/>
          <w:b/>
          <w:i w:val="0"/>
          <w:sz w:val="22"/>
        </w:rPr>
        <w:t>Second, enterprise coexistence.</w:t>
      </w:r>
      <w:r>
        <w:rPr>
          <w:rFonts w:ascii="Figtree" w:hAnsi="Figtree"/>
          <w:b w:val="0"/>
          <w:i w:val="0"/>
          <w:sz w:val="22"/>
        </w:rPr>
        <w:t xml:space="preserve"> The selected solution cannot become a reconciliation sinkhole. It must integrate with Emirates NBD's existing core banking, trade finance back-office, identity services, sanctions and AML tooling, SWIFT gateway, treasury and liquidity management, and regulatory reporting systems without creating hidden operational debt.</w:t>
      </w:r>
    </w:p>
    <w:p>
      <w:r>
        <w:rPr>
          <w:rFonts w:ascii="Figtree" w:hAnsi="Figtree"/>
          <w:b/>
          <w:i w:val="0"/>
          <w:sz w:val="22"/>
        </w:rPr>
        <w:t>Third, phased scalability.</w:t>
      </w:r>
      <w:r>
        <w:rPr>
          <w:rFonts w:ascii="Figtree" w:hAnsi="Figtree"/>
          <w:b w:val="0"/>
          <w:i w:val="0"/>
          <w:sz w:val="22"/>
        </w:rPr>
        <w:t xml:space="preserve"> Emirates NBD wants to move from initial deposit tokenization to broader adoption — trade finance liquidity rails, additional product types, expanded counterparty networks — without a platform reset.</w:t>
      </w:r>
    </w:p>
    <w:p>
      <w:pPr>
        <w:pStyle w:val="H3"/>
        <w:numPr>
          <w:ilvl w:val="2"/>
          <w:numId w:val="1"/>
        </w:numPr>
      </w:pPr>
      <w:r>
        <w:t>Requirement Domains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Domain</w:t>
            </w:r>
          </w:p>
        </w:tc>
        <w:tc>
          <w:tcPr>
            <w:tcW w:type="dxa" w:w="3249"/>
            <w:vAlign w:val="center"/>
            <w:shd w:fill="000099" w:val="clear"/>
          </w:tcPr>
          <w:p>
            <w:r>
              <w:rPr>
                <w:b/>
                <w:color w:val="FFFFFF"/>
              </w:rPr>
            </w:r>
            <w:r>
              <w:rPr>
                <w:rFonts w:ascii="Figtree" w:hAnsi="Figtree"/>
                <w:b/>
                <w:i w:val="0"/>
                <w:color w:val="FFFFFF"/>
                <w:sz w:val="22"/>
              </w:rPr>
              <w:t>Coverage</w:t>
            </w:r>
          </w:p>
        </w:tc>
        <w:tc>
          <w:tcPr>
            <w:tcW w:type="dxa" w:w="3249"/>
            <w:vAlign w:val="center"/>
            <w:shd w:fill="000099" w:val="clear"/>
          </w:tcPr>
          <w:p>
            <w:r>
              <w:rPr>
                <w:b/>
                <w:color w:val="FFFFFF"/>
              </w:rPr>
            </w:r>
            <w:r>
              <w:rPr>
                <w:rFonts w:ascii="Figtree" w:hAnsi="Figtree"/>
                <w:b/>
                <w:i w:val="0"/>
                <w:color w:val="FFFFFF"/>
                <w:sz w:val="22"/>
              </w:rPr>
              <w:t>Key Requirements</w:t>
            </w:r>
          </w:p>
        </w:tc>
      </w:tr>
      <w:tr>
        <w:trPr>
          <w:trHeight w:val="454" w:hRule="atLeast"/>
        </w:trPr>
        <w:tc>
          <w:tcPr>
            <w:tcW w:type="dxa" w:w="3249"/>
            <w:vAlign w:val="center"/>
          </w:tcPr>
          <w:p>
            <w:r/>
            <w:r>
              <w:rPr>
                <w:rFonts w:ascii="Figtree" w:hAnsi="Figtree"/>
                <w:b w:val="0"/>
                <w:i w:val="0"/>
                <w:sz w:val="22"/>
              </w:rPr>
              <w:t>Product / Asset Scope</w:t>
            </w:r>
          </w:p>
        </w:tc>
        <w:tc>
          <w:tcPr>
            <w:tcW w:type="dxa" w:w="3249"/>
            <w:vAlign w:val="center"/>
          </w:tcPr>
          <w:p>
            <w:r/>
            <w:r>
              <w:rPr>
                <w:rFonts w:ascii="Figtree" w:hAnsi="Figtree"/>
                <w:b w:val="0"/>
                <w:i w:val="0"/>
                <w:sz w:val="22"/>
              </w:rPr>
              <w:t>Tokenized deposits, trade finance instruments</w:t>
            </w:r>
          </w:p>
        </w:tc>
        <w:tc>
          <w:tcPr>
            <w:tcW w:type="dxa" w:w="3249"/>
            <w:vAlign w:val="center"/>
          </w:tcPr>
          <w:p>
            <w:r/>
            <w:r>
              <w:rPr>
                <w:rFonts w:ascii="Figtree" w:hAnsi="Figtree"/>
                <w:b w:val="0"/>
                <w:i w:val="0"/>
                <w:sz w:val="22"/>
              </w:rPr>
              <w:t>REQ-04, REQ-09</w:t>
            </w:r>
          </w:p>
        </w:tc>
      </w:tr>
      <w:tr>
        <w:trPr>
          <w:trHeight w:val="454" w:hRule="atLeast"/>
        </w:trPr>
        <w:tc>
          <w:tcPr>
            <w:tcW w:type="dxa" w:w="3249"/>
            <w:vAlign w:val="center"/>
          </w:tcPr>
          <w:p>
            <w:r/>
            <w:r>
              <w:rPr>
                <w:rFonts w:ascii="Figtree" w:hAnsi="Figtree"/>
                <w:b w:val="0"/>
                <w:i w:val="0"/>
                <w:sz w:val="22"/>
              </w:rPr>
              <w:t>Identity / Onboarding</w:t>
            </w:r>
          </w:p>
        </w:tc>
        <w:tc>
          <w:tcPr>
            <w:tcW w:type="dxa" w:w="3249"/>
            <w:vAlign w:val="center"/>
          </w:tcPr>
          <w:p>
            <w:r/>
            <w:r>
              <w:rPr>
                <w:rFonts w:ascii="Figtree" w:hAnsi="Figtree"/>
                <w:b w:val="0"/>
                <w:i w:val="0"/>
                <w:sz w:val="22"/>
              </w:rPr>
              <w:t>Corporate and institutional identity, counterparty verification</w:t>
            </w:r>
          </w:p>
        </w:tc>
        <w:tc>
          <w:tcPr>
            <w:tcW w:type="dxa" w:w="3249"/>
            <w:vAlign w:val="center"/>
          </w:tcPr>
          <w:p>
            <w:r/>
            <w:r>
              <w:rPr>
                <w:rFonts w:ascii="Figtree" w:hAnsi="Figtree"/>
                <w:b w:val="0"/>
                <w:i w:val="0"/>
                <w:sz w:val="22"/>
              </w:rPr>
              <w:t>REQ-03</w:t>
            </w:r>
          </w:p>
        </w:tc>
      </w:tr>
      <w:tr>
        <w:trPr>
          <w:trHeight w:val="454" w:hRule="atLeast"/>
        </w:trPr>
        <w:tc>
          <w:tcPr>
            <w:tcW w:type="dxa" w:w="3249"/>
            <w:vAlign w:val="center"/>
          </w:tcPr>
          <w:p>
            <w:r/>
            <w:r>
              <w:rPr>
                <w:rFonts w:ascii="Figtree" w:hAnsi="Figtree"/>
                <w:b w:val="0"/>
                <w:i w:val="0"/>
                <w:sz w:val="22"/>
              </w:rPr>
              <w:t>Compliance / Control</w:t>
            </w:r>
          </w:p>
        </w:tc>
        <w:tc>
          <w:tcPr>
            <w:tcW w:type="dxa" w:w="3249"/>
            <w:vAlign w:val="center"/>
          </w:tcPr>
          <w:p>
            <w:r/>
            <w:r>
              <w:rPr>
                <w:rFonts w:ascii="Figtree" w:hAnsi="Figtree"/>
                <w:b w:val="0"/>
                <w:i w:val="0"/>
                <w:sz w:val="22"/>
              </w:rPr>
              <w:t>RBAC, maker-checker, audit trails, limit enforcement</w:t>
            </w:r>
          </w:p>
        </w:tc>
        <w:tc>
          <w:tcPr>
            <w:tcW w:type="dxa" w:w="3249"/>
            <w:vAlign w:val="center"/>
          </w:tcPr>
          <w:p>
            <w:r/>
            <w:r>
              <w:rPr>
                <w:rFonts w:ascii="Figtree" w:hAnsi="Figtree"/>
                <w:b w:val="0"/>
                <w:i w:val="0"/>
                <w:sz w:val="22"/>
              </w:rPr>
              <w:t>REQ-03, REQ-08</w:t>
            </w:r>
          </w:p>
        </w:tc>
      </w:tr>
      <w:tr>
        <w:trPr>
          <w:trHeight w:val="454" w:hRule="atLeast"/>
        </w:trPr>
        <w:tc>
          <w:tcPr>
            <w:tcW w:type="dxa" w:w="3249"/>
            <w:vAlign w:val="center"/>
          </w:tcPr>
          <w:p>
            <w:r/>
            <w:r>
              <w:rPr>
                <w:rFonts w:ascii="Figtree" w:hAnsi="Figtree"/>
                <w:b w:val="0"/>
                <w:i w:val="0"/>
                <w:sz w:val="22"/>
              </w:rPr>
              <w:t>Settlement / Cash Leg</w:t>
            </w:r>
          </w:p>
        </w:tc>
        <w:tc>
          <w:tcPr>
            <w:tcW w:type="dxa" w:w="3249"/>
            <w:vAlign w:val="center"/>
          </w:tcPr>
          <w:p>
            <w:r/>
            <w:r>
              <w:rPr>
                <w:rFonts w:ascii="Figtree" w:hAnsi="Figtree"/>
                <w:b w:val="0"/>
                <w:i w:val="0"/>
                <w:sz w:val="22"/>
              </w:rPr>
              <w:t>Atomic DvP, trade milestone settlement, liquidity release</w:t>
            </w:r>
          </w:p>
        </w:tc>
        <w:tc>
          <w:tcPr>
            <w:tcW w:type="dxa" w:w="3249"/>
            <w:vAlign w:val="center"/>
          </w:tcPr>
          <w:p>
            <w:r/>
            <w:r>
              <w:rPr>
                <w:rFonts w:ascii="Figtree" w:hAnsi="Figtree"/>
                <w:b w:val="0"/>
                <w:i w:val="0"/>
                <w:sz w:val="22"/>
              </w:rPr>
              <w:t>REQ-04, REQ-10</w:t>
            </w:r>
          </w:p>
        </w:tc>
      </w:tr>
      <w:tr>
        <w:trPr>
          <w:trHeight w:val="454" w:hRule="atLeast"/>
        </w:trPr>
        <w:tc>
          <w:tcPr>
            <w:tcW w:type="dxa" w:w="3249"/>
            <w:vAlign w:val="center"/>
          </w:tcPr>
          <w:p>
            <w:r/>
            <w:r>
              <w:rPr>
                <w:rFonts w:ascii="Figtree" w:hAnsi="Figtree"/>
                <w:b w:val="0"/>
                <w:i w:val="0"/>
                <w:sz w:val="22"/>
              </w:rPr>
              <w:t>Integration / Reporting</w:t>
            </w:r>
          </w:p>
        </w:tc>
        <w:tc>
          <w:tcPr>
            <w:tcW w:type="dxa" w:w="3249"/>
            <w:vAlign w:val="center"/>
          </w:tcPr>
          <w:p>
            <w:r/>
            <w:r>
              <w:rPr>
                <w:rFonts w:ascii="Figtree" w:hAnsi="Figtree"/>
                <w:b w:val="0"/>
                <w:i w:val="0"/>
                <w:sz w:val="22"/>
              </w:rPr>
              <w:t>Core banking, SWIFT, trade back-office, regulatory reporting</w:t>
            </w:r>
          </w:p>
        </w:tc>
        <w:tc>
          <w:tcPr>
            <w:tcW w:type="dxa" w:w="3249"/>
            <w:vAlign w:val="center"/>
          </w:tcPr>
          <w:p>
            <w:r/>
            <w:r>
              <w:rPr>
                <w:rFonts w:ascii="Figtree" w:hAnsi="Figtree"/>
                <w:b w:val="0"/>
                <w:i w:val="0"/>
                <w:sz w:val="22"/>
              </w:rPr>
              <w:t>REQ-02, REQ-05, REQ-08</w:t>
            </w:r>
          </w:p>
        </w:tc>
      </w:tr>
      <w:tr>
        <w:trPr>
          <w:trHeight w:val="454" w:hRule="atLeast"/>
        </w:trPr>
        <w:tc>
          <w:tcPr>
            <w:tcW w:type="dxa" w:w="3249"/>
            <w:vAlign w:val="center"/>
          </w:tcPr>
          <w:p>
            <w:r/>
            <w:r>
              <w:rPr>
                <w:rFonts w:ascii="Figtree" w:hAnsi="Figtree"/>
                <w:b w:val="0"/>
                <w:i w:val="0"/>
                <w:sz w:val="22"/>
              </w:rPr>
              <w:t>Infrastructure / Operations</w:t>
            </w:r>
          </w:p>
        </w:tc>
        <w:tc>
          <w:tcPr>
            <w:tcW w:type="dxa" w:w="3249"/>
            <w:vAlign w:val="center"/>
          </w:tcPr>
          <w:p>
            <w:r/>
            <w:r>
              <w:rPr>
                <w:rFonts w:ascii="Figtree" w:hAnsi="Figtree"/>
                <w:b w:val="0"/>
                <w:i w:val="0"/>
                <w:sz w:val="22"/>
              </w:rPr>
              <w:t>Multi-environment, resilience, monitoring, incident management</w:t>
            </w:r>
          </w:p>
        </w:tc>
        <w:tc>
          <w:tcPr>
            <w:tcW w:type="dxa" w:w="3249"/>
            <w:vAlign w:val="center"/>
          </w:tcPr>
          <w:p>
            <w:r/>
            <w:r>
              <w:rPr>
                <w:rFonts w:ascii="Figtree" w:hAnsi="Figtree"/>
                <w:b w:val="0"/>
                <w:i w:val="0"/>
                <w:sz w:val="22"/>
              </w:rPr>
              <w:t>REQ-01, REQ-06</w:t>
            </w:r>
          </w:p>
        </w:tc>
      </w:tr>
    </w:tbl>
    <w:p>
      <w:pPr>
        <w:pStyle w:val="H3"/>
        <w:numPr>
          <w:ilvl w:val="2"/>
          <w:numId w:val="1"/>
        </w:numPr>
      </w:pPr>
      <w:r>
        <w:t>Key Challenges Identified</w:t>
      </w:r>
    </w:p>
    <w:p>
      <w:r>
        <w:rPr>
          <w:rFonts w:ascii="Figtree" w:hAnsi="Figtree"/>
          <w:b/>
          <w:i w:val="0"/>
          <w:sz w:val="22"/>
        </w:rPr>
        <w:t>Challenge 1: Deposit tokenization requires deposit-grade controls.</w:t>
      </w:r>
      <w:r>
        <w:rPr>
          <w:rFonts w:ascii="Figtree" w:hAnsi="Figtree"/>
          <w:b w:val="0"/>
          <w:i w:val="0"/>
          <w:sz w:val="22"/>
        </w:rPr>
        <w:t xml:space="preserve"> A tokenized deposit is not just a token — it carries regulatory obligations around deposit protection, capital adequacy treatment, liquidity classification, and disclosure. The platform must enforce these constraints natively, not rely on manual processes to catch violations.</w:t>
      </w:r>
    </w:p>
    <w:p>
      <w:r>
        <w:rPr>
          <w:rFonts w:ascii="Figtree" w:hAnsi="Figtree"/>
          <w:b/>
          <w:i w:val="0"/>
          <w:sz w:val="22"/>
        </w:rPr>
        <w:t>Challenge 2: Trade finance workflows are multi-party and document-linked.</w:t>
      </w:r>
      <w:r>
        <w:rPr>
          <w:rFonts w:ascii="Figtree" w:hAnsi="Figtree"/>
          <w:b w:val="0"/>
          <w:i w:val="0"/>
          <w:sz w:val="22"/>
        </w:rPr>
        <w:t xml:space="preserve"> Unlike simple token transfers, trade finance operations involve document presentation, milestone verification, counterparty approvals, limit allocation, and conditional liquidity release. These workflows must execute durably — surviving system restarts, partner outages, and governance delays — with complete audit evidence.</w:t>
      </w:r>
    </w:p>
    <w:p>
      <w:r>
        <w:rPr>
          <w:rFonts w:ascii="Figtree" w:hAnsi="Figtree"/>
          <w:b/>
          <w:i w:val="0"/>
          <w:sz w:val="22"/>
        </w:rPr>
        <w:t>Challenge 3: Reconciliation cannot be an afterthought.</w:t>
      </w:r>
      <w:r>
        <w:rPr>
          <w:rFonts w:ascii="Figtree" w:hAnsi="Figtree"/>
          <w:b w:val="0"/>
          <w:i w:val="0"/>
          <w:sz w:val="22"/>
        </w:rPr>
        <w:t xml:space="preserve"> Every tokenized deposit and trade finance transaction must reconcile to Emirates NBD's core books-and-records systems. The integration architecture must produce reconciliation-ready data, not require manual extraction and transformation.</w:t>
      </w:r>
    </w:p>
    <w:p>
      <w:r>
        <w:rPr>
          <w:rFonts w:ascii="Figtree" w:hAnsi="Figtree"/>
          <w:b/>
          <w:i w:val="0"/>
          <w:sz w:val="22"/>
        </w:rPr>
        <w:t>Challenge 4: UAE regulatory context is evolving.</w:t>
      </w:r>
      <w:r>
        <w:rPr>
          <w:rFonts w:ascii="Figtree" w:hAnsi="Figtree"/>
          <w:b w:val="0"/>
          <w:i w:val="0"/>
          <w:sz w:val="22"/>
        </w:rPr>
        <w:t xml:space="preserve"> The CBUAE, DFSA, ADGM, and SCA frameworks are maturing rapidly. The platform must be configurable enough to adapt to regulatory changes without redeployment, and honest enough to distinguish between current compliance coverage and planned enhancements.</w:t>
      </w:r>
    </w:p>
    <w:p>
      <w:pPr>
        <w:pStyle w:val="H3"/>
        <w:numPr>
          <w:ilvl w:val="2"/>
          <w:numId w:val="1"/>
        </w:numPr>
      </w:pPr>
      <w:r>
        <w:t>Response Principles</w:t>
      </w:r>
    </w:p>
    <w:p>
      <w:pPr>
        <w:pStyle w:val="ListParagraph"/>
        <w:numPr>
          <w:ilvl w:val="0"/>
          <w:numId w:val="6"/>
        </w:numPr>
      </w:pPr>
      <w:r>
        <w:rPr>
          <w:rFonts w:ascii="Figtree" w:hAnsi="Figtree"/>
          <w:b/>
          <w:i w:val="0"/>
          <w:sz w:val="22"/>
        </w:rPr>
        <w:t>Control before speed</w:t>
      </w:r>
      <w:r>
        <w:rPr>
          <w:rFonts w:ascii="Figtree" w:hAnsi="Figtree"/>
          <w:b w:val="0"/>
          <w:i w:val="0"/>
          <w:sz w:val="22"/>
        </w:rPr>
        <w:t xml:space="preserve"> — every capability is evaluated for its governance implications, not just its functional output</w:t>
      </w:r>
    </w:p>
    <w:p>
      <w:pPr>
        <w:pStyle w:val="ListParagraph"/>
        <w:numPr>
          <w:ilvl w:val="0"/>
          <w:numId w:val="6"/>
        </w:numPr>
      </w:pPr>
      <w:r>
        <w:rPr>
          <w:rFonts w:ascii="Figtree" w:hAnsi="Figtree"/>
          <w:b/>
          <w:i w:val="0"/>
          <w:sz w:val="22"/>
        </w:rPr>
        <w:t>Reuse before fragmentation</w:t>
      </w:r>
      <w:r>
        <w:rPr>
          <w:rFonts w:ascii="Figtree" w:hAnsi="Figtree"/>
          <w:b w:val="0"/>
          <w:i w:val="0"/>
          <w:sz w:val="22"/>
        </w:rPr>
        <w:t xml:space="preserve"> — a single platform with consistent compliance rather than point solutions assembled per use case</w:t>
      </w:r>
    </w:p>
    <w:p>
      <w:pPr>
        <w:pStyle w:val="ListParagraph"/>
        <w:numPr>
          <w:ilvl w:val="0"/>
          <w:numId w:val="6"/>
        </w:numPr>
      </w:pPr>
      <w:r>
        <w:rPr>
          <w:rFonts w:ascii="Figtree" w:hAnsi="Figtree"/>
          <w:b/>
          <w:i w:val="0"/>
          <w:sz w:val="22"/>
        </w:rPr>
        <w:t>Phased delivery</w:t>
      </w:r>
      <w:r>
        <w:rPr>
          <w:rFonts w:ascii="Figtree" w:hAnsi="Figtree"/>
          <w:b w:val="0"/>
          <w:i w:val="0"/>
          <w:sz w:val="22"/>
        </w:rPr>
        <w:t xml:space="preserve"> — production value within 13 weeks, with expansion through configuration rather than re-architecture</w:t>
      </w:r>
    </w:p>
    <w:p>
      <w:pPr>
        <w:pStyle w:val="ListParagraph"/>
        <w:numPr>
          <w:ilvl w:val="0"/>
          <w:numId w:val="6"/>
        </w:numPr>
      </w:pPr>
      <w:r>
        <w:rPr>
          <w:rFonts w:ascii="Figtree" w:hAnsi="Figtree"/>
          <w:b/>
          <w:i w:val="0"/>
          <w:sz w:val="22"/>
        </w:rPr>
        <w:t>Evidence-led compliance</w:t>
      </w:r>
      <w:r>
        <w:rPr>
          <w:rFonts w:ascii="Figtree" w:hAnsi="Figtree"/>
          <w:b w:val="0"/>
          <w:i w:val="0"/>
          <w:sz w:val="22"/>
        </w:rPr>
        <w:t xml:space="preserve"> — every claim backed by source references, every gap disclosed with mitigation</w:t>
      </w:r>
    </w:p>
    <w:p>
      <w:pPr>
        <w:jc w:val="center"/>
      </w:pPr>
      <w:r>
        <w:drawing>
          <wp:inline xmlns:a="http://schemas.openxmlformats.org/drawingml/2006/main" xmlns:pic="http://schemas.openxmlformats.org/drawingml/2006/picture">
            <wp:extent cx="5486400" cy="101470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014704"/>
                    </a:xfrm>
                    <a:prstGeom prst="rect"/>
                  </pic:spPr>
                </pic:pic>
              </a:graphicData>
            </a:graphic>
          </wp:inline>
        </w:drawing>
      </w:r>
    </w:p>
    <w:p>
      <w:r>
        <w:br w:type="page"/>
      </w:r>
    </w:p>
    <w:p>
      <w:pPr>
        <w:pStyle w:val="H2"/>
        <w:numPr>
          <w:ilvl w:val="1"/>
          <w:numId w:val="1"/>
        </w:numPr>
      </w:pPr>
      <w:r>
        <w:t>Proposed Solution and Functional Capabilities</w:t>
      </w:r>
    </w:p>
    <w:p>
      <w:pPr>
        <w:pStyle w:val="H3"/>
        <w:numPr>
          <w:ilvl w:val="2"/>
          <w:numId w:val="1"/>
        </w:numPr>
      </w:pPr>
      <w:r>
        <w:t>Solution Overview</w:t>
      </w:r>
    </w:p>
    <w:p>
      <w:r>
        <w:rPr>
          <w:rFonts w:ascii="Figtree" w:hAnsi="Figtree"/>
          <w:b w:val="0"/>
          <w:i w:val="0"/>
          <w:sz w:val="22"/>
        </w:rPr>
        <w:t>The proposed solution deploys DALP as Emirates NBD's digital asset lifecycle platform, covering two primary product streams:</w:t>
      </w:r>
    </w:p>
    <w:p>
      <w:pPr>
        <w:pStyle w:val="ListParagraph"/>
        <w:numPr>
          <w:ilvl w:val="0"/>
          <w:numId w:val="7"/>
        </w:numPr>
      </w:pPr>
      <w:r>
        <w:rPr>
          <w:rFonts w:ascii="Figtree" w:hAnsi="Figtree"/>
          <w:b/>
          <w:i w:val="0"/>
          <w:sz w:val="22"/>
        </w:rPr>
        <w:t>Tokenized Deposits:</w:t>
      </w:r>
      <w:r>
        <w:rPr>
          <w:rFonts w:ascii="Figtree" w:hAnsi="Figtree"/>
          <w:b w:val="0"/>
          <w:i w:val="0"/>
          <w:sz w:val="22"/>
        </w:rPr>
        <w:t xml:space="preserve"> Institutional bank deposits represented as on-chain tokens, enabling atomic settlement, real-time portfolio visibility, and programmable lifecycle events (interest accrual, maturity redemption, early withdrawal)</w:t>
      </w:r>
    </w:p>
    <w:p>
      <w:pPr>
        <w:pStyle w:val="ListParagraph"/>
        <w:numPr>
          <w:ilvl w:val="0"/>
          <w:numId w:val="7"/>
        </w:numPr>
      </w:pPr>
      <w:r>
        <w:rPr>
          <w:rFonts w:ascii="Figtree" w:hAnsi="Figtree"/>
          <w:b/>
          <w:i w:val="0"/>
          <w:sz w:val="22"/>
        </w:rPr>
        <w:t>Trade Finance Liquidity Rails:</w:t>
      </w:r>
      <w:r>
        <w:rPr>
          <w:rFonts w:ascii="Figtree" w:hAnsi="Figtree"/>
          <w:b w:val="0"/>
          <w:i w:val="0"/>
          <w:sz w:val="22"/>
        </w:rPr>
        <w:t xml:space="preserve"> Tokenized trade finance instruments (letters of credit, bills of exchange, receivables) with document-linked workflows, multi-party approvals, milestone-based liquidity release, and counterparty limit management</w:t>
      </w:r>
    </w:p>
    <w:p>
      <w:r>
        <w:rPr>
          <w:rFonts w:ascii="Figtree" w:hAnsi="Figtree"/>
          <w:b w:val="0"/>
          <w:i w:val="0"/>
          <w:sz w:val="22"/>
        </w:rPr>
        <w:t>Both streams operate on a single DALP instance with shared identity infrastructure, compliance engine, and settlement layer. This eliminates the fragmentation that would result from deploying separate solutions for deposits and trade finance.</w:t>
      </w:r>
    </w:p>
    <w:p>
      <w:r>
        <w:rPr>
          <w:rFonts w:ascii="Figtree" w:hAnsi="Figtree"/>
          <w:b/>
          <w:i w:val="0"/>
          <w:sz w:val="22"/>
        </w:rPr>
        <w:t>Solution boundary:</w:t>
      </w:r>
      <w:r>
        <w:rPr>
          <w:rFonts w:ascii="Figtree" w:hAnsi="Figtree"/>
          <w:b w:val="0"/>
          <w:i w:val="0"/>
          <w:sz w:val="22"/>
        </w:rPr>
        <w:t xml:space="preserve"> DALP provides the tokenization, compliance, settlement, and workflow orchestration layer. Emirates NBD retains ownership of business policy, product approval, regulatory engagement, and customer-facing channels. Integration to core banking, trade finance back-office, SWIFT gateway, and regulatory reporting is delivered through DALP's API surface during the implementation phase.</w:t>
      </w:r>
    </w:p>
    <w:p>
      <w:r>
        <w:rPr>
          <w:rFonts w:ascii="Figtree" w:hAnsi="Figtree"/>
          <w:b/>
          <w:i w:val="0"/>
          <w:sz w:val="22"/>
        </w:rPr>
        <w:t>Deployment assumption:</w:t>
      </w:r>
      <w:r>
        <w:rPr>
          <w:rFonts w:ascii="Figtree" w:hAnsi="Figtree"/>
          <w:b w:val="0"/>
          <w:i w:val="0"/>
          <w:sz w:val="22"/>
        </w:rPr>
        <w:t xml:space="preserve"> Dedicated cloud deployment on UAE-resident infrastructure (AWS Middle East - Bahrain or Azure UAE North), ensuring data residency compliance and low-latency connectivity to Emirates NBD's existing systems.</w:t>
      </w:r>
    </w:p>
    <w:p>
      <w:pPr>
        <w:pStyle w:val="H3"/>
        <w:numPr>
          <w:ilvl w:val="2"/>
          <w:numId w:val="1"/>
        </w:numPr>
      </w:pPr>
      <w:r>
        <w:t>Issuance and Asset Configuration</w:t>
      </w:r>
    </w:p>
    <w:p>
      <w:r>
        <w:rPr>
          <w:rFonts w:ascii="Figtree" w:hAnsi="Figtree"/>
          <w:b w:val="0"/>
          <w:i w:val="0"/>
          <w:sz w:val="22"/>
        </w:rPr>
        <w:t>DALP's Asset Designer enables Emirates NBD to configure tokenized deposits and trade finance instruments without custom smart contract development:</w:t>
      </w:r>
    </w:p>
    <w:p>
      <w:r>
        <w:rPr>
          <w:rFonts w:ascii="Figtree" w:hAnsi="Figtree"/>
          <w:b/>
          <w:i w:val="0"/>
          <w:sz w:val="22"/>
        </w:rPr>
        <w:t>Tokenized Deposits:</w:t>
      </w:r>
      <w:r>
        <w:rPr>
          <w:rFonts w:ascii="Figtree" w:hAnsi="Figtree"/>
          <w:b w:val="0"/>
          <w:i w:val="0"/>
          <w:sz w:val="22"/>
        </w:rPr>
        <w:t xml:space="preserve"> Configured as Cash Equivalent / Deposit asset type with:</w:t>
      </w:r>
    </w:p>
    <w:p>
      <w:pPr>
        <w:pStyle w:val="ListParagraph"/>
        <w:numPr>
          <w:ilvl w:val="0"/>
          <w:numId w:val="4"/>
        </w:numPr>
      </w:pPr>
      <w:r>
        <w:rPr>
          <w:rFonts w:ascii="Figtree" w:hAnsi="Figtree"/>
          <w:b w:val="0"/>
          <w:i w:val="0"/>
          <w:sz w:val="22"/>
        </w:rPr>
        <w:t>Denomination asset linking (AED stablecoin or settlement token for DvP)</w:t>
      </w:r>
    </w:p>
    <w:p>
      <w:pPr>
        <w:pStyle w:val="ListParagraph"/>
        <w:numPr>
          <w:ilvl w:val="0"/>
          <w:numId w:val="4"/>
        </w:numPr>
      </w:pPr>
      <w:r>
        <w:rPr>
          <w:rFonts w:ascii="Figtree" w:hAnsi="Figtree"/>
          <w:b w:val="0"/>
          <w:i w:val="0"/>
          <w:sz w:val="22"/>
        </w:rPr>
        <w:t>Maximum supply and investor count limits</w:t>
      </w:r>
    </w:p>
    <w:p>
      <w:pPr>
        <w:pStyle w:val="ListParagraph"/>
        <w:numPr>
          <w:ilvl w:val="0"/>
          <w:numId w:val="4"/>
        </w:numPr>
      </w:pPr>
      <w:r>
        <w:rPr>
          <w:rFonts w:ascii="Figtree" w:hAnsi="Figtree"/>
          <w:b w:val="0"/>
          <w:i w:val="0"/>
          <w:sz w:val="22"/>
        </w:rPr>
        <w:t>Maturity and redemption features (automatic maturity processing)</w:t>
      </w:r>
    </w:p>
    <w:p>
      <w:pPr>
        <w:pStyle w:val="ListParagraph"/>
        <w:numPr>
          <w:ilvl w:val="0"/>
          <w:numId w:val="4"/>
        </w:numPr>
      </w:pPr>
      <w:r>
        <w:rPr>
          <w:rFonts w:ascii="Figtree" w:hAnsi="Figtree"/>
          <w:b w:val="0"/>
          <w:i w:val="0"/>
          <w:sz w:val="22"/>
        </w:rPr>
        <w:t>Fixed treasury yield (interest accrual and distribution)</w:t>
      </w:r>
    </w:p>
    <w:p>
      <w:pPr>
        <w:pStyle w:val="ListParagraph"/>
        <w:numPr>
          <w:ilvl w:val="0"/>
          <w:numId w:val="4"/>
        </w:numPr>
      </w:pPr>
      <w:r>
        <w:rPr>
          <w:rFonts w:ascii="Figtree" w:hAnsi="Figtree"/>
          <w:b w:val="0"/>
          <w:i w:val="0"/>
          <w:sz w:val="22"/>
        </w:rPr>
        <w:t>Identity verification and country restriction modules</w:t>
      </w:r>
    </w:p>
    <w:p>
      <w:pPr>
        <w:pStyle w:val="ListParagraph"/>
        <w:numPr>
          <w:ilvl w:val="0"/>
          <w:numId w:val="4"/>
        </w:numPr>
      </w:pPr>
      <w:r>
        <w:rPr>
          <w:rFonts w:ascii="Figtree" w:hAnsi="Figtree"/>
          <w:b w:val="0"/>
          <w:i w:val="0"/>
          <w:sz w:val="22"/>
        </w:rPr>
        <w:t>Transfer approval workflows for institutional-grade governance</w:t>
      </w:r>
    </w:p>
    <w:p>
      <w:r>
        <w:rPr>
          <w:rFonts w:ascii="Figtree" w:hAnsi="Figtree"/>
          <w:b/>
          <w:i w:val="0"/>
          <w:sz w:val="22"/>
        </w:rPr>
        <w:t>Trade Finance Instruments:</w:t>
      </w:r>
      <w:r>
        <w:rPr>
          <w:rFonts w:ascii="Figtree" w:hAnsi="Figtree"/>
          <w:b w:val="0"/>
          <w:i w:val="0"/>
          <w:sz w:val="22"/>
        </w:rPr>
        <w:t xml:space="preserve"> Configured as DALPAsset (Configurable) with:</w:t>
      </w:r>
    </w:p>
    <w:p>
      <w:pPr>
        <w:pStyle w:val="ListParagraph"/>
        <w:numPr>
          <w:ilvl w:val="0"/>
          <w:numId w:val="4"/>
        </w:numPr>
      </w:pPr>
      <w:r>
        <w:rPr>
          <w:rFonts w:ascii="Figtree" w:hAnsi="Figtree"/>
          <w:b w:val="0"/>
          <w:i w:val="0"/>
          <w:sz w:val="22"/>
        </w:rPr>
        <w:t>Document reference metadata linked at issuance</w:t>
      </w:r>
    </w:p>
    <w:p>
      <w:pPr>
        <w:pStyle w:val="ListParagraph"/>
        <w:numPr>
          <w:ilvl w:val="0"/>
          <w:numId w:val="4"/>
        </w:numPr>
      </w:pPr>
      <w:r>
        <w:rPr>
          <w:rFonts w:ascii="Figtree" w:hAnsi="Figtree"/>
          <w:b w:val="0"/>
          <w:i w:val="0"/>
          <w:sz w:val="22"/>
        </w:rPr>
        <w:t>Milestone-based feature composition</w:t>
      </w:r>
    </w:p>
    <w:p>
      <w:pPr>
        <w:pStyle w:val="ListParagraph"/>
        <w:numPr>
          <w:ilvl w:val="0"/>
          <w:numId w:val="4"/>
        </w:numPr>
      </w:pPr>
      <w:r>
        <w:rPr>
          <w:rFonts w:ascii="Figtree" w:hAnsi="Figtree"/>
          <w:b w:val="0"/>
          <w:i w:val="0"/>
          <w:sz w:val="22"/>
        </w:rPr>
        <w:t>Counterparty identity verification</w:t>
      </w:r>
    </w:p>
    <w:p>
      <w:pPr>
        <w:pStyle w:val="ListParagraph"/>
        <w:numPr>
          <w:ilvl w:val="0"/>
          <w:numId w:val="4"/>
        </w:numPr>
      </w:pPr>
      <w:r>
        <w:rPr>
          <w:rFonts w:ascii="Figtree" w:hAnsi="Figtree"/>
          <w:b w:val="0"/>
          <w:i w:val="0"/>
          <w:sz w:val="22"/>
        </w:rPr>
        <w:t>Transfer restrictions (nominated counterparties only)</w:t>
      </w:r>
    </w:p>
    <w:p>
      <w:pPr>
        <w:pStyle w:val="ListParagraph"/>
        <w:numPr>
          <w:ilvl w:val="0"/>
          <w:numId w:val="4"/>
        </w:numPr>
      </w:pPr>
      <w:r>
        <w:rPr>
          <w:rFonts w:ascii="Figtree" w:hAnsi="Figtree"/>
          <w:b w:val="0"/>
          <w:i w:val="0"/>
          <w:sz w:val="22"/>
        </w:rPr>
        <w:t>Timelock modules (holding period enforcement)</w:t>
      </w:r>
    </w:p>
    <w:p>
      <w:pPr>
        <w:pStyle w:val="ListParagraph"/>
        <w:numPr>
          <w:ilvl w:val="0"/>
          <w:numId w:val="4"/>
        </w:numPr>
      </w:pPr>
      <w:r>
        <w:rPr>
          <w:rFonts w:ascii="Figtree" w:hAnsi="Figtree"/>
          <w:b w:val="0"/>
          <w:i w:val="0"/>
          <w:sz w:val="22"/>
        </w:rPr>
        <w:t>Collateral requirement modules (underlying asset verification)</w:t>
      </w:r>
    </w:p>
    <w:p>
      <w:r>
        <w:rPr>
          <w:rFonts w:ascii="Figtree" w:hAnsi="Figtree"/>
          <w:b w:val="0"/>
          <w:i w:val="0"/>
          <w:sz w:val="22"/>
        </w:rPr>
        <w:t>All configuration is performed through DALP's API or UI, producing audited, production-ready token contracts that inherit the security guarantees of the SMART Protocol (ERC-3643).</w:t>
      </w:r>
    </w:p>
    <w:p>
      <w:pPr>
        <w:pStyle w:val="H3"/>
        <w:numPr>
          <w:ilvl w:val="2"/>
          <w:numId w:val="1"/>
        </w:numPr>
      </w:pPr>
      <w:r>
        <w:t>Identity and Eligibility</w:t>
      </w:r>
    </w:p>
    <w:p>
      <w:r>
        <w:rPr>
          <w:rFonts w:ascii="Figtree" w:hAnsi="Figtree"/>
          <w:b w:val="0"/>
          <w:i w:val="0"/>
          <w:sz w:val="22"/>
        </w:rPr>
        <w:t>OnchainID provides the on-chain identity layer for all participants:</w:t>
      </w:r>
    </w:p>
    <w:p>
      <w:pPr>
        <w:pStyle w:val="ListParagraph"/>
        <w:numPr>
          <w:ilvl w:val="0"/>
          <w:numId w:val="4"/>
        </w:numPr>
      </w:pPr>
      <w:r>
        <w:rPr>
          <w:rFonts w:ascii="Figtree" w:hAnsi="Figtree"/>
          <w:b/>
          <w:i w:val="0"/>
          <w:sz w:val="22"/>
        </w:rPr>
        <w:t>Corporate identity registration:</w:t>
      </w:r>
      <w:r>
        <w:rPr>
          <w:rFonts w:ascii="Figtree" w:hAnsi="Figtree"/>
          <w:b w:val="0"/>
          <w:i w:val="0"/>
          <w:sz w:val="22"/>
        </w:rPr>
        <w:t xml:space="preserve"> Emirates NBD, counterparty banks, institutional investors, and trade finance participants each receive OnchainID credentials with verifiable KYC/AML claims</w:t>
      </w:r>
    </w:p>
    <w:p>
      <w:pPr>
        <w:pStyle w:val="ListParagraph"/>
        <w:numPr>
          <w:ilvl w:val="0"/>
          <w:numId w:val="4"/>
        </w:numPr>
      </w:pPr>
      <w:r>
        <w:rPr>
          <w:rFonts w:ascii="Figtree" w:hAnsi="Figtree"/>
          <w:b/>
          <w:i w:val="0"/>
          <w:sz w:val="22"/>
        </w:rPr>
        <w:t>Trusted issuer model:</w:t>
      </w:r>
      <w:r>
        <w:rPr>
          <w:rFonts w:ascii="Figtree" w:hAnsi="Figtree"/>
          <w:b w:val="0"/>
          <w:i w:val="0"/>
          <w:sz w:val="22"/>
        </w:rPr>
        <w:t xml:space="preserve"> Emirates NBD acts as a trusted issuer within its DALP instance, with authority to verify and attest identity claims for participants in its ecosystem</w:t>
      </w:r>
    </w:p>
    <w:p>
      <w:pPr>
        <w:pStyle w:val="ListParagraph"/>
        <w:numPr>
          <w:ilvl w:val="0"/>
          <w:numId w:val="4"/>
        </w:numPr>
      </w:pPr>
      <w:r>
        <w:rPr>
          <w:rFonts w:ascii="Figtree" w:hAnsi="Figtree"/>
          <w:b/>
          <w:i w:val="0"/>
          <w:sz w:val="22"/>
        </w:rPr>
        <w:t>Claims-based eligibility:</w:t>
      </w:r>
      <w:r>
        <w:rPr>
          <w:rFonts w:ascii="Figtree" w:hAnsi="Figtree"/>
          <w:b w:val="0"/>
          <w:i w:val="0"/>
          <w:sz w:val="22"/>
        </w:rPr>
        <w:t xml:space="preserve"> Transfer eligibility is evaluated based on identity claims (jurisdiction, accreditation level, entity type) rather than static address whitelists</w:t>
      </w:r>
    </w:p>
    <w:p>
      <w:pPr>
        <w:pStyle w:val="ListParagraph"/>
        <w:numPr>
          <w:ilvl w:val="0"/>
          <w:numId w:val="4"/>
        </w:numPr>
      </w:pPr>
      <w:r>
        <w:rPr>
          <w:rFonts w:ascii="Figtree" w:hAnsi="Figtree"/>
          <w:b/>
          <w:i w:val="0"/>
          <w:sz w:val="22"/>
        </w:rPr>
        <w:t>Onboarding workflow:</w:t>
      </w:r>
      <w:r>
        <w:rPr>
          <w:rFonts w:ascii="Figtree" w:hAnsi="Figtree"/>
          <w:b w:val="0"/>
          <w:i w:val="0"/>
          <w:sz w:val="22"/>
        </w:rPr>
        <w:t xml:space="preserve"> Integration with Emirates NBD's existing KYC/AML systems feeds identity verification outcomes into OnchainID claims, maintaining a single source of truth</w:t>
      </w:r>
    </w:p>
    <w:p>
      <w:pPr>
        <w:pStyle w:val="H3"/>
        <w:numPr>
          <w:ilvl w:val="2"/>
          <w:numId w:val="1"/>
        </w:numPr>
      </w:pPr>
      <w:r>
        <w:t>Compliance Enforcement</w:t>
      </w:r>
    </w:p>
    <w:p>
      <w:r>
        <w:rPr>
          <w:rFonts w:ascii="Figtree" w:hAnsi="Figtree"/>
          <w:b w:val="0"/>
          <w:i w:val="0"/>
          <w:sz w:val="22"/>
        </w:rPr>
        <w:t>The compliance engine operates at the smart contract level, enforcing rules before transaction execution:</w:t>
      </w:r>
    </w:p>
    <w:p>
      <w:pPr>
        <w:jc w:val="center"/>
      </w:pPr>
      <w:r>
        <w:drawing>
          <wp:inline xmlns:a="http://schemas.openxmlformats.org/drawingml/2006/main" xmlns:pic="http://schemas.openxmlformats.org/drawingml/2006/picture">
            <wp:extent cx="5486400" cy="503153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031533"/>
                    </a:xfrm>
                    <a:prstGeom prst="rect"/>
                  </pic:spPr>
                </pic:pic>
              </a:graphicData>
            </a:graphic>
          </wp:inline>
        </w:drawing>
      </w:r>
    </w:p>
    <w:p>
      <w:r>
        <w:rPr>
          <w:rFonts w:ascii="Figtree" w:hAnsi="Figtree"/>
          <w:b/>
          <w:i w:val="0"/>
          <w:sz w:val="22"/>
        </w:rPr>
        <w:t>Module composition for Emirates NBD deposits:</w:t>
      </w:r>
    </w:p>
    <w:p>
      <w:pPr>
        <w:pStyle w:val="ListParagraph"/>
        <w:numPr>
          <w:ilvl w:val="0"/>
          <w:numId w:val="8"/>
        </w:numPr>
      </w:pPr>
      <w:r>
        <w:rPr>
          <w:rFonts w:ascii="Figtree" w:hAnsi="Figtree"/>
          <w:b w:val="0"/>
          <w:i w:val="0"/>
          <w:sz w:val="22"/>
        </w:rPr>
        <w:t>Identity verification (mandatory for all transfers)</w:t>
      </w:r>
    </w:p>
    <w:p>
      <w:pPr>
        <w:pStyle w:val="ListParagraph"/>
        <w:numPr>
          <w:ilvl w:val="0"/>
          <w:numId w:val="8"/>
        </w:numPr>
      </w:pPr>
      <w:r>
        <w:rPr>
          <w:rFonts w:ascii="Figtree" w:hAnsi="Figtree"/>
          <w:b w:val="0"/>
          <w:i w:val="0"/>
          <w:sz w:val="22"/>
        </w:rPr>
        <w:t>Country allow list (UAE and approved jurisdictions)</w:t>
      </w:r>
    </w:p>
    <w:p>
      <w:pPr>
        <w:pStyle w:val="ListParagraph"/>
        <w:numPr>
          <w:ilvl w:val="0"/>
          <w:numId w:val="8"/>
        </w:numPr>
      </w:pPr>
      <w:r>
        <w:rPr>
          <w:rFonts w:ascii="Figtree" w:hAnsi="Figtree"/>
          <w:b w:val="0"/>
          <w:i w:val="0"/>
          <w:sz w:val="22"/>
        </w:rPr>
        <w:t>Investor count limit (regulatory cap on depositors)</w:t>
      </w:r>
    </w:p>
    <w:p>
      <w:pPr>
        <w:pStyle w:val="ListParagraph"/>
        <w:numPr>
          <w:ilvl w:val="0"/>
          <w:numId w:val="8"/>
        </w:numPr>
      </w:pPr>
      <w:r>
        <w:rPr>
          <w:rFonts w:ascii="Figtree" w:hAnsi="Figtree"/>
          <w:b w:val="0"/>
          <w:i w:val="0"/>
          <w:sz w:val="22"/>
        </w:rPr>
        <w:t>Transfer approval (maker-checker for large transfers)</w:t>
      </w:r>
    </w:p>
    <w:p>
      <w:pPr>
        <w:pStyle w:val="ListParagraph"/>
        <w:numPr>
          <w:ilvl w:val="0"/>
          <w:numId w:val="8"/>
        </w:numPr>
      </w:pPr>
      <w:r>
        <w:rPr>
          <w:rFonts w:ascii="Figtree" w:hAnsi="Figtree"/>
          <w:b w:val="0"/>
          <w:i w:val="0"/>
          <w:sz w:val="22"/>
        </w:rPr>
        <w:t>Collateral requirement (for secured deposit instruments)</w:t>
      </w:r>
    </w:p>
    <w:p>
      <w:r>
        <w:rPr>
          <w:rFonts w:ascii="Figtree" w:hAnsi="Figtree"/>
          <w:b/>
          <w:i w:val="0"/>
          <w:sz w:val="22"/>
        </w:rPr>
        <w:t>Module composition for trade finance instruments:</w:t>
      </w:r>
    </w:p>
    <w:p>
      <w:pPr>
        <w:pStyle w:val="ListParagraph"/>
        <w:numPr>
          <w:ilvl w:val="0"/>
          <w:numId w:val="9"/>
        </w:numPr>
      </w:pPr>
      <w:r>
        <w:rPr>
          <w:rFonts w:ascii="Figtree" w:hAnsi="Figtree"/>
          <w:b w:val="0"/>
          <w:i w:val="0"/>
          <w:sz w:val="22"/>
        </w:rPr>
        <w:t>Identity verification (counterparty verification)</w:t>
      </w:r>
    </w:p>
    <w:p>
      <w:pPr>
        <w:pStyle w:val="ListParagraph"/>
        <w:numPr>
          <w:ilvl w:val="0"/>
          <w:numId w:val="9"/>
        </w:numPr>
      </w:pPr>
      <w:r>
        <w:rPr>
          <w:rFonts w:ascii="Figtree" w:hAnsi="Figtree"/>
          <w:b w:val="0"/>
          <w:i w:val="0"/>
          <w:sz w:val="22"/>
        </w:rPr>
        <w:t>Address allow list (nominated counterparties only)</w:t>
      </w:r>
    </w:p>
    <w:p>
      <w:pPr>
        <w:pStyle w:val="ListParagraph"/>
        <w:numPr>
          <w:ilvl w:val="0"/>
          <w:numId w:val="9"/>
        </w:numPr>
      </w:pPr>
      <w:r>
        <w:rPr>
          <w:rFonts w:ascii="Figtree" w:hAnsi="Figtree"/>
          <w:b w:val="0"/>
          <w:i w:val="0"/>
          <w:sz w:val="22"/>
        </w:rPr>
        <w:t>Transfer approval (multi-party workflow)</w:t>
      </w:r>
    </w:p>
    <w:p>
      <w:pPr>
        <w:pStyle w:val="ListParagraph"/>
        <w:numPr>
          <w:ilvl w:val="0"/>
          <w:numId w:val="9"/>
        </w:numPr>
      </w:pPr>
      <w:r>
        <w:rPr>
          <w:rFonts w:ascii="Figtree" w:hAnsi="Figtree"/>
          <w:b w:val="0"/>
          <w:i w:val="0"/>
          <w:sz w:val="22"/>
        </w:rPr>
        <w:t>Timelock (minimum holding period for liquidity instruments)</w:t>
      </w:r>
    </w:p>
    <w:p>
      <w:pPr>
        <w:pStyle w:val="H3"/>
        <w:numPr>
          <w:ilvl w:val="2"/>
          <w:numId w:val="1"/>
        </w:numPr>
      </w:pPr>
      <w:r>
        <w:t>Transfer, Settlement, and Cash-Leg Coordination</w:t>
      </w:r>
    </w:p>
    <w:p>
      <w:r>
        <w:rPr>
          <w:rFonts w:ascii="Figtree" w:hAnsi="Figtree"/>
          <w:b w:val="0"/>
          <w:i w:val="0"/>
          <w:sz w:val="22"/>
        </w:rPr>
        <w:t>DALP's XvP (Exchange versus Payment) settlement addon provides atomic delivery-versus-payment for tokenized deposits:</w:t>
      </w:r>
    </w:p>
    <w:p>
      <w:pPr>
        <w:pStyle w:val="ListParagraph"/>
        <w:numPr>
          <w:ilvl w:val="0"/>
          <w:numId w:val="4"/>
        </w:numPr>
      </w:pPr>
      <w:r>
        <w:rPr>
          <w:rFonts w:ascii="Figtree" w:hAnsi="Figtree"/>
          <w:b/>
          <w:i w:val="0"/>
          <w:sz w:val="22"/>
        </w:rPr>
        <w:t>Atomic DvP:</w:t>
      </w:r>
      <w:r>
        <w:rPr>
          <w:rFonts w:ascii="Figtree" w:hAnsi="Figtree"/>
          <w:b w:val="0"/>
          <w:i w:val="0"/>
          <w:sz w:val="22"/>
        </w:rPr>
        <w:t xml:space="preserve"> Both legs — deposit token delivery and payment token transfer — execute in a single atomic blockchain transaction. If either leg fails, the entire transaction reverts. There is no window of counterparty exposure. This is a structural advantage over multi-step settlement approaches used by most competing platforms, where the gap between legs creates counterparty risk that must be managed through separate escrow or collateral mechanisms.</w:t>
      </w:r>
    </w:p>
    <w:p>
      <w:pPr>
        <w:pStyle w:val="ListParagraph"/>
        <w:numPr>
          <w:ilvl w:val="0"/>
          <w:numId w:val="4"/>
        </w:numPr>
      </w:pPr>
      <w:r>
        <w:rPr>
          <w:rFonts w:ascii="Figtree" w:hAnsi="Figtree"/>
          <w:b/>
          <w:i w:val="0"/>
          <w:sz w:val="22"/>
        </w:rPr>
        <w:t>Deterministic finality:</w:t>
      </w:r>
      <w:r>
        <w:rPr>
          <w:rFonts w:ascii="Figtree" w:hAnsi="Figtree"/>
          <w:b w:val="0"/>
          <w:i w:val="0"/>
          <w:sz w:val="22"/>
        </w:rPr>
        <w:t xml:space="preserve"> Under IBFT consensus (recommended for permissioned deployments), settlement finality is deterministic — not probabilistic. Once confirmed, a settlement cannot be reversed. Under a test profile of 500 concurrent settlement instructions on a 4-node validator network, the platform achieves median settlement latency of 2.3 seconds with P99 at 4.1 seconds.</w:t>
      </w:r>
    </w:p>
    <w:p>
      <w:pPr>
        <w:pStyle w:val="ListParagraph"/>
        <w:numPr>
          <w:ilvl w:val="0"/>
          <w:numId w:val="4"/>
        </w:numPr>
      </w:pPr>
      <w:r>
        <w:rPr>
          <w:rFonts w:ascii="Figtree" w:hAnsi="Figtree"/>
          <w:b/>
          <w:i w:val="0"/>
          <w:sz w:val="22"/>
        </w:rPr>
        <w:t>Failure handling:</w:t>
      </w:r>
      <w:r>
        <w:rPr>
          <w:rFonts w:ascii="Figtree" w:hAnsi="Figtree"/>
          <w:b w:val="0"/>
          <w:i w:val="0"/>
          <w:sz w:val="22"/>
        </w:rPr>
        <w:t xml:space="preserve"> Failed settlement attempts are logged with full diagnostic context. The durable execution engine retries operations according to configurable policies before escalating to manual intervention.</w:t>
      </w:r>
    </w:p>
    <w:p>
      <w:r>
        <w:rPr>
          <w:rFonts w:ascii="Figtree" w:hAnsi="Figtree"/>
          <w:b w:val="0"/>
          <w:i w:val="0"/>
          <w:sz w:val="22"/>
        </w:rPr>
        <w:t>For trade finance settlements, the platform supports milestone-based liquidity release:</w:t>
      </w:r>
    </w:p>
    <w:p>
      <w:pPr>
        <w:pStyle w:val="ListParagraph"/>
        <w:numPr>
          <w:ilvl w:val="0"/>
          <w:numId w:val="4"/>
        </w:numPr>
      </w:pPr>
      <w:r>
        <w:rPr>
          <w:rFonts w:ascii="Figtree" w:hAnsi="Figtree"/>
          <w:b w:val="0"/>
          <w:i w:val="0"/>
          <w:sz w:val="22"/>
        </w:rPr>
        <w:t>Document presentation triggers first milestone</w:t>
      </w:r>
    </w:p>
    <w:p>
      <w:pPr>
        <w:pStyle w:val="ListParagraph"/>
        <w:numPr>
          <w:ilvl w:val="0"/>
          <w:numId w:val="4"/>
        </w:numPr>
      </w:pPr>
      <w:r>
        <w:rPr>
          <w:rFonts w:ascii="Figtree" w:hAnsi="Figtree"/>
          <w:b w:val="0"/>
          <w:i w:val="0"/>
          <w:sz w:val="22"/>
        </w:rPr>
        <w:t>Verification by counterparty triggers second milestone</w:t>
      </w:r>
    </w:p>
    <w:p>
      <w:pPr>
        <w:pStyle w:val="ListParagraph"/>
        <w:numPr>
          <w:ilvl w:val="0"/>
          <w:numId w:val="4"/>
        </w:numPr>
      </w:pPr>
      <w:r>
        <w:rPr>
          <w:rFonts w:ascii="Figtree" w:hAnsi="Figtree"/>
          <w:b w:val="0"/>
          <w:i w:val="0"/>
          <w:sz w:val="22"/>
        </w:rPr>
        <w:t>Compliance approval triggers final settlement</w:t>
      </w:r>
    </w:p>
    <w:p>
      <w:pPr>
        <w:pStyle w:val="ListParagraph"/>
        <w:numPr>
          <w:ilvl w:val="0"/>
          <w:numId w:val="4"/>
        </w:numPr>
      </w:pPr>
      <w:r>
        <w:rPr>
          <w:rFonts w:ascii="Figtree" w:hAnsi="Figtree"/>
          <w:b w:val="0"/>
          <w:i w:val="0"/>
          <w:sz w:val="22"/>
        </w:rPr>
        <w:t>Each milestone produces auditable evidence with timestamp and approver identity</w:t>
      </w:r>
    </w:p>
    <w:p>
      <w:pPr>
        <w:pStyle w:val="H3"/>
        <w:numPr>
          <w:ilvl w:val="2"/>
          <w:numId w:val="1"/>
        </w:numPr>
      </w:pPr>
      <w:r>
        <w:t>Lifecycle Servicing and Corporate Actions</w:t>
      </w:r>
    </w:p>
    <w:p>
      <w:r>
        <w:rPr>
          <w:rFonts w:ascii="Figtree" w:hAnsi="Figtree"/>
          <w:b w:val="0"/>
          <w:i w:val="0"/>
          <w:sz w:val="22"/>
        </w:rPr>
        <w:t>DALP handles the full lifecycle of tokenized deposits and trade finance instruments: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Lifecycle Event</w:t>
            </w:r>
          </w:p>
        </w:tc>
        <w:tc>
          <w:tcPr>
            <w:tcW w:type="dxa" w:w="3249"/>
            <w:vAlign w:val="center"/>
            <w:shd w:fill="000099" w:val="clear"/>
          </w:tcPr>
          <w:p>
            <w:r>
              <w:rPr>
                <w:b/>
                <w:color w:val="FFFFFF"/>
              </w:rPr>
            </w:r>
            <w:r>
              <w:rPr>
                <w:rFonts w:ascii="Figtree" w:hAnsi="Figtree"/>
                <w:b/>
                <w:i w:val="0"/>
                <w:color w:val="FFFFFF"/>
                <w:sz w:val="22"/>
              </w:rPr>
              <w:t>DALP Capability</w:t>
            </w:r>
          </w:p>
        </w:tc>
        <w:tc>
          <w:tcPr>
            <w:tcW w:type="dxa" w:w="3249"/>
            <w:vAlign w:val="center"/>
            <w:shd w:fill="000099" w:val="clear"/>
          </w:tcPr>
          <w:p>
            <w:r>
              <w:rPr>
                <w:b/>
                <w:color w:val="FFFFFF"/>
              </w:rPr>
            </w:r>
            <w:r>
              <w:rPr>
                <w:rFonts w:ascii="Figtree" w:hAnsi="Figtree"/>
                <w:b/>
                <w:i w:val="0"/>
                <w:color w:val="FFFFFF"/>
                <w:sz w:val="22"/>
              </w:rPr>
              <w:t>Automation Level</w:t>
            </w:r>
          </w:p>
        </w:tc>
      </w:tr>
      <w:tr>
        <w:trPr>
          <w:trHeight w:val="454" w:hRule="atLeast"/>
        </w:trPr>
        <w:tc>
          <w:tcPr>
            <w:tcW w:type="dxa" w:w="3249"/>
            <w:vAlign w:val="center"/>
          </w:tcPr>
          <w:p>
            <w:r/>
            <w:r>
              <w:rPr>
                <w:rFonts w:ascii="Figtree" w:hAnsi="Figtree"/>
                <w:b w:val="0"/>
                <w:i w:val="0"/>
                <w:sz w:val="22"/>
              </w:rPr>
              <w:t>Interest accrual</w:t>
            </w:r>
          </w:p>
        </w:tc>
        <w:tc>
          <w:tcPr>
            <w:tcW w:type="dxa" w:w="3249"/>
            <w:vAlign w:val="center"/>
          </w:tcPr>
          <w:p>
            <w:r/>
            <w:r>
              <w:rPr>
                <w:rFonts w:ascii="Figtree" w:hAnsi="Figtree"/>
                <w:b w:val="0"/>
                <w:i w:val="0"/>
                <w:sz w:val="22"/>
              </w:rPr>
              <w:t>Fixed treasury yield feature</w:t>
            </w:r>
          </w:p>
        </w:tc>
        <w:tc>
          <w:tcPr>
            <w:tcW w:type="dxa" w:w="3249"/>
            <w:vAlign w:val="center"/>
          </w:tcPr>
          <w:p>
            <w:r/>
            <w:r>
              <w:rPr>
                <w:rFonts w:ascii="Figtree" w:hAnsi="Figtree"/>
                <w:b w:val="0"/>
                <w:i w:val="0"/>
                <w:sz w:val="22"/>
              </w:rPr>
              <w:t>Automated, configurable frequency</w:t>
            </w:r>
          </w:p>
        </w:tc>
      </w:tr>
      <w:tr>
        <w:trPr>
          <w:trHeight w:val="454" w:hRule="atLeast"/>
        </w:trPr>
        <w:tc>
          <w:tcPr>
            <w:tcW w:type="dxa" w:w="3249"/>
            <w:vAlign w:val="center"/>
          </w:tcPr>
          <w:p>
            <w:r/>
            <w:r>
              <w:rPr>
                <w:rFonts w:ascii="Figtree" w:hAnsi="Figtree"/>
                <w:b w:val="0"/>
                <w:i w:val="0"/>
                <w:sz w:val="22"/>
              </w:rPr>
              <w:t>Coupon distribution</w:t>
            </w:r>
          </w:p>
        </w:tc>
        <w:tc>
          <w:tcPr>
            <w:tcW w:type="dxa" w:w="3249"/>
            <w:vAlign w:val="center"/>
          </w:tcPr>
          <w:p>
            <w:r/>
            <w:r>
              <w:rPr>
                <w:rFonts w:ascii="Figtree" w:hAnsi="Figtree"/>
                <w:b w:val="0"/>
                <w:i w:val="0"/>
                <w:sz w:val="22"/>
              </w:rPr>
              <w:t>Yield addon</w:t>
            </w:r>
          </w:p>
        </w:tc>
        <w:tc>
          <w:tcPr>
            <w:tcW w:type="dxa" w:w="3249"/>
            <w:vAlign w:val="center"/>
          </w:tcPr>
          <w:p>
            <w:r/>
            <w:r>
              <w:rPr>
                <w:rFonts w:ascii="Figtree" w:hAnsi="Figtree"/>
                <w:b w:val="0"/>
                <w:i w:val="0"/>
                <w:sz w:val="22"/>
              </w:rPr>
              <w:t>Automated distribution to holders</w:t>
            </w:r>
          </w:p>
        </w:tc>
      </w:tr>
      <w:tr>
        <w:trPr>
          <w:trHeight w:val="454" w:hRule="atLeast"/>
        </w:trPr>
        <w:tc>
          <w:tcPr>
            <w:tcW w:type="dxa" w:w="3249"/>
            <w:vAlign w:val="center"/>
          </w:tcPr>
          <w:p>
            <w:r/>
            <w:r>
              <w:rPr>
                <w:rFonts w:ascii="Figtree" w:hAnsi="Figtree"/>
                <w:b w:val="0"/>
                <w:i w:val="0"/>
                <w:sz w:val="22"/>
              </w:rPr>
              <w:t>Maturity processing</w:t>
            </w:r>
          </w:p>
        </w:tc>
        <w:tc>
          <w:tcPr>
            <w:tcW w:type="dxa" w:w="3249"/>
            <w:vAlign w:val="center"/>
          </w:tcPr>
          <w:p>
            <w:r/>
            <w:r>
              <w:rPr>
                <w:rFonts w:ascii="Figtree" w:hAnsi="Figtree"/>
                <w:b w:val="0"/>
                <w:i w:val="0"/>
                <w:sz w:val="22"/>
              </w:rPr>
              <w:t>Maturity and redemption feature</w:t>
            </w:r>
          </w:p>
        </w:tc>
        <w:tc>
          <w:tcPr>
            <w:tcW w:type="dxa" w:w="3249"/>
            <w:vAlign w:val="center"/>
          </w:tcPr>
          <w:p>
            <w:r/>
            <w:r>
              <w:rPr>
                <w:rFonts w:ascii="Figtree" w:hAnsi="Figtree"/>
                <w:b w:val="0"/>
                <w:i w:val="0"/>
                <w:sz w:val="22"/>
              </w:rPr>
              <w:t>Automated at maturity date</w:t>
            </w:r>
          </w:p>
        </w:tc>
      </w:tr>
      <w:tr>
        <w:trPr>
          <w:trHeight w:val="454" w:hRule="atLeast"/>
        </w:trPr>
        <w:tc>
          <w:tcPr>
            <w:tcW w:type="dxa" w:w="3249"/>
            <w:vAlign w:val="center"/>
          </w:tcPr>
          <w:p>
            <w:r/>
            <w:r>
              <w:rPr>
                <w:rFonts w:ascii="Figtree" w:hAnsi="Figtree"/>
                <w:b w:val="0"/>
                <w:i w:val="0"/>
                <w:sz w:val="22"/>
              </w:rPr>
              <w:t>Early withdrawal</w:t>
            </w:r>
          </w:p>
        </w:tc>
        <w:tc>
          <w:tcPr>
            <w:tcW w:type="dxa" w:w="3249"/>
            <w:vAlign w:val="center"/>
          </w:tcPr>
          <w:p>
            <w:r/>
            <w:r>
              <w:rPr>
                <w:rFonts w:ascii="Figtree" w:hAnsi="Figtree"/>
                <w:b w:val="0"/>
                <w:i w:val="0"/>
                <w:sz w:val="22"/>
              </w:rPr>
              <w:t>Burn with compliance check</w:t>
            </w:r>
          </w:p>
        </w:tc>
        <w:tc>
          <w:tcPr>
            <w:tcW w:type="dxa" w:w="3249"/>
            <w:vAlign w:val="center"/>
          </w:tcPr>
          <w:p>
            <w:r/>
            <w:r>
              <w:rPr>
                <w:rFonts w:ascii="Figtree" w:hAnsi="Figtree"/>
                <w:b w:val="0"/>
                <w:i w:val="0"/>
                <w:sz w:val="22"/>
              </w:rPr>
              <w:t>Semi-automated with approval</w:t>
            </w:r>
          </w:p>
        </w:tc>
      </w:tr>
      <w:tr>
        <w:trPr>
          <w:trHeight w:val="454" w:hRule="atLeast"/>
        </w:trPr>
        <w:tc>
          <w:tcPr>
            <w:tcW w:type="dxa" w:w="3249"/>
            <w:vAlign w:val="center"/>
          </w:tcPr>
          <w:p>
            <w:r/>
            <w:r>
              <w:rPr>
                <w:rFonts w:ascii="Figtree" w:hAnsi="Figtree"/>
                <w:b w:val="0"/>
                <w:i w:val="0"/>
                <w:sz w:val="22"/>
              </w:rPr>
              <w:t>Partial redemption</w:t>
            </w:r>
          </w:p>
        </w:tc>
        <w:tc>
          <w:tcPr>
            <w:tcW w:type="dxa" w:w="3249"/>
            <w:vAlign w:val="center"/>
          </w:tcPr>
          <w:p>
            <w:r/>
            <w:r>
              <w:rPr>
                <w:rFonts w:ascii="Figtree" w:hAnsi="Figtree"/>
                <w:b w:val="0"/>
                <w:i w:val="0"/>
                <w:sz w:val="22"/>
              </w:rPr>
              <w:t>Proportional burn</w:t>
            </w:r>
          </w:p>
        </w:tc>
        <w:tc>
          <w:tcPr>
            <w:tcW w:type="dxa" w:w="3249"/>
            <w:vAlign w:val="center"/>
          </w:tcPr>
          <w:p>
            <w:r/>
            <w:r>
              <w:rPr>
                <w:rFonts w:ascii="Figtree" w:hAnsi="Figtree"/>
                <w:b w:val="0"/>
                <w:i w:val="0"/>
                <w:sz w:val="22"/>
              </w:rPr>
              <w:t>Automated</w:t>
            </w:r>
          </w:p>
        </w:tc>
      </w:tr>
      <w:tr>
        <w:trPr>
          <w:trHeight w:val="454" w:hRule="atLeast"/>
        </w:trPr>
        <w:tc>
          <w:tcPr>
            <w:tcW w:type="dxa" w:w="3249"/>
            <w:vAlign w:val="center"/>
          </w:tcPr>
          <w:p>
            <w:r/>
            <w:r>
              <w:rPr>
                <w:rFonts w:ascii="Figtree" w:hAnsi="Figtree"/>
                <w:b w:val="0"/>
                <w:i w:val="0"/>
                <w:sz w:val="22"/>
              </w:rPr>
              <w:t>Corporate actions</w:t>
            </w:r>
          </w:p>
        </w:tc>
        <w:tc>
          <w:tcPr>
            <w:tcW w:type="dxa" w:w="3249"/>
            <w:vAlign w:val="center"/>
          </w:tcPr>
          <w:p>
            <w:r/>
            <w:r>
              <w:rPr>
                <w:rFonts w:ascii="Figtree" w:hAnsi="Figtree"/>
                <w:b w:val="0"/>
                <w:i w:val="0"/>
                <w:sz w:val="22"/>
              </w:rPr>
              <w:t>Governance events via SMART Protocol</w:t>
            </w:r>
          </w:p>
        </w:tc>
        <w:tc>
          <w:tcPr>
            <w:tcW w:type="dxa" w:w="3249"/>
            <w:vAlign w:val="center"/>
          </w:tcPr>
          <w:p>
            <w:r/>
            <w:r>
              <w:rPr>
                <w:rFonts w:ascii="Figtree" w:hAnsi="Figtree"/>
                <w:b w:val="0"/>
                <w:i w:val="0"/>
                <w:sz w:val="22"/>
              </w:rPr>
              <w:t>Configurable per action type</w:t>
            </w:r>
          </w:p>
        </w:tc>
      </w:tr>
      <w:tr>
        <w:trPr>
          <w:trHeight w:val="454" w:hRule="atLeast"/>
        </w:trPr>
        <w:tc>
          <w:tcPr>
            <w:tcW w:type="dxa" w:w="3249"/>
            <w:vAlign w:val="center"/>
          </w:tcPr>
          <w:p>
            <w:r/>
            <w:r>
              <w:rPr>
                <w:rFonts w:ascii="Figtree" w:hAnsi="Figtree"/>
                <w:b w:val="0"/>
                <w:i w:val="0"/>
                <w:sz w:val="22"/>
              </w:rPr>
              <w:t>Trade milestone</w:t>
            </w:r>
          </w:p>
        </w:tc>
        <w:tc>
          <w:tcPr>
            <w:tcW w:type="dxa" w:w="3249"/>
            <w:vAlign w:val="center"/>
          </w:tcPr>
          <w:p>
            <w:r/>
            <w:r>
              <w:rPr>
                <w:rFonts w:ascii="Figtree" w:hAnsi="Figtree"/>
                <w:b w:val="0"/>
                <w:i w:val="0"/>
                <w:sz w:val="22"/>
              </w:rPr>
              <w:t>Durable workflow engine</w:t>
            </w:r>
          </w:p>
        </w:tc>
        <w:tc>
          <w:tcPr>
            <w:tcW w:type="dxa" w:w="3249"/>
            <w:vAlign w:val="center"/>
          </w:tcPr>
          <w:p>
            <w:r/>
            <w:r>
              <w:rPr>
                <w:rFonts w:ascii="Figtree" w:hAnsi="Figtree"/>
                <w:b w:val="0"/>
                <w:i w:val="0"/>
                <w:sz w:val="22"/>
              </w:rPr>
              <w:t>Event-driven with approval gates</w:t>
            </w:r>
          </w:p>
        </w:tc>
      </w:tr>
      <w:tr>
        <w:trPr>
          <w:trHeight w:val="454" w:hRule="atLeast"/>
        </w:trPr>
        <w:tc>
          <w:tcPr>
            <w:tcW w:type="dxa" w:w="3249"/>
            <w:vAlign w:val="center"/>
          </w:tcPr>
          <w:p>
            <w:r/>
            <w:r>
              <w:rPr>
                <w:rFonts w:ascii="Figtree" w:hAnsi="Figtree"/>
                <w:b w:val="0"/>
                <w:i w:val="0"/>
                <w:sz w:val="22"/>
              </w:rPr>
              <w:t>Document update</w:t>
            </w:r>
          </w:p>
        </w:tc>
        <w:tc>
          <w:tcPr>
            <w:tcW w:type="dxa" w:w="3249"/>
            <w:vAlign w:val="center"/>
          </w:tcPr>
          <w:p>
            <w:r/>
            <w:r>
              <w:rPr>
                <w:rFonts w:ascii="Figtree" w:hAnsi="Figtree"/>
                <w:b w:val="0"/>
                <w:i w:val="0"/>
                <w:sz w:val="22"/>
              </w:rPr>
              <w:t>Metadata linkage</w:t>
            </w:r>
          </w:p>
        </w:tc>
        <w:tc>
          <w:tcPr>
            <w:tcW w:type="dxa" w:w="3249"/>
            <w:vAlign w:val="center"/>
          </w:tcPr>
          <w:p>
            <w:r/>
            <w:r>
              <w:rPr>
                <w:rFonts w:ascii="Figtree" w:hAnsi="Figtree"/>
                <w:b w:val="0"/>
                <w:i w:val="0"/>
                <w:sz w:val="22"/>
              </w:rPr>
              <w:t>API-driven update with audit trail</w:t>
            </w:r>
          </w:p>
        </w:tc>
      </w:tr>
    </w:tbl>
    <w:p>
      <w:pPr>
        <w:pStyle w:val="H3"/>
        <w:numPr>
          <w:ilvl w:val="2"/>
          <w:numId w:val="1"/>
        </w:numPr>
      </w:pPr>
      <w:r>
        <w:t>Integration and Interoperability</w:t>
      </w:r>
    </w:p>
    <w:p>
      <w:r>
        <w:rPr>
          <w:rFonts w:ascii="Figtree" w:hAnsi="Figtree"/>
          <w:b w:val="0"/>
          <w:i w:val="0"/>
          <w:sz w:val="22"/>
        </w:rPr>
        <w:t>DALP's integration architecture is designed for enterprise coexistence, not isolation:</w:t>
      </w:r>
    </w:p>
    <w:p>
      <w:pPr>
        <w:jc w:val="center"/>
      </w:pPr>
      <w:r>
        <w:drawing>
          <wp:inline xmlns:a="http://schemas.openxmlformats.org/drawingml/2006/main" xmlns:pic="http://schemas.openxmlformats.org/drawingml/2006/picture">
            <wp:extent cx="5486400" cy="709352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093527"/>
                    </a:xfrm>
                    <a:prstGeom prst="rect"/>
                  </pic:spPr>
                </pic:pic>
              </a:graphicData>
            </a:graphic>
          </wp:inline>
        </w:drawing>
      </w:r>
    </w:p>
    <w:p>
      <w:r>
        <w:rPr>
          <w:rFonts w:ascii="Figtree" w:hAnsi="Figtree"/>
          <w:b/>
          <w:i w:val="0"/>
          <w:sz w:val="22"/>
        </w:rPr>
        <w:t>Core banking integration:</w:t>
      </w:r>
      <w:r>
        <w:rPr>
          <w:rFonts w:ascii="Figtree" w:hAnsi="Figtree"/>
          <w:b w:val="0"/>
          <w:i w:val="0"/>
          <w:sz w:val="22"/>
        </w:rPr>
        <w:t xml:space="preserve"> Bidirectional API connectivity for deposit creation, balance reconciliation, interest calculation verification, and maturity processing synchronization.</w:t>
      </w:r>
    </w:p>
    <w:p>
      <w:r>
        <w:rPr>
          <w:rFonts w:ascii="Figtree" w:hAnsi="Figtree"/>
          <w:b/>
          <w:i w:val="0"/>
          <w:sz w:val="22"/>
        </w:rPr>
        <w:t>Trade finance back-office integration:</w:t>
      </w:r>
      <w:r>
        <w:rPr>
          <w:rFonts w:ascii="Figtree" w:hAnsi="Figtree"/>
          <w:b w:val="0"/>
          <w:i w:val="0"/>
          <w:sz w:val="22"/>
        </w:rPr>
        <w:t xml:space="preserve"> Webhook-driven event notifications for document presentation, milestone completion, and settlement confirmation. REST API for trade record creation and status queries.</w:t>
      </w:r>
    </w:p>
    <w:p>
      <w:r>
        <w:rPr>
          <w:rFonts w:ascii="Figtree" w:hAnsi="Figtree"/>
          <w:b/>
          <w:i w:val="0"/>
          <w:sz w:val="22"/>
        </w:rPr>
        <w:t>KYC/AML integration:</w:t>
      </w:r>
      <w:r>
        <w:rPr>
          <w:rFonts w:ascii="Figtree" w:hAnsi="Figtree"/>
          <w:b w:val="0"/>
          <w:i w:val="0"/>
          <w:sz w:val="22"/>
        </w:rPr>
        <w:t xml:space="preserve"> SDK-based integration feeding identity verification outcomes into OnchainID claims. Sanctions screening results stored as verifiable claims on participant identities.</w:t>
      </w:r>
    </w:p>
    <w:p>
      <w:r>
        <w:rPr>
          <w:rFonts w:ascii="Figtree" w:hAnsi="Figtree"/>
          <w:b/>
          <w:i w:val="0"/>
          <w:sz w:val="22"/>
        </w:rPr>
        <w:t>SWIFT integration:</w:t>
      </w:r>
      <w:r>
        <w:rPr>
          <w:rFonts w:ascii="Figtree" w:hAnsi="Figtree"/>
          <w:b w:val="0"/>
          <w:i w:val="0"/>
          <w:sz w:val="22"/>
        </w:rPr>
        <w:t xml:space="preserve"> CLI automation for ISO 20022 message generation from settlement events. Current implementation uses a middleware translation layer; native ISO 20022 support is in development (target Q3 2026).</w:t>
      </w:r>
    </w:p>
    <w:p>
      <w:r>
        <w:rPr>
          <w:rFonts w:ascii="Figtree" w:hAnsi="Figtree"/>
          <w:b/>
          <w:i w:val="0"/>
          <w:sz w:val="22"/>
        </w:rPr>
        <w:t>Regulatory reporting:</w:t>
      </w:r>
      <w:r>
        <w:rPr>
          <w:rFonts w:ascii="Figtree" w:hAnsi="Figtree"/>
          <w:b w:val="0"/>
          <w:i w:val="0"/>
          <w:sz w:val="22"/>
        </w:rPr>
        <w:t xml:space="preserve"> GraphQL queries for compliance event extraction, transaction history, and audit evidence. Configurable report templates for CBUAE, DFSA, and ADGM requirements.</w:t>
      </w:r>
    </w:p>
    <w:p>
      <w:pPr>
        <w:pStyle w:val="H3"/>
        <w:numPr>
          <w:ilvl w:val="2"/>
          <w:numId w:val="1"/>
        </w:numPr>
      </w:pPr>
      <w:r>
        <w:t>Functional Fit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Functional Requirement</w:t>
            </w:r>
          </w:p>
        </w:tc>
        <w:tc>
          <w:tcPr>
            <w:tcW w:type="dxa" w:w="2436"/>
            <w:vAlign w:val="center"/>
            <w:shd w:fill="000099" w:val="clear"/>
          </w:tcPr>
          <w:p>
            <w:r>
              <w:rPr>
                <w:b/>
                <w:color w:val="FFFFFF"/>
              </w:rPr>
            </w:r>
            <w:r>
              <w:rPr>
                <w:rFonts w:ascii="Figtree" w:hAnsi="Figtree"/>
                <w:b/>
                <w:i w:val="0"/>
                <w:color w:val="FFFFFF"/>
                <w:sz w:val="22"/>
              </w:rPr>
              <w:t>DALP Capability</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2436"/>
            <w:vAlign w:val="center"/>
          </w:tcPr>
          <w:p>
            <w:r/>
            <w:r>
              <w:rPr>
                <w:rFonts w:ascii="Figtree" w:hAnsi="Figtree"/>
                <w:b w:val="0"/>
                <w:i w:val="0"/>
                <w:sz w:val="22"/>
              </w:rPr>
              <w:t>Tokenized deposit creation</w:t>
            </w:r>
          </w:p>
        </w:tc>
        <w:tc>
          <w:tcPr>
            <w:tcW w:type="dxa" w:w="2436"/>
            <w:vAlign w:val="center"/>
          </w:tcPr>
          <w:p>
            <w:r/>
            <w:r>
              <w:rPr>
                <w:rFonts w:ascii="Figtree" w:hAnsi="Figtree"/>
                <w:b w:val="0"/>
                <w:i w:val="0"/>
                <w:sz w:val="22"/>
              </w:rPr>
              <w:t>Asset Designer + Deposit asset class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Configuration-driven, no custom development</w:t>
            </w:r>
          </w:p>
        </w:tc>
      </w:tr>
      <w:tr>
        <w:trPr>
          <w:trHeight w:val="454" w:hRule="atLeast"/>
        </w:trPr>
        <w:tc>
          <w:tcPr>
            <w:tcW w:type="dxa" w:w="2436"/>
            <w:vAlign w:val="center"/>
          </w:tcPr>
          <w:p>
            <w:r/>
            <w:r>
              <w:rPr>
                <w:rFonts w:ascii="Figtree" w:hAnsi="Figtree"/>
                <w:b w:val="0"/>
                <w:i w:val="0"/>
                <w:sz w:val="22"/>
              </w:rPr>
              <w:t>Deposit lifecycle management</w:t>
            </w:r>
          </w:p>
        </w:tc>
        <w:tc>
          <w:tcPr>
            <w:tcW w:type="dxa" w:w="2436"/>
            <w:vAlign w:val="center"/>
          </w:tcPr>
          <w:p>
            <w:r/>
            <w:r>
              <w:rPr>
                <w:rFonts w:ascii="Figtree" w:hAnsi="Figtree"/>
                <w:b w:val="0"/>
                <w:i w:val="0"/>
                <w:sz w:val="22"/>
              </w:rPr>
              <w:t>Maturity, yield, redemption features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Automated processing</w:t>
            </w:r>
          </w:p>
        </w:tc>
      </w:tr>
      <w:tr>
        <w:trPr>
          <w:trHeight w:val="454" w:hRule="atLeast"/>
        </w:trPr>
        <w:tc>
          <w:tcPr>
            <w:tcW w:type="dxa" w:w="2436"/>
            <w:vAlign w:val="center"/>
          </w:tcPr>
          <w:p>
            <w:r/>
            <w:r>
              <w:rPr>
                <w:rFonts w:ascii="Figtree" w:hAnsi="Figtree"/>
                <w:b w:val="0"/>
                <w:i w:val="0"/>
                <w:sz w:val="22"/>
              </w:rPr>
              <w:t>Trade finance workflow</w:t>
            </w:r>
          </w:p>
        </w:tc>
        <w:tc>
          <w:tcPr>
            <w:tcW w:type="dxa" w:w="2436"/>
            <w:vAlign w:val="center"/>
          </w:tcPr>
          <w:p>
            <w:r/>
            <w:r>
              <w:rPr>
                <w:rFonts w:ascii="Figtree" w:hAnsi="Figtree"/>
                <w:b w:val="0"/>
                <w:i w:val="0"/>
                <w:sz w:val="22"/>
              </w:rPr>
              <w:t>Durable execution engine + DALPAsset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Milestone-based, document-linked</w:t>
            </w:r>
          </w:p>
        </w:tc>
      </w:tr>
      <w:tr>
        <w:trPr>
          <w:trHeight w:val="454" w:hRule="atLeast"/>
        </w:trPr>
        <w:tc>
          <w:tcPr>
            <w:tcW w:type="dxa" w:w="2436"/>
            <w:vAlign w:val="center"/>
          </w:tcPr>
          <w:p>
            <w:r/>
            <w:r>
              <w:rPr>
                <w:rFonts w:ascii="Figtree" w:hAnsi="Figtree"/>
                <w:b w:val="0"/>
                <w:i w:val="0"/>
                <w:sz w:val="22"/>
              </w:rPr>
              <w:t>Atomic DvP settlement</w:t>
            </w:r>
          </w:p>
        </w:tc>
        <w:tc>
          <w:tcPr>
            <w:tcW w:type="dxa" w:w="2436"/>
            <w:vAlign w:val="center"/>
          </w:tcPr>
          <w:p>
            <w:r/>
            <w:r>
              <w:rPr>
                <w:rFonts w:ascii="Figtree" w:hAnsi="Figtree"/>
                <w:b w:val="0"/>
                <w:i w:val="0"/>
                <w:sz w:val="22"/>
              </w:rPr>
              <w:t>XvP settlement addon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Single atomic transaction</w:t>
            </w:r>
          </w:p>
        </w:tc>
      </w:tr>
      <w:tr>
        <w:trPr>
          <w:trHeight w:val="454" w:hRule="atLeast"/>
        </w:trPr>
        <w:tc>
          <w:tcPr>
            <w:tcW w:type="dxa" w:w="2436"/>
            <w:vAlign w:val="center"/>
          </w:tcPr>
          <w:p>
            <w:r/>
            <w:r>
              <w:rPr>
                <w:rFonts w:ascii="Figtree" w:hAnsi="Figtree"/>
                <w:b w:val="0"/>
                <w:i w:val="0"/>
                <w:sz w:val="22"/>
              </w:rPr>
              <w:t>Multi-party approval</w:t>
            </w:r>
          </w:p>
        </w:tc>
        <w:tc>
          <w:tcPr>
            <w:tcW w:type="dxa" w:w="2436"/>
            <w:vAlign w:val="center"/>
          </w:tcPr>
          <w:p>
            <w:r/>
            <w:r>
              <w:rPr>
                <w:rFonts w:ascii="Figtree" w:hAnsi="Figtree"/>
                <w:b w:val="0"/>
                <w:i w:val="0"/>
                <w:sz w:val="22"/>
              </w:rPr>
              <w:t>Transfer approval module + RBAC</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Configurable approval chains</w:t>
            </w:r>
          </w:p>
        </w:tc>
      </w:tr>
      <w:tr>
        <w:trPr>
          <w:trHeight w:val="454" w:hRule="atLeast"/>
        </w:trPr>
        <w:tc>
          <w:tcPr>
            <w:tcW w:type="dxa" w:w="2436"/>
            <w:vAlign w:val="center"/>
          </w:tcPr>
          <w:p>
            <w:r/>
            <w:r>
              <w:rPr>
                <w:rFonts w:ascii="Figtree" w:hAnsi="Figtree"/>
                <w:b w:val="0"/>
                <w:i w:val="0"/>
                <w:sz w:val="22"/>
              </w:rPr>
              <w:t>Identity and KYC</w:t>
            </w:r>
          </w:p>
        </w:tc>
        <w:tc>
          <w:tcPr>
            <w:tcW w:type="dxa" w:w="2436"/>
            <w:vAlign w:val="center"/>
          </w:tcPr>
          <w:p>
            <w:r/>
            <w:r>
              <w:rPr>
                <w:rFonts w:ascii="Figtree" w:hAnsi="Figtree"/>
                <w:b w:val="0"/>
                <w:i w:val="0"/>
                <w:sz w:val="22"/>
              </w:rPr>
              <w:t>OnchainID + claims model</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Integration with existing KYC systems</w:t>
            </w:r>
          </w:p>
        </w:tc>
      </w:tr>
      <w:tr>
        <w:trPr>
          <w:trHeight w:val="454" w:hRule="atLeast"/>
        </w:trPr>
        <w:tc>
          <w:tcPr>
            <w:tcW w:type="dxa" w:w="2436"/>
            <w:vAlign w:val="center"/>
          </w:tcPr>
          <w:p>
            <w:r/>
            <w:r>
              <w:rPr>
                <w:rFonts w:ascii="Figtree" w:hAnsi="Figtree"/>
                <w:b w:val="0"/>
                <w:i w:val="0"/>
                <w:sz w:val="22"/>
              </w:rPr>
              <w:t>Compliance enforcement</w:t>
            </w:r>
          </w:p>
        </w:tc>
        <w:tc>
          <w:tcPr>
            <w:tcW w:type="dxa" w:w="2436"/>
            <w:vAlign w:val="center"/>
          </w:tcPr>
          <w:p>
            <w:r/>
            <w:r>
              <w:rPr>
                <w:rFonts w:ascii="Figtree" w:hAnsi="Figtree"/>
                <w:b w:val="0"/>
                <w:i w:val="0"/>
                <w:sz w:val="22"/>
              </w:rPr>
              <w:t>18 compliance module types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Ex-ante, on-chain</w:t>
            </w:r>
          </w:p>
        </w:tc>
      </w:tr>
      <w:tr>
        <w:trPr>
          <w:trHeight w:val="454" w:hRule="atLeast"/>
        </w:trPr>
        <w:tc>
          <w:tcPr>
            <w:tcW w:type="dxa" w:w="2436"/>
            <w:vAlign w:val="center"/>
          </w:tcPr>
          <w:p>
            <w:r/>
            <w:r>
              <w:rPr>
                <w:rFonts w:ascii="Figtree" w:hAnsi="Figtree"/>
                <w:b w:val="0"/>
                <w:i w:val="0"/>
                <w:sz w:val="22"/>
              </w:rPr>
              <w:t>Audit trail</w:t>
            </w:r>
          </w:p>
        </w:tc>
        <w:tc>
          <w:tcPr>
            <w:tcW w:type="dxa" w:w="2436"/>
            <w:vAlign w:val="center"/>
          </w:tcPr>
          <w:p>
            <w:r/>
            <w:r>
              <w:rPr>
                <w:rFonts w:ascii="Figtree" w:hAnsi="Figtree"/>
                <w:b w:val="0"/>
                <w:i w:val="0"/>
                <w:sz w:val="22"/>
              </w:rPr>
              <w:t>Immutable event logs + indexed state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Queryable, exportable</w:t>
            </w:r>
          </w:p>
        </w:tc>
      </w:tr>
      <w:tr>
        <w:trPr>
          <w:trHeight w:val="454" w:hRule="atLeast"/>
        </w:trPr>
        <w:tc>
          <w:tcPr>
            <w:tcW w:type="dxa" w:w="2436"/>
            <w:vAlign w:val="center"/>
          </w:tcPr>
          <w:p>
            <w:r/>
            <w:r>
              <w:rPr>
                <w:rFonts w:ascii="Figtree" w:hAnsi="Figtree"/>
                <w:b w:val="0"/>
                <w:i w:val="0"/>
                <w:sz w:val="22"/>
              </w:rPr>
              <w:t>Multi-environment support</w:t>
            </w:r>
          </w:p>
        </w:tc>
        <w:tc>
          <w:tcPr>
            <w:tcW w:type="dxa" w:w="2436"/>
            <w:vAlign w:val="center"/>
          </w:tcPr>
          <w:p>
            <w:r/>
            <w:r>
              <w:rPr>
                <w:rFonts w:ascii="Figtree" w:hAnsi="Figtree"/>
                <w:b w:val="0"/>
                <w:i w:val="0"/>
                <w:sz w:val="22"/>
              </w:rPr>
              <w:t>Dev/UAT/DR/Production segregation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Kubernetes-based</w:t>
            </w:r>
          </w:p>
        </w:tc>
      </w:tr>
      <w:tr>
        <w:trPr>
          <w:trHeight w:val="454" w:hRule="atLeast"/>
        </w:trPr>
        <w:tc>
          <w:tcPr>
            <w:tcW w:type="dxa" w:w="2436"/>
            <w:vAlign w:val="center"/>
          </w:tcPr>
          <w:p>
            <w:r/>
            <w:r>
              <w:rPr>
                <w:rFonts w:ascii="Figtree" w:hAnsi="Figtree"/>
                <w:b w:val="0"/>
                <w:i w:val="0"/>
                <w:sz w:val="22"/>
              </w:rPr>
              <w:t>Regulatory reporting</w:t>
            </w:r>
          </w:p>
        </w:tc>
        <w:tc>
          <w:tcPr>
            <w:tcW w:type="dxa" w:w="2436"/>
            <w:vAlign w:val="center"/>
          </w:tcPr>
          <w:p>
            <w:r/>
            <w:r>
              <w:rPr>
                <w:rFonts w:ascii="Figtree" w:hAnsi="Figtree"/>
                <w:b w:val="0"/>
                <w:i w:val="0"/>
                <w:sz w:val="22"/>
              </w:rPr>
              <w:t>Observability + GraphQL + templates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Configurable per jurisdiction</w:t>
            </w:r>
          </w:p>
        </w:tc>
      </w:tr>
      <w:tr>
        <w:trPr>
          <w:trHeight w:val="454" w:hRule="atLeast"/>
        </w:trPr>
        <w:tc>
          <w:tcPr>
            <w:tcW w:type="dxa" w:w="2436"/>
            <w:vAlign w:val="center"/>
          </w:tcPr>
          <w:p>
            <w:r/>
            <w:r>
              <w:rPr>
                <w:rFonts w:ascii="Figtree" w:hAnsi="Figtree"/>
                <w:b w:val="0"/>
                <w:i w:val="0"/>
                <w:sz w:val="22"/>
              </w:rPr>
              <w:t>SWIFT ISO 20022</w:t>
            </w:r>
          </w:p>
        </w:tc>
        <w:tc>
          <w:tcPr>
            <w:tcW w:type="dxa" w:w="2436"/>
            <w:vAlign w:val="center"/>
          </w:tcPr>
          <w:p>
            <w:r/>
            <w:r>
              <w:rPr>
                <w:rFonts w:ascii="Figtree" w:hAnsi="Figtree"/>
                <w:b w:val="0"/>
                <w:i w:val="0"/>
                <w:sz w:val="22"/>
              </w:rPr>
              <w:t>Middleware translation layer</w:t>
            </w:r>
          </w:p>
        </w:tc>
        <w:tc>
          <w:tcPr>
            <w:tcW w:type="dxa" w:w="2436"/>
            <w:vAlign w:val="center"/>
          </w:tcPr>
          <w:p>
            <w:r/>
            <w:r>
              <w:rPr>
                <w:rFonts w:ascii="Figtree" w:hAnsi="Figtree"/>
                <w:b w:val="0"/>
                <w:i w:val="0"/>
                <w:sz w:val="22"/>
              </w:rPr>
              <w:t>Partial</w:t>
            </w:r>
          </w:p>
        </w:tc>
        <w:tc>
          <w:tcPr>
            <w:tcW w:type="dxa" w:w="2436"/>
            <w:vAlign w:val="center"/>
          </w:tcPr>
          <w:p>
            <w:r/>
            <w:r>
              <w:rPr>
                <w:rFonts w:ascii="Figtree" w:hAnsi="Figtree"/>
                <w:b w:val="0"/>
                <w:i w:val="0"/>
                <w:sz w:val="22"/>
              </w:rPr>
              <w:t>Native support target Q3 2026</w:t>
            </w:r>
          </w:p>
        </w:tc>
      </w:tr>
    </w:tbl>
    <w:p>
      <w:r>
        <w:br w:type="page"/>
      </w:r>
    </w:p>
    <w:p>
      <w:pPr>
        <w:pStyle w:val="H2"/>
        <w:numPr>
          <w:ilvl w:val="1"/>
          <w:numId w:val="1"/>
        </w:numPr>
      </w:pPr>
      <w:r>
        <w:t>Technical Architecture</w:t>
      </w:r>
    </w:p>
    <w:p>
      <w:pPr>
        <w:pStyle w:val="H3"/>
        <w:numPr>
          <w:ilvl w:val="2"/>
          <w:numId w:val="1"/>
        </w:numPr>
      </w:pPr>
      <w:r>
        <w:t>Architectural Principles</w:t>
      </w:r>
    </w:p>
    <w:p>
      <w:r>
        <w:rPr>
          <w:rFonts w:ascii="Figtree" w:hAnsi="Figtree"/>
          <w:b w:val="0"/>
          <w:i w:val="0"/>
          <w:sz w:val="22"/>
        </w:rPr>
        <w:t>DALP's architecture follows five governing principles:</w:t>
      </w:r>
    </w:p>
    <w:p>
      <w:pPr>
        <w:pStyle w:val="ListParagraph"/>
        <w:numPr>
          <w:ilvl w:val="0"/>
          <w:numId w:val="10"/>
        </w:numPr>
      </w:pPr>
      <w:r>
        <w:rPr>
          <w:rFonts w:ascii="Figtree" w:hAnsi="Figtree"/>
          <w:b/>
          <w:i w:val="0"/>
          <w:sz w:val="22"/>
        </w:rPr>
        <w:t>Lifecycle-first:</w:t>
      </w:r>
      <w:r>
        <w:rPr>
          <w:rFonts w:ascii="Figtree" w:hAnsi="Figtree"/>
          <w:b w:val="0"/>
          <w:i w:val="0"/>
          <w:sz w:val="22"/>
        </w:rPr>
        <w:t xml:space="preserve"> Every component is designed around the asset lifecycle, not around blockchain primitives</w:t>
      </w:r>
    </w:p>
    <w:p>
      <w:pPr>
        <w:pStyle w:val="ListParagraph"/>
        <w:numPr>
          <w:ilvl w:val="0"/>
          <w:numId w:val="10"/>
        </w:numPr>
      </w:pPr>
      <w:r>
        <w:rPr>
          <w:rFonts w:ascii="Figtree" w:hAnsi="Figtree"/>
          <w:b/>
          <w:i w:val="0"/>
          <w:sz w:val="22"/>
        </w:rPr>
        <w:t>Durable execution:</w:t>
      </w:r>
      <w:r>
        <w:rPr>
          <w:rFonts w:ascii="Figtree" w:hAnsi="Figtree"/>
          <w:b w:val="0"/>
          <w:i w:val="0"/>
          <w:sz w:val="22"/>
        </w:rPr>
        <w:t xml:space="preserve"> Workflows survive restarts, network partitions, and partner outages — no silent data loss</w:t>
      </w:r>
    </w:p>
    <w:p>
      <w:pPr>
        <w:pStyle w:val="ListParagraph"/>
        <w:numPr>
          <w:ilvl w:val="0"/>
          <w:numId w:val="10"/>
        </w:numPr>
      </w:pPr>
      <w:r>
        <w:rPr>
          <w:rFonts w:ascii="Figtree" w:hAnsi="Figtree"/>
          <w:b/>
          <w:i w:val="0"/>
          <w:sz w:val="22"/>
        </w:rPr>
        <w:t>Defense-in-depth:</w:t>
      </w:r>
      <w:r>
        <w:rPr>
          <w:rFonts w:ascii="Figtree" w:hAnsi="Figtree"/>
          <w:b w:val="0"/>
          <w:i w:val="0"/>
          <w:sz w:val="22"/>
        </w:rPr>
        <w:t xml:space="preserve"> Five independent control layers (identity, RBAC, wallet verification, compliance, custody policy)</w:t>
      </w:r>
    </w:p>
    <w:p>
      <w:pPr>
        <w:pStyle w:val="ListParagraph"/>
        <w:numPr>
          <w:ilvl w:val="0"/>
          <w:numId w:val="10"/>
        </w:numPr>
      </w:pPr>
      <w:r>
        <w:rPr>
          <w:rFonts w:ascii="Figtree" w:hAnsi="Figtree"/>
          <w:b/>
          <w:i w:val="0"/>
          <w:sz w:val="22"/>
        </w:rPr>
        <w:t>Separation of concerns:</w:t>
      </w:r>
      <w:r>
        <w:rPr>
          <w:rFonts w:ascii="Figtree" w:hAnsi="Figtree"/>
          <w:b w:val="0"/>
          <w:i w:val="0"/>
          <w:sz w:val="22"/>
        </w:rPr>
        <w:t xml:space="preserve"> Each architectural layer has a distinct responsibility boundary</w:t>
      </w:r>
    </w:p>
    <w:p>
      <w:pPr>
        <w:pStyle w:val="ListParagraph"/>
        <w:numPr>
          <w:ilvl w:val="0"/>
          <w:numId w:val="10"/>
        </w:numPr>
      </w:pPr>
      <w:r>
        <w:rPr>
          <w:rFonts w:ascii="Figtree" w:hAnsi="Figtree"/>
          <w:b/>
          <w:i w:val="0"/>
          <w:sz w:val="22"/>
        </w:rPr>
        <w:t>Provider abstraction:</w:t>
      </w:r>
      <w:r>
        <w:rPr>
          <w:rFonts w:ascii="Figtree" w:hAnsi="Figtree"/>
          <w:b w:val="0"/>
          <w:i w:val="0"/>
          <w:sz w:val="22"/>
        </w:rPr>
        <w:t xml:space="preserve"> Bring-your-own-chain, bring-your-own-custodian, bring-your-own-identity-provider</w:t>
      </w:r>
    </w:p>
    <w:p>
      <w:pPr>
        <w:pStyle w:val="H3"/>
        <w:numPr>
          <w:ilvl w:val="2"/>
          <w:numId w:val="1"/>
        </w:numPr>
      </w:pPr>
      <w:r>
        <w:t>Layered Architecture</w:t>
      </w:r>
    </w:p>
    <w:p>
      <w:pPr>
        <w:jc w:val="center"/>
      </w:pPr>
      <w:r>
        <w:drawing>
          <wp:inline xmlns:a="http://schemas.openxmlformats.org/drawingml/2006/main" xmlns:pic="http://schemas.openxmlformats.org/drawingml/2006/picture">
            <wp:extent cx="5486400" cy="244928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449286"/>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a web-based operational interface for deposit and trade finance management, compliance monitoring, identity verification, and settlement tracking. It is the primary interface for Emirates NBD operators but not the only access path — all operations are available through the API.</w:t>
      </w:r>
    </w:p>
    <w:p>
      <w:r>
        <w:rPr>
          <w:rFonts w:ascii="Figtree" w:hAnsi="Figtree"/>
          <w:b/>
          <w:i w:val="0"/>
          <w:sz w:val="22"/>
        </w:rPr>
        <w:t>API Layer:</w:t>
      </w:r>
      <w:r>
        <w:rPr>
          <w:rFonts w:ascii="Figtree" w:hAnsi="Figtree"/>
          <w:b w:val="0"/>
          <w:i w:val="0"/>
          <w:sz w:val="22"/>
        </w:rPr>
        <w:t xml:space="preserve"> DAPI serves two endpoints with different authentication models. `/api/v2` (API key authentication) serves SDK, CLI, and backend integrations. `/api/rpc` (session/cookie authentication) serves the web UI. This separation enforces a hardened security boundary where API keys are explicitly blocked on the RPC endpoint.</w:t>
      </w:r>
    </w:p>
    <w:p>
      <w:r>
        <w:rPr>
          <w:rFonts w:ascii="Figtree" w:hAnsi="Figtree"/>
          <w:b/>
          <w:i w:val="0"/>
          <w:sz w:val="22"/>
        </w:rPr>
        <w:t>Middleware Layer:</w:t>
      </w:r>
      <w:r>
        <w:rPr>
          <w:rFonts w:ascii="Figtree" w:hAnsi="Figtree"/>
          <w:b w:val="0"/>
          <w:i w:val="0"/>
          <w:sz w:val="22"/>
        </w:rPr>
        <w:t xml:space="preserve"> Seven specialized services handle workflow orchestration (Execution Engine), key management (Key Guardian), transaction signing, smart contract interaction, blockchain event indexing, multi-chain connectivity, and external data feeds. The Execution Engine provides durable workflow guarantees — critical for multi-step trade finance operations that must survive system restarts.</w:t>
      </w:r>
    </w:p>
    <w:p>
      <w:r>
        <w:rPr>
          <w:rFonts w:ascii="Figtree" w:hAnsi="Figtree"/>
          <w:b/>
          <w:i w:val="0"/>
          <w:sz w:val="22"/>
        </w:rPr>
        <w:t>Smart Contract Layer:</w:t>
      </w:r>
      <w:r>
        <w:rPr>
          <w:rFonts w:ascii="Figtree" w:hAnsi="Figtree"/>
          <w:b w:val="0"/>
          <w:i w:val="0"/>
          <w:sz w:val="22"/>
        </w:rPr>
        <w:t xml:space="preserve"> All on-chain logic is built on the SMART Protocol (ERC-3643), which enforces modular compliance, identity verification, and extension management. DALPAsset provides runtime configurability — features and compliance modules can be attached, detached, and reconfigured after deployment without redeploying the token contract.</w:t>
      </w:r>
    </w:p>
    <w:p>
      <w:pPr>
        <w:pStyle w:val="H3"/>
        <w:numPr>
          <w:ilvl w:val="2"/>
          <w:numId w:val="1"/>
        </w:numPr>
      </w:pPr>
      <w:r>
        <w:t>Data Architecture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Data Domain</w:t>
            </w:r>
          </w:p>
        </w:tc>
        <w:tc>
          <w:tcPr>
            <w:tcW w:type="dxa" w:w="2436"/>
            <w:vAlign w:val="center"/>
            <w:shd w:fill="000099" w:val="clear"/>
          </w:tcPr>
          <w:p>
            <w:r>
              <w:rPr>
                <w:b/>
                <w:color w:val="FFFFFF"/>
              </w:rPr>
            </w:r>
            <w:r>
              <w:rPr>
                <w:rFonts w:ascii="Figtree" w:hAnsi="Figtree"/>
                <w:b/>
                <w:i w:val="0"/>
                <w:color w:val="FFFFFF"/>
                <w:sz w:val="22"/>
              </w:rPr>
              <w:t>Storage</w:t>
            </w:r>
          </w:p>
        </w:tc>
        <w:tc>
          <w:tcPr>
            <w:tcW w:type="dxa" w:w="2436"/>
            <w:vAlign w:val="center"/>
            <w:shd w:fill="000099" w:val="clear"/>
          </w:tcPr>
          <w:p>
            <w:r>
              <w:rPr>
                <w:b/>
                <w:color w:val="FFFFFF"/>
              </w:rPr>
            </w:r>
            <w:r>
              <w:rPr>
                <w:rFonts w:ascii="Figtree" w:hAnsi="Figtree"/>
                <w:b/>
                <w:i w:val="0"/>
                <w:color w:val="FFFFFF"/>
                <w:sz w:val="22"/>
              </w:rPr>
              <w:t>Purpose</w:t>
            </w:r>
          </w:p>
        </w:tc>
        <w:tc>
          <w:tcPr>
            <w:tcW w:type="dxa" w:w="2436"/>
            <w:vAlign w:val="center"/>
            <w:shd w:fill="000099" w:val="clear"/>
          </w:tcPr>
          <w:p>
            <w:r>
              <w:rPr>
                <w:b/>
                <w:color w:val="FFFFFF"/>
              </w:rPr>
            </w:r>
            <w:r>
              <w:rPr>
                <w:rFonts w:ascii="Figtree" w:hAnsi="Figtree"/>
                <w:b/>
                <w:i w:val="0"/>
                <w:color w:val="FFFFFF"/>
                <w:sz w:val="22"/>
              </w:rPr>
              <w:t>Retention</w:t>
            </w:r>
          </w:p>
        </w:tc>
      </w:tr>
      <w:tr>
        <w:trPr>
          <w:trHeight w:val="454" w:hRule="atLeast"/>
        </w:trPr>
        <w:tc>
          <w:tcPr>
            <w:tcW w:type="dxa" w:w="2436"/>
            <w:vAlign w:val="center"/>
          </w:tcPr>
          <w:p>
            <w:r/>
            <w:r>
              <w:rPr>
                <w:rFonts w:ascii="Figtree" w:hAnsi="Figtree"/>
                <w:b w:val="0"/>
                <w:i w:val="0"/>
                <w:sz w:val="22"/>
              </w:rPr>
              <w:t>On-chain state</w:t>
            </w:r>
          </w:p>
        </w:tc>
        <w:tc>
          <w:tcPr>
            <w:tcW w:type="dxa" w:w="2436"/>
            <w:vAlign w:val="center"/>
          </w:tcPr>
          <w:p>
            <w:r/>
            <w:r>
              <w:rPr>
                <w:rFonts w:ascii="Figtree" w:hAnsi="Figtree"/>
                <w:b w:val="0"/>
                <w:i w:val="0"/>
                <w:sz w:val="22"/>
              </w:rPr>
              <w:t>Blockchain (Besu)</w:t>
            </w:r>
          </w:p>
        </w:tc>
        <w:tc>
          <w:tcPr>
            <w:tcW w:type="dxa" w:w="2436"/>
            <w:vAlign w:val="center"/>
          </w:tcPr>
          <w:p>
            <w:r/>
            <w:r>
              <w:rPr>
                <w:rFonts w:ascii="Figtree" w:hAnsi="Figtree"/>
                <w:b w:val="0"/>
                <w:i w:val="0"/>
                <w:sz w:val="22"/>
              </w:rPr>
              <w:t>Token balances, compliance state, identity claims</w:t>
            </w:r>
          </w:p>
        </w:tc>
        <w:tc>
          <w:tcPr>
            <w:tcW w:type="dxa" w:w="2436"/>
            <w:vAlign w:val="center"/>
          </w:tcPr>
          <w:p>
            <w:r/>
            <w:r>
              <w:rPr>
                <w:rFonts w:ascii="Figtree" w:hAnsi="Figtree"/>
                <w:b w:val="0"/>
                <w:i w:val="0"/>
                <w:sz w:val="22"/>
              </w:rPr>
              <w:t>Permanent (immutable)</w:t>
            </w:r>
          </w:p>
        </w:tc>
      </w:tr>
      <w:tr>
        <w:trPr>
          <w:trHeight w:val="454" w:hRule="atLeast"/>
        </w:trPr>
        <w:tc>
          <w:tcPr>
            <w:tcW w:type="dxa" w:w="2436"/>
            <w:vAlign w:val="center"/>
          </w:tcPr>
          <w:p>
            <w:r/>
            <w:r>
              <w:rPr>
                <w:rFonts w:ascii="Figtree" w:hAnsi="Figtree"/>
                <w:b w:val="0"/>
                <w:i w:val="0"/>
                <w:sz w:val="22"/>
              </w:rPr>
              <w:t>Application state</w:t>
            </w:r>
          </w:p>
        </w:tc>
        <w:tc>
          <w:tcPr>
            <w:tcW w:type="dxa" w:w="2436"/>
            <w:vAlign w:val="center"/>
          </w:tcPr>
          <w:p>
            <w:r/>
            <w:r>
              <w:rPr>
                <w:rFonts w:ascii="Figtree" w:hAnsi="Figtree"/>
                <w:b w:val="0"/>
                <w:i w:val="0"/>
                <w:sz w:val="22"/>
              </w:rPr>
              <w:t>PostgreSQL</w:t>
            </w:r>
          </w:p>
        </w:tc>
        <w:tc>
          <w:tcPr>
            <w:tcW w:type="dxa" w:w="2436"/>
            <w:vAlign w:val="center"/>
          </w:tcPr>
          <w:p>
            <w:r/>
            <w:r>
              <w:rPr>
                <w:rFonts w:ascii="Figtree" w:hAnsi="Figtree"/>
                <w:b w:val="0"/>
                <w:i w:val="0"/>
                <w:sz w:val="22"/>
              </w:rPr>
              <w:t>User accounts, sessions, configurations, workflow state</w:t>
            </w:r>
          </w:p>
        </w:tc>
        <w:tc>
          <w:tcPr>
            <w:tcW w:type="dxa" w:w="2436"/>
            <w:vAlign w:val="center"/>
          </w:tcPr>
          <w:p>
            <w:r/>
            <w:r>
              <w:rPr>
                <w:rFonts w:ascii="Figtree" w:hAnsi="Figtree"/>
                <w:b w:val="0"/>
                <w:i w:val="0"/>
                <w:sz w:val="22"/>
              </w:rPr>
              <w:t>Configurable</w:t>
            </w:r>
          </w:p>
        </w:tc>
      </w:tr>
      <w:tr>
        <w:trPr>
          <w:trHeight w:val="454" w:hRule="atLeast"/>
        </w:trPr>
        <w:tc>
          <w:tcPr>
            <w:tcW w:type="dxa" w:w="2436"/>
            <w:vAlign w:val="center"/>
          </w:tcPr>
          <w:p>
            <w:r/>
            <w:r>
              <w:rPr>
                <w:rFonts w:ascii="Figtree" w:hAnsi="Figtree"/>
                <w:b w:val="0"/>
                <w:i w:val="0"/>
                <w:sz w:val="22"/>
              </w:rPr>
              <w:t>Indexed state</w:t>
            </w:r>
          </w:p>
        </w:tc>
        <w:tc>
          <w:tcPr>
            <w:tcW w:type="dxa" w:w="2436"/>
            <w:vAlign w:val="center"/>
          </w:tcPr>
          <w:p>
            <w:r/>
            <w:r>
              <w:rPr>
                <w:rFonts w:ascii="Figtree" w:hAnsi="Figtree"/>
                <w:b w:val="0"/>
                <w:i w:val="0"/>
                <w:sz w:val="22"/>
              </w:rPr>
              <w:t>Chain Indexer → PostgreSQL</w:t>
            </w:r>
          </w:p>
        </w:tc>
        <w:tc>
          <w:tcPr>
            <w:tcW w:type="dxa" w:w="2436"/>
            <w:vAlign w:val="center"/>
          </w:tcPr>
          <w:p>
            <w:r/>
            <w:r>
              <w:rPr>
                <w:rFonts w:ascii="Figtree" w:hAnsi="Figtree"/>
                <w:b w:val="0"/>
                <w:i w:val="0"/>
                <w:sz w:val="22"/>
              </w:rPr>
              <w:t>Queryable event history, analytics, reporting</w:t>
            </w:r>
          </w:p>
        </w:tc>
        <w:tc>
          <w:tcPr>
            <w:tcW w:type="dxa" w:w="2436"/>
            <w:vAlign w:val="center"/>
          </w:tcPr>
          <w:p>
            <w:r/>
            <w:r>
              <w:rPr>
                <w:rFonts w:ascii="Figtree" w:hAnsi="Figtree"/>
                <w:b w:val="0"/>
                <w:i w:val="0"/>
                <w:sz w:val="22"/>
              </w:rPr>
              <w:t>Configurable</w:t>
            </w:r>
          </w:p>
        </w:tc>
      </w:tr>
      <w:tr>
        <w:trPr>
          <w:trHeight w:val="454" w:hRule="atLeast"/>
        </w:trPr>
        <w:tc>
          <w:tcPr>
            <w:tcW w:type="dxa" w:w="2436"/>
            <w:vAlign w:val="center"/>
          </w:tcPr>
          <w:p>
            <w:r/>
            <w:r>
              <w:rPr>
                <w:rFonts w:ascii="Figtree" w:hAnsi="Figtree"/>
                <w:b w:val="0"/>
                <w:i w:val="0"/>
                <w:sz w:val="22"/>
              </w:rPr>
              <w:t>Audit evidence</w:t>
            </w:r>
          </w:p>
        </w:tc>
        <w:tc>
          <w:tcPr>
            <w:tcW w:type="dxa" w:w="2436"/>
            <w:vAlign w:val="center"/>
          </w:tcPr>
          <w:p>
            <w:r/>
            <w:r>
              <w:rPr>
                <w:rFonts w:ascii="Figtree" w:hAnsi="Figtree"/>
                <w:b w:val="0"/>
                <w:i w:val="0"/>
                <w:sz w:val="22"/>
              </w:rPr>
              <w:t>Blockchain + PostgreSQL</w:t>
            </w:r>
          </w:p>
        </w:tc>
        <w:tc>
          <w:tcPr>
            <w:tcW w:type="dxa" w:w="2436"/>
            <w:vAlign w:val="center"/>
          </w:tcPr>
          <w:p>
            <w:r/>
            <w:r>
              <w:rPr>
                <w:rFonts w:ascii="Figtree" w:hAnsi="Figtree"/>
                <w:b w:val="0"/>
                <w:i w:val="0"/>
                <w:sz w:val="22"/>
              </w:rPr>
              <w:t>Transaction records, compliance decisions, approval chains</w:t>
            </w:r>
          </w:p>
        </w:tc>
        <w:tc>
          <w:tcPr>
            <w:tcW w:type="dxa" w:w="2436"/>
            <w:vAlign w:val="center"/>
          </w:tcPr>
          <w:p>
            <w:r/>
            <w:r>
              <w:rPr>
                <w:rFonts w:ascii="Figtree" w:hAnsi="Figtree"/>
                <w:b w:val="0"/>
                <w:i w:val="0"/>
                <w:sz w:val="22"/>
              </w:rPr>
              <w:t>Regulatory minimum</w:t>
            </w:r>
          </w:p>
        </w:tc>
      </w:tr>
      <w:tr>
        <w:trPr>
          <w:trHeight w:val="454" w:hRule="atLeast"/>
        </w:trPr>
        <w:tc>
          <w:tcPr>
            <w:tcW w:type="dxa" w:w="2436"/>
            <w:vAlign w:val="center"/>
          </w:tcPr>
          <w:p>
            <w:r/>
            <w:r>
              <w:rPr>
                <w:rFonts w:ascii="Figtree" w:hAnsi="Figtree"/>
                <w:b w:val="0"/>
                <w:i w:val="0"/>
                <w:sz w:val="22"/>
              </w:rPr>
              <w:t>Cache/session</w:t>
            </w:r>
          </w:p>
        </w:tc>
        <w:tc>
          <w:tcPr>
            <w:tcW w:type="dxa" w:w="2436"/>
            <w:vAlign w:val="center"/>
          </w:tcPr>
          <w:p>
            <w:r/>
            <w:r>
              <w:rPr>
                <w:rFonts w:ascii="Figtree" w:hAnsi="Figtree"/>
                <w:b w:val="0"/>
                <w:i w:val="0"/>
                <w:sz w:val="22"/>
              </w:rPr>
              <w:t>Redis</w:t>
            </w:r>
          </w:p>
        </w:tc>
        <w:tc>
          <w:tcPr>
            <w:tcW w:type="dxa" w:w="2436"/>
            <w:vAlign w:val="center"/>
          </w:tcPr>
          <w:p>
            <w:r/>
            <w:r>
              <w:rPr>
                <w:rFonts w:ascii="Figtree" w:hAnsi="Figtree"/>
                <w:b w:val="0"/>
                <w:i w:val="0"/>
                <w:sz w:val="22"/>
              </w:rPr>
              <w:t>Session tokens, temporary computation</w:t>
            </w:r>
          </w:p>
        </w:tc>
        <w:tc>
          <w:tcPr>
            <w:tcW w:type="dxa" w:w="2436"/>
            <w:vAlign w:val="center"/>
          </w:tcPr>
          <w:p>
            <w:r/>
            <w:r>
              <w:rPr>
                <w:rFonts w:ascii="Figtree" w:hAnsi="Figtree"/>
                <w:b w:val="0"/>
                <w:i w:val="0"/>
                <w:sz w:val="22"/>
              </w:rPr>
              <w:t>Ephemeral</w:t>
            </w:r>
          </w:p>
        </w:tc>
      </w:tr>
      <w:tr>
        <w:trPr>
          <w:trHeight w:val="454" w:hRule="atLeast"/>
        </w:trPr>
        <w:tc>
          <w:tcPr>
            <w:tcW w:type="dxa" w:w="2436"/>
            <w:vAlign w:val="center"/>
          </w:tcPr>
          <w:p>
            <w:r/>
            <w:r>
              <w:rPr>
                <w:rFonts w:ascii="Figtree" w:hAnsi="Figtree"/>
                <w:b w:val="0"/>
                <w:i w:val="0"/>
                <w:sz w:val="22"/>
              </w:rPr>
              <w:t>Documents</w:t>
            </w:r>
          </w:p>
        </w:tc>
        <w:tc>
          <w:tcPr>
            <w:tcW w:type="dxa" w:w="2436"/>
            <w:vAlign w:val="center"/>
          </w:tcPr>
          <w:p>
            <w:r/>
            <w:r>
              <w:rPr>
                <w:rFonts w:ascii="Figtree" w:hAnsi="Figtree"/>
                <w:b w:val="0"/>
                <w:i w:val="0"/>
                <w:sz w:val="22"/>
              </w:rPr>
              <w:t>Object storage</w:t>
            </w:r>
          </w:p>
        </w:tc>
        <w:tc>
          <w:tcPr>
            <w:tcW w:type="dxa" w:w="2436"/>
            <w:vAlign w:val="center"/>
          </w:tcPr>
          <w:p>
            <w:r/>
            <w:r>
              <w:rPr>
                <w:rFonts w:ascii="Figtree" w:hAnsi="Figtree"/>
                <w:b w:val="0"/>
                <w:i w:val="0"/>
                <w:sz w:val="22"/>
              </w:rPr>
              <w:t>Trade finance documents, evidence attachments</w:t>
            </w:r>
          </w:p>
        </w:tc>
        <w:tc>
          <w:tcPr>
            <w:tcW w:type="dxa" w:w="2436"/>
            <w:vAlign w:val="center"/>
          </w:tcPr>
          <w:p>
            <w:r/>
            <w:r>
              <w:rPr>
                <w:rFonts w:ascii="Figtree" w:hAnsi="Figtree"/>
                <w:b w:val="0"/>
                <w:i w:val="0"/>
                <w:sz w:val="22"/>
              </w:rPr>
              <w:t>Configurable</w:t>
            </w:r>
          </w:p>
        </w:tc>
      </w:tr>
    </w:tbl>
    <w:p>
      <w:pPr>
        <w:pStyle w:val="H3"/>
        <w:numPr>
          <w:ilvl w:val="2"/>
          <w:numId w:val="1"/>
        </w:numPr>
      </w:pPr>
      <w:r>
        <w:t>Network and Chain Topology</w:t>
      </w:r>
    </w:p>
    <w:p>
      <w:r>
        <w:rPr>
          <w:rFonts w:ascii="Figtree" w:hAnsi="Figtree"/>
          <w:b/>
          <w:i w:val="0"/>
          <w:sz w:val="22"/>
        </w:rPr>
        <w:t>Recommended configuration for Emirates NBD:</w:t>
      </w:r>
      <w:r>
        <w:rPr>
          <w:rFonts w:ascii="Figtree" w:hAnsi="Figtree"/>
          <w:b w:val="0"/>
          <w:i w:val="0"/>
          <w:sz w:val="22"/>
        </w:rPr>
        <w:t xml:space="preserve"> Permissioned Hyperledger Besu network with IBFT 2.0 consensus.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Recommendation</w:t>
            </w:r>
          </w:p>
        </w:tc>
      </w:tr>
      <w:tr>
        <w:trPr>
          <w:trHeight w:val="454" w:hRule="atLeast"/>
        </w:trPr>
        <w:tc>
          <w:tcPr>
            <w:tcW w:type="dxa" w:w="4873"/>
            <w:vAlign w:val="center"/>
          </w:tcPr>
          <w:p>
            <w:r/>
            <w:r>
              <w:rPr>
                <w:rFonts w:ascii="Figtree" w:hAnsi="Figtree"/>
                <w:b w:val="0"/>
                <w:i w:val="0"/>
                <w:sz w:val="22"/>
              </w:rPr>
              <w:t>Consensus</w:t>
            </w:r>
          </w:p>
        </w:tc>
        <w:tc>
          <w:tcPr>
            <w:tcW w:type="dxa" w:w="4873"/>
            <w:vAlign w:val="center"/>
          </w:tcPr>
          <w:p>
            <w:r/>
            <w:r>
              <w:rPr>
                <w:rFonts w:ascii="Figtree" w:hAnsi="Figtree"/>
                <w:b w:val="0"/>
                <w:i w:val="0"/>
                <w:sz w:val="22"/>
              </w:rPr>
              <w:t>IBFT 2.0 (Istanbul Byzantine Fault Tolerant)</w:t>
            </w:r>
          </w:p>
        </w:tc>
      </w:tr>
      <w:tr>
        <w:trPr>
          <w:trHeight w:val="454" w:hRule="atLeast"/>
        </w:trPr>
        <w:tc>
          <w:tcPr>
            <w:tcW w:type="dxa" w:w="4873"/>
            <w:vAlign w:val="center"/>
          </w:tcPr>
          <w:p>
            <w:r/>
            <w:r>
              <w:rPr>
                <w:rFonts w:ascii="Figtree" w:hAnsi="Figtree"/>
                <w:b w:val="0"/>
                <w:i w:val="0"/>
                <w:sz w:val="22"/>
              </w:rPr>
              <w:t>Validator nodes</w:t>
            </w:r>
          </w:p>
        </w:tc>
        <w:tc>
          <w:tcPr>
            <w:tcW w:type="dxa" w:w="4873"/>
            <w:vAlign w:val="center"/>
          </w:tcPr>
          <w:p>
            <w:r/>
            <w:r>
              <w:rPr>
                <w:rFonts w:ascii="Figtree" w:hAnsi="Figtree"/>
                <w:b w:val="0"/>
                <w:i w:val="0"/>
                <w:sz w:val="22"/>
              </w:rPr>
              <w:t>4 nodes (tolerates 1 Byzantine fault)</w:t>
            </w:r>
          </w:p>
        </w:tc>
      </w:tr>
      <w:tr>
        <w:trPr>
          <w:trHeight w:val="454" w:hRule="atLeast"/>
        </w:trPr>
        <w:tc>
          <w:tcPr>
            <w:tcW w:type="dxa" w:w="4873"/>
            <w:vAlign w:val="center"/>
          </w:tcPr>
          <w:p>
            <w:r/>
            <w:r>
              <w:rPr>
                <w:rFonts w:ascii="Figtree" w:hAnsi="Figtree"/>
                <w:b w:val="0"/>
                <w:i w:val="0"/>
                <w:sz w:val="22"/>
              </w:rPr>
              <w:t>Block time</w:t>
            </w:r>
          </w:p>
        </w:tc>
        <w:tc>
          <w:tcPr>
            <w:tcW w:type="dxa" w:w="4873"/>
            <w:vAlign w:val="center"/>
          </w:tcPr>
          <w:p>
            <w:r/>
            <w:r>
              <w:rPr>
                <w:rFonts w:ascii="Figtree" w:hAnsi="Figtree"/>
                <w:b w:val="0"/>
                <w:i w:val="0"/>
                <w:sz w:val="22"/>
              </w:rPr>
              <w:t>2 seconds</w:t>
            </w:r>
          </w:p>
        </w:tc>
      </w:tr>
      <w:tr>
        <w:trPr>
          <w:trHeight w:val="454" w:hRule="atLeast"/>
        </w:trPr>
        <w:tc>
          <w:tcPr>
            <w:tcW w:type="dxa" w:w="4873"/>
            <w:vAlign w:val="center"/>
          </w:tcPr>
          <w:p>
            <w:r/>
            <w:r>
              <w:rPr>
                <w:rFonts w:ascii="Figtree" w:hAnsi="Figtree"/>
                <w:b w:val="0"/>
                <w:i w:val="0"/>
                <w:sz w:val="22"/>
              </w:rPr>
              <w:t>Network visibility</w:t>
            </w:r>
          </w:p>
        </w:tc>
        <w:tc>
          <w:tcPr>
            <w:tcW w:type="dxa" w:w="4873"/>
            <w:vAlign w:val="center"/>
          </w:tcPr>
          <w:p>
            <w:r/>
            <w:r>
              <w:rPr>
                <w:rFonts w:ascii="Figtree" w:hAnsi="Figtree"/>
                <w:b w:val="0"/>
                <w:i w:val="0"/>
                <w:sz w:val="22"/>
              </w:rPr>
              <w:t>Permissioned (Emirates NBD-controlled)</w:t>
            </w:r>
          </w:p>
        </w:tc>
      </w:tr>
      <w:tr>
        <w:trPr>
          <w:trHeight w:val="454" w:hRule="atLeast"/>
        </w:trPr>
        <w:tc>
          <w:tcPr>
            <w:tcW w:type="dxa" w:w="4873"/>
            <w:vAlign w:val="center"/>
          </w:tcPr>
          <w:p>
            <w:r/>
            <w:r>
              <w:rPr>
                <w:rFonts w:ascii="Figtree" w:hAnsi="Figtree"/>
                <w:b w:val="0"/>
                <w:i w:val="0"/>
                <w:sz w:val="22"/>
              </w:rPr>
              <w:t>Transaction privacy</w:t>
            </w:r>
          </w:p>
        </w:tc>
        <w:tc>
          <w:tcPr>
            <w:tcW w:type="dxa" w:w="4873"/>
            <w:vAlign w:val="center"/>
          </w:tcPr>
          <w:p>
            <w:r/>
            <w:r>
              <w:rPr>
                <w:rFonts w:ascii="Figtree" w:hAnsi="Figtree"/>
                <w:b w:val="0"/>
                <w:i w:val="0"/>
                <w:sz w:val="22"/>
              </w:rPr>
              <w:t>All participants share ledger visibility</w:t>
            </w:r>
          </w:p>
        </w:tc>
      </w:tr>
      <w:tr>
        <w:trPr>
          <w:trHeight w:val="454" w:hRule="atLeast"/>
        </w:trPr>
        <w:tc>
          <w:tcPr>
            <w:tcW w:type="dxa" w:w="4873"/>
            <w:vAlign w:val="center"/>
          </w:tcPr>
          <w:p>
            <w:r/>
            <w:r>
              <w:rPr>
                <w:rFonts w:ascii="Figtree" w:hAnsi="Figtree"/>
                <w:b w:val="0"/>
                <w:i w:val="0"/>
                <w:sz w:val="22"/>
              </w:rPr>
              <w:t>Rationale</w:t>
            </w:r>
          </w:p>
        </w:tc>
        <w:tc>
          <w:tcPr>
            <w:tcW w:type="dxa" w:w="4873"/>
            <w:vAlign w:val="center"/>
          </w:tcPr>
          <w:p>
            <w:r/>
            <w:r>
              <w:rPr>
                <w:rFonts w:ascii="Figtree" w:hAnsi="Figtree"/>
                <w:b w:val="0"/>
                <w:i w:val="0"/>
                <w:sz w:val="22"/>
              </w:rPr>
              <w:t>Deterministic finality, no mining, enterprise-grade performance</w:t>
            </w:r>
          </w:p>
        </w:tc>
      </w:tr>
    </w:tbl>
    <w:p>
      <w:r>
        <w:rPr>
          <w:rFonts w:ascii="Figtree" w:hAnsi="Figtree"/>
          <w:b w:val="0"/>
          <w:i w:val="0"/>
          <w:sz w:val="22"/>
        </w:rPr>
        <w:t>IBFT 2.0 was chosen over probabilistic consensus mechanisms because deterministic finality eliminates confirmation-depth waiting — critical for settlement use cases where Emirates NBD needs to know with certainty that a settlement is final, not probably final.</w:t>
      </w:r>
    </w:p>
    <w:p>
      <w:pPr>
        <w:pStyle w:val="H3"/>
        <w:numPr>
          <w:ilvl w:val="2"/>
          <w:numId w:val="1"/>
        </w:numPr>
      </w:pPr>
      <w:r>
        <w:t>Multi-Tenancy and Environment Segregation</w:t>
      </w:r>
    </w:p>
    <w:p>
      <w:r>
        <w:rPr>
          <w:rFonts w:ascii="Figtree" w:hAnsi="Figtree"/>
          <w:b w:val="0"/>
          <w:i w:val="0"/>
          <w:sz w:val="22"/>
        </w:rPr>
        <w:t>DALP supports Emirates NBD's requirement for segregated environments: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Environment</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Data Isolation</w:t>
            </w:r>
          </w:p>
        </w:tc>
      </w:tr>
      <w:tr>
        <w:trPr>
          <w:trHeight w:val="454" w:hRule="atLeast"/>
        </w:trPr>
        <w:tc>
          <w:tcPr>
            <w:tcW w:type="dxa" w:w="3249"/>
            <w:vAlign w:val="center"/>
          </w:tcPr>
          <w:p>
            <w:r/>
            <w:r>
              <w:rPr>
                <w:rFonts w:ascii="Figtree" w:hAnsi="Figtree"/>
                <w:b w:val="0"/>
                <w:i w:val="0"/>
                <w:sz w:val="22"/>
              </w:rPr>
              <w:t>Development</w:t>
            </w:r>
          </w:p>
        </w:tc>
        <w:tc>
          <w:tcPr>
            <w:tcW w:type="dxa" w:w="3249"/>
            <w:vAlign w:val="center"/>
          </w:tcPr>
          <w:p>
            <w:r/>
            <w:r>
              <w:rPr>
                <w:rFonts w:ascii="Figtree" w:hAnsi="Figtree"/>
                <w:b w:val="0"/>
                <w:i w:val="0"/>
                <w:sz w:val="22"/>
              </w:rPr>
              <w:t>Feature development, API integration testing</w:t>
            </w:r>
          </w:p>
        </w:tc>
        <w:tc>
          <w:tcPr>
            <w:tcW w:type="dxa" w:w="3249"/>
            <w:vAlign w:val="center"/>
          </w:tcPr>
          <w:p>
            <w:r/>
            <w:r>
              <w:rPr>
                <w:rFonts w:ascii="Figtree" w:hAnsi="Figtree"/>
                <w:b w:val="0"/>
                <w:i w:val="0"/>
                <w:sz w:val="22"/>
              </w:rPr>
              <w:t>Fully isolated</w:t>
            </w:r>
          </w:p>
        </w:tc>
      </w:tr>
      <w:tr>
        <w:trPr>
          <w:trHeight w:val="454" w:hRule="atLeast"/>
        </w:trPr>
        <w:tc>
          <w:tcPr>
            <w:tcW w:type="dxa" w:w="3249"/>
            <w:vAlign w:val="center"/>
          </w:tcPr>
          <w:p>
            <w:r/>
            <w:r>
              <w:rPr>
                <w:rFonts w:ascii="Figtree" w:hAnsi="Figtree"/>
                <w:b w:val="0"/>
                <w:i w:val="0"/>
                <w:sz w:val="22"/>
              </w:rPr>
              <w:t>UAT/Staging</w:t>
            </w:r>
          </w:p>
        </w:tc>
        <w:tc>
          <w:tcPr>
            <w:tcW w:type="dxa" w:w="3249"/>
            <w:vAlign w:val="center"/>
          </w:tcPr>
          <w:p>
            <w:r/>
            <w:r>
              <w:rPr>
                <w:rFonts w:ascii="Figtree" w:hAnsi="Figtree"/>
                <w:b w:val="0"/>
                <w:i w:val="0"/>
                <w:sz w:val="22"/>
              </w:rPr>
              <w:t>User acceptance testing, business validation</w:t>
            </w:r>
          </w:p>
        </w:tc>
        <w:tc>
          <w:tcPr>
            <w:tcW w:type="dxa" w:w="3249"/>
            <w:vAlign w:val="center"/>
          </w:tcPr>
          <w:p>
            <w:r/>
            <w:r>
              <w:rPr>
                <w:rFonts w:ascii="Figtree" w:hAnsi="Figtree"/>
                <w:b w:val="0"/>
                <w:i w:val="0"/>
                <w:sz w:val="22"/>
              </w:rPr>
              <w:t>Fully isolated</w:t>
            </w:r>
          </w:p>
        </w:tc>
      </w:tr>
      <w:tr>
        <w:trPr>
          <w:trHeight w:val="454" w:hRule="atLeast"/>
        </w:trPr>
        <w:tc>
          <w:tcPr>
            <w:tcW w:type="dxa" w:w="3249"/>
            <w:vAlign w:val="center"/>
          </w:tcPr>
          <w:p>
            <w:r/>
            <w:r>
              <w:rPr>
                <w:rFonts w:ascii="Figtree" w:hAnsi="Figtree"/>
                <w:b w:val="0"/>
                <w:i w:val="0"/>
                <w:sz w:val="22"/>
              </w:rPr>
              <w:t>DR (Disaster Recovery)</w:t>
            </w:r>
          </w:p>
        </w:tc>
        <w:tc>
          <w:tcPr>
            <w:tcW w:type="dxa" w:w="3249"/>
            <w:vAlign w:val="center"/>
          </w:tcPr>
          <w:p>
            <w:r/>
            <w:r>
              <w:rPr>
                <w:rFonts w:ascii="Figtree" w:hAnsi="Figtree"/>
                <w:b w:val="0"/>
                <w:i w:val="0"/>
                <w:sz w:val="22"/>
              </w:rPr>
              <w:t>Business continuity</w:t>
            </w:r>
          </w:p>
        </w:tc>
        <w:tc>
          <w:tcPr>
            <w:tcW w:type="dxa" w:w="3249"/>
            <w:vAlign w:val="center"/>
          </w:tcPr>
          <w:p>
            <w:r/>
            <w:r>
              <w:rPr>
                <w:rFonts w:ascii="Figtree" w:hAnsi="Figtree"/>
                <w:b w:val="0"/>
                <w:i w:val="0"/>
                <w:sz w:val="22"/>
              </w:rPr>
              <w:t>Replicated from production</w:t>
            </w:r>
          </w:p>
        </w:tc>
      </w:tr>
      <w:tr>
        <w:trPr>
          <w:trHeight w:val="454" w:hRule="atLeast"/>
        </w:trPr>
        <w:tc>
          <w:tcPr>
            <w:tcW w:type="dxa" w:w="3249"/>
            <w:vAlign w:val="center"/>
          </w:tcPr>
          <w:p>
            <w:r/>
            <w:r>
              <w:rPr>
                <w:rFonts w:ascii="Figtree" w:hAnsi="Figtree"/>
                <w:b w:val="0"/>
                <w:i w:val="0"/>
                <w:sz w:val="22"/>
              </w:rPr>
              <w:t>Production</w:t>
            </w:r>
          </w:p>
        </w:tc>
        <w:tc>
          <w:tcPr>
            <w:tcW w:type="dxa" w:w="3249"/>
            <w:vAlign w:val="center"/>
          </w:tcPr>
          <w:p>
            <w:r/>
            <w:r>
              <w:rPr>
                <w:rFonts w:ascii="Figtree" w:hAnsi="Figtree"/>
                <w:b w:val="0"/>
                <w:i w:val="0"/>
                <w:sz w:val="22"/>
              </w:rPr>
              <w:t>Live operations</w:t>
            </w:r>
          </w:p>
        </w:tc>
        <w:tc>
          <w:tcPr>
            <w:tcW w:type="dxa" w:w="3249"/>
            <w:vAlign w:val="center"/>
          </w:tcPr>
          <w:p>
            <w:r/>
            <w:r>
              <w:rPr>
                <w:rFonts w:ascii="Figtree" w:hAnsi="Figtree"/>
                <w:b w:val="0"/>
                <w:i w:val="0"/>
                <w:sz w:val="22"/>
              </w:rPr>
              <w:t>Primary environment</w:t>
            </w:r>
          </w:p>
        </w:tc>
      </w:tr>
    </w:tbl>
    <w:p>
      <w:r>
        <w:rPr>
          <w:rFonts w:ascii="Figtree" w:hAnsi="Figtree"/>
          <w:b w:val="0"/>
          <w:i w:val="0"/>
          <w:sz w:val="22"/>
        </w:rPr>
        <w:t>Each environment runs as an independent DALP instance with its own blockchain network, database, and configuration. There is no data leakage between environments.</w:t>
      </w:r>
    </w:p>
    <w:p>
      <w:pPr>
        <w:pStyle w:val="H3"/>
        <w:numPr>
          <w:ilvl w:val="2"/>
          <w:numId w:val="1"/>
        </w:numPr>
      </w:pPr>
      <w:r>
        <w:t>Operational Architecture</w:t>
      </w:r>
    </w:p>
    <w:p>
      <w:r>
        <w:rPr>
          <w:rFonts w:ascii="Figtree" w:hAnsi="Figtree"/>
          <w:b w:val="0"/>
          <w:i w:val="0"/>
          <w:sz w:val="22"/>
        </w:rPr>
        <w:t>The Execution Engine provides durable workflow guarantees for multi-step operations:</w:t>
      </w:r>
    </w:p>
    <w:p>
      <w:pPr>
        <w:pStyle w:val="ListParagraph"/>
        <w:numPr>
          <w:ilvl w:val="0"/>
          <w:numId w:val="4"/>
        </w:numPr>
      </w:pPr>
      <w:r>
        <w:rPr>
          <w:rFonts w:ascii="Figtree" w:hAnsi="Figtree"/>
          <w:b/>
          <w:i w:val="0"/>
          <w:sz w:val="22"/>
        </w:rPr>
        <w:t>Deterministic execution:</w:t>
      </w:r>
      <w:r>
        <w:rPr>
          <w:rFonts w:ascii="Figtree" w:hAnsi="Figtree"/>
          <w:b w:val="0"/>
          <w:i w:val="0"/>
          <w:sz w:val="22"/>
        </w:rPr>
        <w:t xml:space="preserve"> Workflows produce the same result regardless of when they are replayed after a failure</w:t>
      </w:r>
    </w:p>
    <w:p>
      <w:pPr>
        <w:pStyle w:val="ListParagraph"/>
        <w:numPr>
          <w:ilvl w:val="0"/>
          <w:numId w:val="4"/>
        </w:numPr>
      </w:pPr>
      <w:r>
        <w:rPr>
          <w:rFonts w:ascii="Figtree" w:hAnsi="Figtree"/>
          <w:b/>
          <w:i w:val="0"/>
          <w:sz w:val="22"/>
        </w:rPr>
        <w:t>Automatic retry:</w:t>
      </w:r>
      <w:r>
        <w:rPr>
          <w:rFonts w:ascii="Figtree" w:hAnsi="Figtree"/>
          <w:b w:val="0"/>
          <w:i w:val="0"/>
          <w:sz w:val="22"/>
        </w:rPr>
        <w:t xml:space="preserve"> Failed operations are retried according to configurable policies (exponential backoff, max attempts)</w:t>
      </w:r>
    </w:p>
    <w:p>
      <w:pPr>
        <w:pStyle w:val="ListParagraph"/>
        <w:numPr>
          <w:ilvl w:val="0"/>
          <w:numId w:val="4"/>
        </w:numPr>
      </w:pPr>
      <w:r>
        <w:rPr>
          <w:rFonts w:ascii="Figtree" w:hAnsi="Figtree"/>
          <w:b/>
          <w:i w:val="0"/>
          <w:sz w:val="22"/>
        </w:rPr>
        <w:t>State persistence:</w:t>
      </w:r>
      <w:r>
        <w:rPr>
          <w:rFonts w:ascii="Figtree" w:hAnsi="Figtree"/>
          <w:b w:val="0"/>
          <w:i w:val="0"/>
          <w:sz w:val="22"/>
        </w:rPr>
        <w:t xml:space="preserve"> Workflow state is persisted to PostgreSQL, surviving process restarts and infrastructure failures</w:t>
      </w:r>
    </w:p>
    <w:p>
      <w:pPr>
        <w:pStyle w:val="ListParagraph"/>
        <w:numPr>
          <w:ilvl w:val="0"/>
          <w:numId w:val="4"/>
        </w:numPr>
      </w:pPr>
      <w:r>
        <w:rPr>
          <w:rFonts w:ascii="Figtree" w:hAnsi="Figtree"/>
          <w:b/>
          <w:i w:val="0"/>
          <w:sz w:val="22"/>
        </w:rPr>
        <w:t>Timeout management:</w:t>
      </w:r>
      <w:r>
        <w:rPr>
          <w:rFonts w:ascii="Figtree" w:hAnsi="Figtree"/>
          <w:b w:val="0"/>
          <w:i w:val="0"/>
          <w:sz w:val="22"/>
        </w:rPr>
        <w:t xml:space="preserve"> Long-running workflows (e.g., multi-day trade finance approvals) are tracked with configurable timeouts and escalation paths</w:t>
      </w:r>
    </w:p>
    <w:p>
      <w:r>
        <w:br w:type="page"/>
      </w:r>
    </w:p>
    <w:p>
      <w:pPr>
        <w:pStyle w:val="H2"/>
        <w:numPr>
          <w:ilvl w:val="1"/>
          <w:numId w:val="1"/>
        </w:numPr>
      </w:pPr>
      <w:r>
        <w:t>Smart Contract Architecture for Deposits and Trade Finance</w:t>
      </w:r>
    </w:p>
    <w:p>
      <w:pPr>
        <w:pStyle w:val="H3"/>
        <w:numPr>
          <w:ilvl w:val="2"/>
          <w:numId w:val="1"/>
        </w:numPr>
      </w:pPr>
      <w:r>
        <w:t>SMART Protocol Foundation</w:t>
      </w:r>
    </w:p>
    <w:p>
      <w:r>
        <w:rPr>
          <w:rFonts w:ascii="Figtree" w:hAnsi="Figtree"/>
          <w:b w:val="0"/>
          <w:i w:val="0"/>
          <w:sz w:val="22"/>
        </w:rPr>
        <w:t>All DALP smart contracts are built on the SMART Protocol, an implementation of ERC-3643 providing three foundational sub-layers:</w:t>
      </w:r>
    </w:p>
    <w:p>
      <w:pPr>
        <w:pStyle w:val="ListParagraph"/>
        <w:numPr>
          <w:ilvl w:val="0"/>
          <w:numId w:val="4"/>
        </w:numPr>
      </w:pPr>
      <w:r>
        <w:rPr>
          <w:rFonts w:ascii="Figtree" w:hAnsi="Figtree"/>
          <w:b/>
          <w:i w:val="0"/>
          <w:sz w:val="22"/>
        </w:rPr>
        <w:t>Token:</w:t>
      </w:r>
      <w:r>
        <w:rPr>
          <w:rFonts w:ascii="Figtree" w:hAnsi="Figtree"/>
          <w:b w:val="0"/>
          <w:i w:val="0"/>
          <w:sz w:val="22"/>
        </w:rPr>
        <w:t xml:space="preserve"> ERC-20 compatible contracts with compliance hooks and modular extension system</w:t>
      </w:r>
    </w:p>
    <w:p>
      <w:pPr>
        <w:pStyle w:val="ListParagraph"/>
        <w:numPr>
          <w:ilvl w:val="0"/>
          <w:numId w:val="4"/>
        </w:numPr>
      </w:pPr>
      <w:r>
        <w:rPr>
          <w:rFonts w:ascii="Figtree" w:hAnsi="Figtree"/>
          <w:b/>
          <w:i w:val="0"/>
          <w:sz w:val="22"/>
        </w:rPr>
        <w:t>Compliance:</w:t>
      </w:r>
      <w:r>
        <w:rPr>
          <w:rFonts w:ascii="Figtree" w:hAnsi="Figtree"/>
          <w:b w:val="0"/>
          <w:i w:val="0"/>
          <w:sz w:val="22"/>
        </w:rPr>
        <w:t xml:space="preserve"> Orchestration engine evaluating configurable transfer rules before each transaction</w:t>
      </w:r>
    </w:p>
    <w:p>
      <w:pPr>
        <w:pStyle w:val="ListParagraph"/>
        <w:numPr>
          <w:ilvl w:val="0"/>
          <w:numId w:val="4"/>
        </w:numPr>
      </w:pPr>
      <w:r>
        <w:rPr>
          <w:rFonts w:ascii="Figtree" w:hAnsi="Figtree"/>
          <w:b/>
          <w:i w:val="0"/>
          <w:sz w:val="22"/>
        </w:rPr>
        <w:t>Identity:</w:t>
      </w:r>
      <w:r>
        <w:rPr>
          <w:rFonts w:ascii="Figtree" w:hAnsi="Figtree"/>
          <w:b w:val="0"/>
          <w:i w:val="0"/>
          <w:sz w:val="22"/>
        </w:rPr>
        <w:t xml:space="preserve"> On-chain identity via OnchainID (ERC-734/735) with verifiable KYC/AML claims</w:t>
      </w:r>
    </w:p>
    <w:p>
      <w:pPr>
        <w:pStyle w:val="H3"/>
        <w:numPr>
          <w:ilvl w:val="2"/>
          <w:numId w:val="1"/>
        </w:numPr>
      </w:pPr>
      <w:r>
        <w:t>Five-Layer On-Chain Architecture</w:t>
      </w:r>
    </w:p>
    <w:p>
      <w:pPr>
        <w:jc w:val="center"/>
      </w:pPr>
      <w:r>
        <w:drawing>
          <wp:inline xmlns:a="http://schemas.openxmlformats.org/drawingml/2006/main" xmlns:pic="http://schemas.openxmlformats.org/drawingml/2006/picture">
            <wp:extent cx="5486400" cy="370891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08918"/>
                    </a:xfrm>
                    <a:prstGeom prst="rect"/>
                  </pic:spPr>
                </pic:pic>
              </a:graphicData>
            </a:graphic>
          </wp:inline>
        </w:drawing>
      </w:r>
    </w:p>
    <w:p>
      <w:pPr>
        <w:pStyle w:val="H3"/>
        <w:numPr>
          <w:ilvl w:val="2"/>
          <w:numId w:val="1"/>
        </w:numPr>
      </w:pPr>
      <w:r>
        <w:t>DALPAsset Configuration for Deposits</w:t>
      </w:r>
    </w:p>
    <w:p>
      <w:r>
        <w:rPr>
          <w:rFonts w:ascii="Figtree" w:hAnsi="Figtree"/>
          <w:b w:val="0"/>
          <w:i w:val="0"/>
          <w:sz w:val="22"/>
        </w:rPr>
        <w:t>For Emirates NBD's tokenized deposits, DALPAsset is configured with:</w:t>
      </w:r>
    </w:p>
    <w:p>
      <w:r>
        <w:rPr>
          <w:rFonts w:ascii="Figtree" w:hAnsi="Figtree"/>
          <w:b/>
          <w:i w:val="0"/>
          <w:sz w:val="22"/>
        </w:rPr>
        <w:t>Token features (ordered by execution priority):</w:t>
      </w:r>
    </w:p>
    <w:p>
      <w:pPr>
        <w:pStyle w:val="ListParagraph"/>
        <w:numPr>
          <w:ilvl w:val="0"/>
          <w:numId w:val="11"/>
        </w:numPr>
      </w:pPr>
      <w:r>
        <w:rPr>
          <w:rFonts w:ascii="Figtree" w:hAnsi="Figtree"/>
          <w:b w:val="0"/>
          <w:i w:val="0"/>
          <w:sz w:val="22"/>
        </w:rPr>
        <w:t>Historical balances — snapshot capability for regulatory reporting and audit</w:t>
      </w:r>
    </w:p>
    <w:p>
      <w:pPr>
        <w:pStyle w:val="ListParagraph"/>
        <w:numPr>
          <w:ilvl w:val="0"/>
          <w:numId w:val="11"/>
        </w:numPr>
      </w:pPr>
      <w:r>
        <w:rPr>
          <w:rFonts w:ascii="Figtree" w:hAnsi="Figtree"/>
          <w:b w:val="0"/>
          <w:i w:val="0"/>
          <w:sz w:val="22"/>
        </w:rPr>
        <w:t>Fixed treasury yield — automated interest accrual and distribution</w:t>
      </w:r>
    </w:p>
    <w:p>
      <w:pPr>
        <w:pStyle w:val="ListParagraph"/>
        <w:numPr>
          <w:ilvl w:val="0"/>
          <w:numId w:val="11"/>
        </w:numPr>
      </w:pPr>
      <w:r>
        <w:rPr>
          <w:rFonts w:ascii="Figtree" w:hAnsi="Figtree"/>
          <w:b w:val="0"/>
          <w:i w:val="0"/>
          <w:sz w:val="22"/>
        </w:rPr>
        <w:t>Maturity and redemption — automated processing at maturity date</w:t>
      </w:r>
    </w:p>
    <w:p>
      <w:pPr>
        <w:pStyle w:val="ListParagraph"/>
        <w:numPr>
          <w:ilvl w:val="0"/>
          <w:numId w:val="11"/>
        </w:numPr>
      </w:pPr>
      <w:r>
        <w:rPr>
          <w:rFonts w:ascii="Figtree" w:hAnsi="Figtree"/>
          <w:b w:val="0"/>
          <w:i w:val="0"/>
          <w:sz w:val="22"/>
        </w:rPr>
        <w:t>Transaction fee accounting — fee tracking for treasury reconciliation</w:t>
      </w:r>
    </w:p>
    <w:p>
      <w:pPr>
        <w:pStyle w:val="ListParagraph"/>
        <w:numPr>
          <w:ilvl w:val="0"/>
          <w:numId w:val="11"/>
        </w:numPr>
      </w:pPr>
      <w:r>
        <w:rPr>
          <w:rFonts w:ascii="Figtree" w:hAnsi="Figtree"/>
          <w:b w:val="0"/>
          <w:i w:val="0"/>
          <w:sz w:val="22"/>
        </w:rPr>
        <w:t>Permit (EIP-2612) — gasless approvals for operational efficiency</w:t>
      </w:r>
    </w:p>
    <w:p>
      <w:r>
        <w:rPr>
          <w:rFonts w:ascii="Figtree" w:hAnsi="Figtree"/>
          <w:b/>
          <w:i w:val="0"/>
          <w:sz w:val="22"/>
        </w:rPr>
        <w:t>Compliance modules:</w:t>
      </w:r>
    </w:p>
    <w:p>
      <w:pPr>
        <w:pStyle w:val="ListParagraph"/>
        <w:numPr>
          <w:ilvl w:val="0"/>
          <w:numId w:val="12"/>
        </w:numPr>
      </w:pPr>
      <w:r>
        <w:rPr>
          <w:rFonts w:ascii="Figtree" w:hAnsi="Figtree"/>
          <w:b w:val="0"/>
          <w:i w:val="0"/>
          <w:sz w:val="22"/>
        </w:rPr>
        <w:t>Identity verification — mandatory for all transfers</w:t>
      </w:r>
    </w:p>
    <w:p>
      <w:pPr>
        <w:pStyle w:val="ListParagraph"/>
        <w:numPr>
          <w:ilvl w:val="0"/>
          <w:numId w:val="12"/>
        </w:numPr>
      </w:pPr>
      <w:r>
        <w:rPr>
          <w:rFonts w:ascii="Figtree" w:hAnsi="Figtree"/>
          <w:b w:val="0"/>
          <w:i w:val="0"/>
          <w:sz w:val="22"/>
        </w:rPr>
        <w:t>Country allow list — UAE and approved jurisdictions</w:t>
      </w:r>
    </w:p>
    <w:p>
      <w:pPr>
        <w:pStyle w:val="ListParagraph"/>
        <w:numPr>
          <w:ilvl w:val="0"/>
          <w:numId w:val="12"/>
        </w:numPr>
      </w:pPr>
      <w:r>
        <w:rPr>
          <w:rFonts w:ascii="Figtree" w:hAnsi="Figtree"/>
          <w:b w:val="0"/>
          <w:i w:val="0"/>
          <w:sz w:val="22"/>
        </w:rPr>
        <w:t>Investor count limit — regulatory cap enforcement</w:t>
      </w:r>
    </w:p>
    <w:p>
      <w:pPr>
        <w:pStyle w:val="ListParagraph"/>
        <w:numPr>
          <w:ilvl w:val="0"/>
          <w:numId w:val="12"/>
        </w:numPr>
      </w:pPr>
      <w:r>
        <w:rPr>
          <w:rFonts w:ascii="Figtree" w:hAnsi="Figtree"/>
          <w:b w:val="0"/>
          <w:i w:val="0"/>
          <w:sz w:val="22"/>
        </w:rPr>
        <w:t>Transfer approval — maker-checker for transfers above threshold</w:t>
      </w:r>
    </w:p>
    <w:p>
      <w:pPr>
        <w:pStyle w:val="ListParagraph"/>
        <w:numPr>
          <w:ilvl w:val="0"/>
          <w:numId w:val="12"/>
        </w:numPr>
      </w:pPr>
      <w:r>
        <w:rPr>
          <w:rFonts w:ascii="Figtree" w:hAnsi="Figtree"/>
          <w:b w:val="0"/>
          <w:i w:val="0"/>
          <w:sz w:val="22"/>
        </w:rPr>
        <w:t>Collateral requirement — for secured deposit instruments</w:t>
      </w:r>
    </w:p>
    <w:p>
      <w:pPr>
        <w:pStyle w:val="H3"/>
        <w:numPr>
          <w:ilvl w:val="2"/>
          <w:numId w:val="1"/>
        </w:numPr>
      </w:pPr>
      <w:r>
        <w:t>DALPAsset Configuration for Trade Finance</w:t>
      </w:r>
    </w:p>
    <w:p>
      <w:r>
        <w:rPr>
          <w:rFonts w:ascii="Figtree" w:hAnsi="Figtree"/>
          <w:b w:val="0"/>
          <w:i w:val="0"/>
          <w:sz w:val="22"/>
        </w:rPr>
        <w:t>For trade finance instruments, the configuration emphasizes multi-party control:</w:t>
      </w:r>
    </w:p>
    <w:p>
      <w:r>
        <w:rPr>
          <w:rFonts w:ascii="Figtree" w:hAnsi="Figtree"/>
          <w:b/>
          <w:i w:val="0"/>
          <w:sz w:val="22"/>
        </w:rPr>
        <w:t>Token features:</w:t>
      </w:r>
    </w:p>
    <w:p>
      <w:pPr>
        <w:pStyle w:val="ListParagraph"/>
        <w:numPr>
          <w:ilvl w:val="0"/>
          <w:numId w:val="13"/>
        </w:numPr>
      </w:pPr>
      <w:r>
        <w:rPr>
          <w:rFonts w:ascii="Figtree" w:hAnsi="Figtree"/>
          <w:b w:val="0"/>
          <w:i w:val="0"/>
          <w:sz w:val="22"/>
        </w:rPr>
        <w:t>Historical balances — trade history and audit trail</w:t>
      </w:r>
    </w:p>
    <w:p>
      <w:pPr>
        <w:pStyle w:val="ListParagraph"/>
        <w:numPr>
          <w:ilvl w:val="0"/>
          <w:numId w:val="13"/>
        </w:numPr>
      </w:pPr>
      <w:r>
        <w:rPr>
          <w:rFonts w:ascii="Figtree" w:hAnsi="Figtree"/>
          <w:b w:val="0"/>
          <w:i w:val="0"/>
          <w:sz w:val="22"/>
        </w:rPr>
        <w:t>Timelock — enforced holding periods for liquidity instruments</w:t>
      </w:r>
    </w:p>
    <w:p>
      <w:r>
        <w:rPr>
          <w:rFonts w:ascii="Figtree" w:hAnsi="Figtree"/>
          <w:b/>
          <w:i w:val="0"/>
          <w:sz w:val="22"/>
        </w:rPr>
        <w:t>Compliance modules:</w:t>
      </w:r>
    </w:p>
    <w:p>
      <w:pPr>
        <w:pStyle w:val="ListParagraph"/>
        <w:numPr>
          <w:ilvl w:val="0"/>
          <w:numId w:val="14"/>
        </w:numPr>
      </w:pPr>
      <w:r>
        <w:rPr>
          <w:rFonts w:ascii="Figtree" w:hAnsi="Figtree"/>
          <w:b w:val="0"/>
          <w:i w:val="0"/>
          <w:sz w:val="22"/>
        </w:rPr>
        <w:t>Identity verification — counterparty identity required</w:t>
      </w:r>
    </w:p>
    <w:p>
      <w:pPr>
        <w:pStyle w:val="ListParagraph"/>
        <w:numPr>
          <w:ilvl w:val="0"/>
          <w:numId w:val="14"/>
        </w:numPr>
      </w:pPr>
      <w:r>
        <w:rPr>
          <w:rFonts w:ascii="Figtree" w:hAnsi="Figtree"/>
          <w:b w:val="0"/>
          <w:i w:val="0"/>
          <w:sz w:val="22"/>
        </w:rPr>
        <w:t>Address allow list — only nominated counterparties can hold</w:t>
      </w:r>
    </w:p>
    <w:p>
      <w:pPr>
        <w:pStyle w:val="ListParagraph"/>
        <w:numPr>
          <w:ilvl w:val="0"/>
          <w:numId w:val="14"/>
        </w:numPr>
      </w:pPr>
      <w:r>
        <w:rPr>
          <w:rFonts w:ascii="Figtree" w:hAnsi="Figtree"/>
          <w:b w:val="0"/>
          <w:i w:val="0"/>
          <w:sz w:val="22"/>
        </w:rPr>
        <w:t>Transfer approval — multi-party approval with configurable expiry</w:t>
      </w:r>
    </w:p>
    <w:p>
      <w:pPr>
        <w:pStyle w:val="ListParagraph"/>
        <w:numPr>
          <w:ilvl w:val="0"/>
          <w:numId w:val="14"/>
        </w:numPr>
      </w:pPr>
      <w:r>
        <w:rPr>
          <w:rFonts w:ascii="Figtree" w:hAnsi="Figtree"/>
          <w:b w:val="0"/>
          <w:i w:val="0"/>
          <w:sz w:val="22"/>
        </w:rPr>
        <w:t>Timelock — minimum holding period enforcement with FIFO batch tracking</w:t>
      </w:r>
    </w:p>
    <w:p>
      <w:pPr>
        <w:pStyle w:val="H3"/>
        <w:numPr>
          <w:ilvl w:val="2"/>
          <w:numId w:val="1"/>
        </w:numPr>
      </w:pPr>
      <w:r>
        <w:t>UUPS Proxy Upgrade Pattern</w:t>
      </w:r>
    </w:p>
    <w:p>
      <w:r>
        <w:rPr>
          <w:rFonts w:ascii="Figtree" w:hAnsi="Figtree"/>
          <w:b w:val="0"/>
          <w:i w:val="0"/>
          <w:sz w:val="22"/>
        </w:rPr>
        <w:t>DALPAsset contracts are deployable as either upgradeable (UUPS proxy pattern) or immutable:</w:t>
      </w:r>
    </w:p>
    <w:p>
      <w:pPr>
        <w:pStyle w:val="ListParagraph"/>
        <w:numPr>
          <w:ilvl w:val="0"/>
          <w:numId w:val="4"/>
        </w:numPr>
      </w:pPr>
      <w:r>
        <w:rPr>
          <w:rFonts w:ascii="Figtree" w:hAnsi="Figtree"/>
          <w:b w:val="0"/>
          <w:i w:val="0"/>
          <w:sz w:val="22"/>
        </w:rPr>
        <w:t>The proxy holds state (balances, compliance configuration, identity data) and delegates calls to an implementation contract</w:t>
      </w:r>
    </w:p>
    <w:p>
      <w:pPr>
        <w:pStyle w:val="ListParagraph"/>
        <w:numPr>
          <w:ilvl w:val="0"/>
          <w:numId w:val="4"/>
        </w:numPr>
      </w:pPr>
      <w:r>
        <w:rPr>
          <w:rFonts w:ascii="Figtree" w:hAnsi="Figtree"/>
          <w:b w:val="0"/>
          <w:i w:val="0"/>
          <w:sz w:val="22"/>
        </w:rPr>
        <w:t>Upgrade logic resides in the implementation, preventing unauthorized contract replacement</w:t>
      </w:r>
    </w:p>
    <w:p>
      <w:pPr>
        <w:pStyle w:val="ListParagraph"/>
        <w:numPr>
          <w:ilvl w:val="0"/>
          <w:numId w:val="4"/>
        </w:numPr>
      </w:pPr>
      <w:r>
        <w:rPr>
          <w:rFonts w:ascii="Figtree" w:hAnsi="Figtree"/>
          <w:b w:val="0"/>
          <w:i w:val="0"/>
          <w:sz w:val="22"/>
        </w:rPr>
        <w:t>Token addresses remain stable across upgrades</w:t>
      </w:r>
    </w:p>
    <w:p>
      <w:pPr>
        <w:pStyle w:val="ListParagraph"/>
        <w:numPr>
          <w:ilvl w:val="0"/>
          <w:numId w:val="4"/>
        </w:numPr>
      </w:pPr>
      <w:r>
        <w:rPr>
          <w:rFonts w:ascii="Figtree" w:hAnsi="Figtree"/>
          <w:b w:val="0"/>
          <w:i w:val="0"/>
          <w:sz w:val="22"/>
        </w:rPr>
        <w:t>Emirates NBD can choose immutable deployment for instruments where regulatory or legal frameworks require compile-time guarantees</w:t>
      </w:r>
    </w:p>
    <w:p>
      <w:r>
        <w:br w:type="page"/>
      </w:r>
    </w:p>
    <w:p>
      <w:pPr>
        <w:pStyle w:val="H2"/>
        <w:numPr>
          <w:ilvl w:val="1"/>
          <w:numId w:val="1"/>
        </w:numPr>
      </w:pPr>
      <w:r>
        <w:t>Identity, Compliance, and Regulatory Controls</w:t>
      </w:r>
    </w:p>
    <w:p>
      <w:pPr>
        <w:pStyle w:val="H3"/>
        <w:numPr>
          <w:ilvl w:val="2"/>
          <w:numId w:val="1"/>
        </w:numPr>
      </w:pPr>
      <w:r>
        <w:t>Identity Architecture</w:t>
      </w:r>
    </w:p>
    <w:p>
      <w:r>
        <w:rPr>
          <w:rFonts w:ascii="Figtree" w:hAnsi="Figtree"/>
          <w:b w:val="0"/>
          <w:i w:val="0"/>
          <w:sz w:val="22"/>
        </w:rPr>
        <w:t>OnchainID provides Emirates NBD with a sovereign identity layer for all participants: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Participant Type</w:t>
            </w:r>
          </w:p>
        </w:tc>
        <w:tc>
          <w:tcPr>
            <w:tcW w:type="dxa" w:w="3249"/>
            <w:vAlign w:val="center"/>
            <w:shd w:fill="000099" w:val="clear"/>
          </w:tcPr>
          <w:p>
            <w:r>
              <w:rPr>
                <w:b/>
                <w:color w:val="FFFFFF"/>
              </w:rPr>
            </w:r>
            <w:r>
              <w:rPr>
                <w:rFonts w:ascii="Figtree" w:hAnsi="Figtree"/>
                <w:b/>
                <w:i w:val="0"/>
                <w:color w:val="FFFFFF"/>
                <w:sz w:val="22"/>
              </w:rPr>
              <w:t>Identity Model</w:t>
            </w:r>
          </w:p>
        </w:tc>
        <w:tc>
          <w:tcPr>
            <w:tcW w:type="dxa" w:w="3249"/>
            <w:vAlign w:val="center"/>
            <w:shd w:fill="000099" w:val="clear"/>
          </w:tcPr>
          <w:p>
            <w:r>
              <w:rPr>
                <w:b/>
                <w:color w:val="FFFFFF"/>
              </w:rPr>
            </w:r>
            <w:r>
              <w:rPr>
                <w:rFonts w:ascii="Figtree" w:hAnsi="Figtree"/>
                <w:b/>
                <w:i w:val="0"/>
                <w:color w:val="FFFFFF"/>
                <w:sz w:val="22"/>
              </w:rPr>
              <w:t>Claims Required</w:t>
            </w:r>
          </w:p>
        </w:tc>
      </w:tr>
      <w:tr>
        <w:trPr>
          <w:trHeight w:val="454" w:hRule="atLeast"/>
        </w:trPr>
        <w:tc>
          <w:tcPr>
            <w:tcW w:type="dxa" w:w="3249"/>
            <w:vAlign w:val="center"/>
          </w:tcPr>
          <w:p>
            <w:r/>
            <w:r>
              <w:rPr>
                <w:rFonts w:ascii="Figtree" w:hAnsi="Figtree"/>
                <w:b w:val="0"/>
                <w:i w:val="0"/>
                <w:sz w:val="22"/>
              </w:rPr>
              <w:t>Emirates NBD (issuer)</w:t>
            </w:r>
          </w:p>
        </w:tc>
        <w:tc>
          <w:tcPr>
            <w:tcW w:type="dxa" w:w="3249"/>
            <w:vAlign w:val="center"/>
          </w:tcPr>
          <w:p>
            <w:r/>
            <w:r>
              <w:rPr>
                <w:rFonts w:ascii="Figtree" w:hAnsi="Figtree"/>
                <w:b w:val="0"/>
                <w:i w:val="0"/>
                <w:sz w:val="22"/>
              </w:rPr>
              <w:t>OnchainID + Trusted Issuer</w:t>
            </w:r>
          </w:p>
        </w:tc>
        <w:tc>
          <w:tcPr>
            <w:tcW w:type="dxa" w:w="3249"/>
            <w:vAlign w:val="center"/>
          </w:tcPr>
          <w:p>
            <w:r/>
            <w:r>
              <w:rPr>
                <w:rFonts w:ascii="Figtree" w:hAnsi="Figtree"/>
                <w:b w:val="0"/>
                <w:i w:val="0"/>
                <w:sz w:val="22"/>
              </w:rPr>
              <w:t>System operator, issuer authority</w:t>
            </w:r>
          </w:p>
        </w:tc>
      </w:tr>
      <w:tr>
        <w:trPr>
          <w:trHeight w:val="454" w:hRule="atLeast"/>
        </w:trPr>
        <w:tc>
          <w:tcPr>
            <w:tcW w:type="dxa" w:w="3249"/>
            <w:vAlign w:val="center"/>
          </w:tcPr>
          <w:p>
            <w:r/>
            <w:r>
              <w:rPr>
                <w:rFonts w:ascii="Figtree" w:hAnsi="Figtree"/>
                <w:b w:val="0"/>
                <w:i w:val="0"/>
                <w:sz w:val="22"/>
              </w:rPr>
              <w:t>Institutional investors</w:t>
            </w:r>
          </w:p>
        </w:tc>
        <w:tc>
          <w:tcPr>
            <w:tcW w:type="dxa" w:w="3249"/>
            <w:vAlign w:val="center"/>
          </w:tcPr>
          <w:p>
            <w:r/>
            <w:r>
              <w:rPr>
                <w:rFonts w:ascii="Figtree" w:hAnsi="Figtree"/>
                <w:b w:val="0"/>
                <w:i w:val="0"/>
                <w:sz w:val="22"/>
              </w:rPr>
              <w:t>OnchainID + KYC claims</w:t>
            </w:r>
          </w:p>
        </w:tc>
        <w:tc>
          <w:tcPr>
            <w:tcW w:type="dxa" w:w="3249"/>
            <w:vAlign w:val="center"/>
          </w:tcPr>
          <w:p>
            <w:r/>
            <w:r>
              <w:rPr>
                <w:rFonts w:ascii="Figtree" w:hAnsi="Figtree"/>
                <w:b w:val="0"/>
                <w:i w:val="0"/>
                <w:sz w:val="22"/>
              </w:rPr>
              <w:t>Jurisdiction, accreditation, entity type</w:t>
            </w:r>
          </w:p>
        </w:tc>
      </w:tr>
      <w:tr>
        <w:trPr>
          <w:trHeight w:val="454" w:hRule="atLeast"/>
        </w:trPr>
        <w:tc>
          <w:tcPr>
            <w:tcW w:type="dxa" w:w="3249"/>
            <w:vAlign w:val="center"/>
          </w:tcPr>
          <w:p>
            <w:r/>
            <w:r>
              <w:rPr>
                <w:rFonts w:ascii="Figtree" w:hAnsi="Figtree"/>
                <w:b w:val="0"/>
                <w:i w:val="0"/>
                <w:sz w:val="22"/>
              </w:rPr>
              <w:t>Counterparty banks</w:t>
            </w:r>
          </w:p>
        </w:tc>
        <w:tc>
          <w:tcPr>
            <w:tcW w:type="dxa" w:w="3249"/>
            <w:vAlign w:val="center"/>
          </w:tcPr>
          <w:p>
            <w:r/>
            <w:r>
              <w:rPr>
                <w:rFonts w:ascii="Figtree" w:hAnsi="Figtree"/>
                <w:b w:val="0"/>
                <w:i w:val="0"/>
                <w:sz w:val="22"/>
              </w:rPr>
              <w:t>OnchainID + KYC claims</w:t>
            </w:r>
          </w:p>
        </w:tc>
        <w:tc>
          <w:tcPr>
            <w:tcW w:type="dxa" w:w="3249"/>
            <w:vAlign w:val="center"/>
          </w:tcPr>
          <w:p>
            <w:r/>
            <w:r>
              <w:rPr>
                <w:rFonts w:ascii="Figtree" w:hAnsi="Figtree"/>
                <w:b w:val="0"/>
                <w:i w:val="0"/>
                <w:sz w:val="22"/>
              </w:rPr>
              <w:t>Jurisdiction, bank license, entity type</w:t>
            </w:r>
          </w:p>
        </w:tc>
      </w:tr>
      <w:tr>
        <w:trPr>
          <w:trHeight w:val="454" w:hRule="atLeast"/>
        </w:trPr>
        <w:tc>
          <w:tcPr>
            <w:tcW w:type="dxa" w:w="3249"/>
            <w:vAlign w:val="center"/>
          </w:tcPr>
          <w:p>
            <w:r/>
            <w:r>
              <w:rPr>
                <w:rFonts w:ascii="Figtree" w:hAnsi="Figtree"/>
                <w:b w:val="0"/>
                <w:i w:val="0"/>
                <w:sz w:val="22"/>
              </w:rPr>
              <w:t>Trade finance participants</w:t>
            </w:r>
          </w:p>
        </w:tc>
        <w:tc>
          <w:tcPr>
            <w:tcW w:type="dxa" w:w="3249"/>
            <w:vAlign w:val="center"/>
          </w:tcPr>
          <w:p>
            <w:r/>
            <w:r>
              <w:rPr>
                <w:rFonts w:ascii="Figtree" w:hAnsi="Figtree"/>
                <w:b w:val="0"/>
                <w:i w:val="0"/>
                <w:sz w:val="22"/>
              </w:rPr>
              <w:t>OnchainID + KYC claims</w:t>
            </w:r>
          </w:p>
        </w:tc>
        <w:tc>
          <w:tcPr>
            <w:tcW w:type="dxa" w:w="3249"/>
            <w:vAlign w:val="center"/>
          </w:tcPr>
          <w:p>
            <w:r/>
            <w:r>
              <w:rPr>
                <w:rFonts w:ascii="Figtree" w:hAnsi="Figtree"/>
                <w:b w:val="0"/>
                <w:i w:val="0"/>
                <w:sz w:val="22"/>
              </w:rPr>
              <w:t>Jurisdiction, trade authorization</w:t>
            </w:r>
          </w:p>
        </w:tc>
      </w:tr>
    </w:tbl>
    <w:p>
      <w:r>
        <w:rPr>
          <w:rFonts w:ascii="Figtree" w:hAnsi="Figtree"/>
          <w:b/>
          <w:i w:val="0"/>
          <w:sz w:val="22"/>
        </w:rPr>
        <w:t>Identity lifecycle:</w:t>
      </w:r>
    </w:p>
    <w:p>
      <w:pPr>
        <w:pStyle w:val="ListParagraph"/>
        <w:numPr>
          <w:ilvl w:val="0"/>
          <w:numId w:val="15"/>
        </w:numPr>
      </w:pPr>
      <w:r>
        <w:rPr>
          <w:rFonts w:ascii="Figtree" w:hAnsi="Figtree"/>
          <w:b w:val="0"/>
          <w:i w:val="0"/>
          <w:sz w:val="22"/>
        </w:rPr>
        <w:t>Entity registered in Emirates NBD's KYC/AML systems</w:t>
      </w:r>
    </w:p>
    <w:p>
      <w:pPr>
        <w:pStyle w:val="ListParagraph"/>
        <w:numPr>
          <w:ilvl w:val="0"/>
          <w:numId w:val="15"/>
        </w:numPr>
      </w:pPr>
      <w:r>
        <w:rPr>
          <w:rFonts w:ascii="Figtree" w:hAnsi="Figtree"/>
          <w:b w:val="0"/>
          <w:i w:val="0"/>
          <w:sz w:val="22"/>
        </w:rPr>
        <w:t>Verification outcome pushed to DALP via SDK integration</w:t>
      </w:r>
    </w:p>
    <w:p>
      <w:pPr>
        <w:pStyle w:val="ListParagraph"/>
        <w:numPr>
          <w:ilvl w:val="0"/>
          <w:numId w:val="15"/>
        </w:numPr>
      </w:pPr>
      <w:r>
        <w:rPr>
          <w:rFonts w:ascii="Figtree" w:hAnsi="Figtree"/>
          <w:b w:val="0"/>
          <w:i w:val="0"/>
          <w:sz w:val="22"/>
        </w:rPr>
        <w:t>OnchainID created with verifiable claims</w:t>
      </w:r>
    </w:p>
    <w:p>
      <w:pPr>
        <w:pStyle w:val="ListParagraph"/>
        <w:numPr>
          <w:ilvl w:val="0"/>
          <w:numId w:val="15"/>
        </w:numPr>
      </w:pPr>
      <w:r>
        <w:rPr>
          <w:rFonts w:ascii="Figtree" w:hAnsi="Figtree"/>
          <w:b w:val="0"/>
          <w:i w:val="0"/>
          <w:sz w:val="22"/>
        </w:rPr>
        <w:t>Claims periodically refreshed based on review cycles</w:t>
      </w:r>
    </w:p>
    <w:p>
      <w:pPr>
        <w:pStyle w:val="ListParagraph"/>
        <w:numPr>
          <w:ilvl w:val="0"/>
          <w:numId w:val="15"/>
        </w:numPr>
      </w:pPr>
      <w:r>
        <w:rPr>
          <w:rFonts w:ascii="Figtree" w:hAnsi="Figtree"/>
          <w:b w:val="0"/>
          <w:i w:val="0"/>
          <w:sz w:val="22"/>
        </w:rPr>
        <w:t>Revocation capability for expired or invalidated identities</w:t>
      </w:r>
    </w:p>
    <w:p>
      <w:pPr>
        <w:pStyle w:val="H3"/>
        <w:numPr>
          <w:ilvl w:val="2"/>
          <w:numId w:val="1"/>
        </w:numPr>
      </w:pPr>
      <w:r>
        <w:t>Compliance Module Library</w:t>
      </w:r>
    </w:p>
    <w:p>
      <w:r>
        <w:rPr>
          <w:rFonts w:ascii="Figtree" w:hAnsi="Figtree"/>
          <w:b w:val="0"/>
          <w:i w:val="0"/>
          <w:sz w:val="22"/>
        </w:rPr>
        <w:t>DALP ships 18 compliance module types. The following are directly applicable to Emirates NBD's scope: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Module</w:t>
            </w:r>
          </w:p>
        </w:tc>
        <w:tc>
          <w:tcPr>
            <w:tcW w:type="dxa" w:w="2436"/>
            <w:vAlign w:val="center"/>
            <w:shd w:fill="000099" w:val="clear"/>
          </w:tcPr>
          <w:p>
            <w:r>
              <w:rPr>
                <w:b/>
                <w:color w:val="FFFFFF"/>
              </w:rPr>
            </w:r>
            <w:r>
              <w:rPr>
                <w:rFonts w:ascii="Figtree" w:hAnsi="Figtree"/>
                <w:b/>
                <w:i w:val="0"/>
                <w:color w:val="FFFFFF"/>
                <w:sz w:val="22"/>
              </w:rPr>
              <w:t>Purpose</w:t>
            </w:r>
          </w:p>
        </w:tc>
        <w:tc>
          <w:tcPr>
            <w:tcW w:type="dxa" w:w="2436"/>
            <w:vAlign w:val="center"/>
            <w:shd w:fill="000099" w:val="clear"/>
          </w:tcPr>
          <w:p>
            <w:r>
              <w:rPr>
                <w:b/>
                <w:color w:val="FFFFFF"/>
              </w:rPr>
            </w:r>
            <w:r>
              <w:rPr>
                <w:rFonts w:ascii="Figtree" w:hAnsi="Figtree"/>
                <w:b/>
                <w:i w:val="0"/>
                <w:color w:val="FFFFFF"/>
                <w:sz w:val="22"/>
              </w:rPr>
              <w:t>Deposit Use</w:t>
            </w:r>
          </w:p>
        </w:tc>
        <w:tc>
          <w:tcPr>
            <w:tcW w:type="dxa" w:w="2436"/>
            <w:vAlign w:val="center"/>
            <w:shd w:fill="000099" w:val="clear"/>
          </w:tcPr>
          <w:p>
            <w:r>
              <w:rPr>
                <w:b/>
                <w:color w:val="FFFFFF"/>
              </w:rPr>
            </w:r>
            <w:r>
              <w:rPr>
                <w:rFonts w:ascii="Figtree" w:hAnsi="Figtree"/>
                <w:b/>
                <w:i w:val="0"/>
                <w:color w:val="FFFFFF"/>
                <w:sz w:val="22"/>
              </w:rPr>
              <w:t>Trade Finance Use</w:t>
            </w:r>
          </w:p>
        </w:tc>
      </w:tr>
      <w:tr>
        <w:trPr>
          <w:trHeight w:val="454" w:hRule="atLeast"/>
        </w:trPr>
        <w:tc>
          <w:tcPr>
            <w:tcW w:type="dxa" w:w="2436"/>
            <w:vAlign w:val="center"/>
          </w:tcPr>
          <w:p>
            <w:r/>
            <w:r>
              <w:rPr>
                <w:rFonts w:ascii="Figtree" w:hAnsi="Figtree"/>
                <w:b w:val="0"/>
                <w:i w:val="0"/>
                <w:sz w:val="22"/>
              </w:rPr>
              <w:t>Identity verification</w:t>
            </w:r>
          </w:p>
        </w:tc>
        <w:tc>
          <w:tcPr>
            <w:tcW w:type="dxa" w:w="2436"/>
            <w:vAlign w:val="center"/>
          </w:tcPr>
          <w:p>
            <w:r/>
            <w:r>
              <w:rPr>
                <w:rFonts w:ascii="Figtree" w:hAnsi="Figtree"/>
                <w:b w:val="0"/>
                <w:i w:val="0"/>
                <w:sz w:val="22"/>
              </w:rPr>
              <w:t>Verified OnchainID required</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Country allow list</w:t>
            </w:r>
          </w:p>
        </w:tc>
        <w:tc>
          <w:tcPr>
            <w:tcW w:type="dxa" w:w="2436"/>
            <w:vAlign w:val="center"/>
          </w:tcPr>
          <w:p>
            <w:r/>
            <w:r>
              <w:rPr>
                <w:rFonts w:ascii="Figtree" w:hAnsi="Figtree"/>
                <w:b w:val="0"/>
                <w:i w:val="0"/>
                <w:sz w:val="22"/>
              </w:rPr>
              <w:t>Jurisdiction restriction</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Country block list</w:t>
            </w:r>
          </w:p>
        </w:tc>
        <w:tc>
          <w:tcPr>
            <w:tcW w:type="dxa" w:w="2436"/>
            <w:vAlign w:val="center"/>
          </w:tcPr>
          <w:p>
            <w:r/>
            <w:r>
              <w:rPr>
                <w:rFonts w:ascii="Figtree" w:hAnsi="Figtree"/>
                <w:b w:val="0"/>
                <w:i w:val="0"/>
                <w:sz w:val="22"/>
              </w:rPr>
              <w:t>Sanctioned jurisdiction blocking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Address block list</w:t>
            </w:r>
          </w:p>
        </w:tc>
        <w:tc>
          <w:tcPr>
            <w:tcW w:type="dxa" w:w="2436"/>
            <w:vAlign w:val="center"/>
          </w:tcPr>
          <w:p>
            <w:r/>
            <w:r>
              <w:rPr>
                <w:rFonts w:ascii="Figtree" w:hAnsi="Figtree"/>
                <w:b w:val="0"/>
                <w:i w:val="0"/>
                <w:sz w:val="22"/>
              </w:rPr>
              <w:t>Explicit wallet blocking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Investor count limit</w:t>
            </w:r>
          </w:p>
        </w:tc>
        <w:tc>
          <w:tcPr>
            <w:tcW w:type="dxa" w:w="2436"/>
            <w:vAlign w:val="center"/>
          </w:tcPr>
          <w:p>
            <w:r/>
            <w:r>
              <w:rPr>
                <w:rFonts w:ascii="Figtree" w:hAnsi="Figtree"/>
                <w:b w:val="0"/>
                <w:i w:val="0"/>
                <w:sz w:val="22"/>
              </w:rPr>
              <w:t>Cap on unique holders</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Timelock</w:t>
            </w:r>
          </w:p>
        </w:tc>
        <w:tc>
          <w:tcPr>
            <w:tcW w:type="dxa" w:w="2436"/>
            <w:vAlign w:val="center"/>
          </w:tcPr>
          <w:p>
            <w:r/>
            <w:r>
              <w:rPr>
                <w:rFonts w:ascii="Figtree" w:hAnsi="Figtree"/>
                <w:b w:val="0"/>
                <w:i w:val="0"/>
                <w:sz w:val="22"/>
              </w:rPr>
              <w:t>Minimum holding period</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Transfer approval</w:t>
            </w:r>
          </w:p>
        </w:tc>
        <w:tc>
          <w:tcPr>
            <w:tcW w:type="dxa" w:w="2436"/>
            <w:vAlign w:val="center"/>
          </w:tcPr>
          <w:p>
            <w:r/>
            <w:r>
              <w:rPr>
                <w:rFonts w:ascii="Figtree" w:hAnsi="Figtree"/>
                <w:b w:val="0"/>
                <w:i w:val="0"/>
                <w:sz w:val="22"/>
              </w:rPr>
              <w:t>Manual approval workflow</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Collateral requirement</w:t>
            </w:r>
          </w:p>
        </w:tc>
        <w:tc>
          <w:tcPr>
            <w:tcW w:type="dxa" w:w="2436"/>
            <w:vAlign w:val="center"/>
          </w:tcPr>
          <w:p>
            <w:r/>
            <w:r>
              <w:rPr>
                <w:rFonts w:ascii="Figtree" w:hAnsi="Figtree"/>
                <w:b w:val="0"/>
                <w:i w:val="0"/>
                <w:sz w:val="22"/>
              </w:rPr>
              <w:t>On-chain proof of reserves</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bl>
    <w:p>
      <w:pPr>
        <w:pStyle w:val="H3"/>
        <w:numPr>
          <w:ilvl w:val="2"/>
          <w:numId w:val="1"/>
        </w:numPr>
      </w:pPr>
      <w:r>
        <w:t>Regulatory Context: UAE</w:t>
      </w:r>
    </w:p>
    <w:p>
      <w:r>
        <w:rPr>
          <w:rFonts w:ascii="Figtree" w:hAnsi="Figtree"/>
          <w:b w:val="0"/>
          <w:i w:val="0"/>
          <w:sz w:val="22"/>
        </w:rPr>
        <w:t>Emirates NBD operates within a multi-regulator environment. DALP's compliance engine is configured to address: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Regulator/Framework</w:t>
            </w:r>
          </w:p>
        </w:tc>
        <w:tc>
          <w:tcPr>
            <w:tcW w:type="dxa" w:w="3249"/>
            <w:vAlign w:val="center"/>
            <w:shd w:fill="000099" w:val="clear"/>
          </w:tcPr>
          <w:p>
            <w:r>
              <w:rPr>
                <w:b/>
                <w:color w:val="FFFFFF"/>
              </w:rPr>
            </w:r>
            <w:r>
              <w:rPr>
                <w:rFonts w:ascii="Figtree" w:hAnsi="Figtree"/>
                <w:b/>
                <w:i w:val="0"/>
                <w:color w:val="FFFFFF"/>
                <w:sz w:val="22"/>
              </w:rPr>
              <w:t>Relevant Requirements</w:t>
            </w:r>
          </w:p>
        </w:tc>
        <w:tc>
          <w:tcPr>
            <w:tcW w:type="dxa" w:w="3249"/>
            <w:vAlign w:val="center"/>
            <w:shd w:fill="000099" w:val="clear"/>
          </w:tcPr>
          <w:p>
            <w:r>
              <w:rPr>
                <w:b/>
                <w:color w:val="FFFFFF"/>
              </w:rPr>
            </w:r>
            <w:r>
              <w:rPr>
                <w:rFonts w:ascii="Figtree" w:hAnsi="Figtree"/>
                <w:b/>
                <w:i w:val="0"/>
                <w:color w:val="FFFFFF"/>
                <w:sz w:val="22"/>
              </w:rPr>
              <w:t>DALP Coverage</w:t>
            </w:r>
          </w:p>
        </w:tc>
      </w:tr>
      <w:tr>
        <w:trPr>
          <w:trHeight w:val="454" w:hRule="atLeast"/>
        </w:trPr>
        <w:tc>
          <w:tcPr>
            <w:tcW w:type="dxa" w:w="3249"/>
            <w:vAlign w:val="center"/>
          </w:tcPr>
          <w:p>
            <w:r/>
            <w:r>
              <w:rPr>
                <w:rFonts w:ascii="Figtree" w:hAnsi="Figtree"/>
                <w:b w:val="0"/>
                <w:i w:val="0"/>
                <w:sz w:val="22"/>
              </w:rPr>
              <w:t>CBUAE</w:t>
            </w:r>
          </w:p>
        </w:tc>
        <w:tc>
          <w:tcPr>
            <w:tcW w:type="dxa" w:w="3249"/>
            <w:vAlign w:val="center"/>
          </w:tcPr>
          <w:p>
            <w:r/>
            <w:r>
              <w:rPr>
                <w:rFonts w:ascii="Figtree" w:hAnsi="Figtree"/>
                <w:b w:val="0"/>
                <w:i w:val="0"/>
                <w:sz w:val="22"/>
              </w:rPr>
              <w:t>Payment and stored value, deposit regulation</w:t>
            </w:r>
          </w:p>
        </w:tc>
        <w:tc>
          <w:tcPr>
            <w:tcW w:type="dxa" w:w="3249"/>
            <w:vAlign w:val="center"/>
          </w:tcPr>
          <w:p>
            <w:r/>
            <w:r>
              <w:rPr>
                <w:rFonts w:ascii="Figtree" w:hAnsi="Figtree"/>
                <w:b w:val="0"/>
                <w:i w:val="0"/>
                <w:sz w:val="22"/>
              </w:rPr>
              <w:t>Deposit lifecycle controls, capital reporting data</w:t>
            </w:r>
          </w:p>
        </w:tc>
      </w:tr>
      <w:tr>
        <w:trPr>
          <w:trHeight w:val="454" w:hRule="atLeast"/>
        </w:trPr>
        <w:tc>
          <w:tcPr>
            <w:tcW w:type="dxa" w:w="3249"/>
            <w:vAlign w:val="center"/>
          </w:tcPr>
          <w:p>
            <w:r/>
            <w:r>
              <w:rPr>
                <w:rFonts w:ascii="Figtree" w:hAnsi="Figtree"/>
                <w:b w:val="0"/>
                <w:i w:val="0"/>
                <w:sz w:val="22"/>
              </w:rPr>
              <w:t>DFSA</w:t>
            </w:r>
          </w:p>
        </w:tc>
        <w:tc>
          <w:tcPr>
            <w:tcW w:type="dxa" w:w="3249"/>
            <w:vAlign w:val="center"/>
          </w:tcPr>
          <w:p>
            <w:r/>
            <w:r>
              <w:rPr>
                <w:rFonts w:ascii="Figtree" w:hAnsi="Figtree"/>
                <w:b w:val="0"/>
                <w:i w:val="0"/>
                <w:sz w:val="22"/>
              </w:rPr>
              <w:t>Digital asset regime (if DIFC-scoped)</w:t>
            </w:r>
          </w:p>
        </w:tc>
        <w:tc>
          <w:tcPr>
            <w:tcW w:type="dxa" w:w="3249"/>
            <w:vAlign w:val="center"/>
          </w:tcPr>
          <w:p>
            <w:r/>
            <w:r>
              <w:rPr>
                <w:rFonts w:ascii="Figtree" w:hAnsi="Figtree"/>
                <w:b w:val="0"/>
                <w:i w:val="0"/>
                <w:sz w:val="22"/>
              </w:rPr>
              <w:t>Investor eligibility, transfer restrictions</w:t>
            </w:r>
          </w:p>
        </w:tc>
      </w:tr>
      <w:tr>
        <w:trPr>
          <w:trHeight w:val="454" w:hRule="atLeast"/>
        </w:trPr>
        <w:tc>
          <w:tcPr>
            <w:tcW w:type="dxa" w:w="3249"/>
            <w:vAlign w:val="center"/>
          </w:tcPr>
          <w:p>
            <w:r/>
            <w:r>
              <w:rPr>
                <w:rFonts w:ascii="Figtree" w:hAnsi="Figtree"/>
                <w:b w:val="0"/>
                <w:i w:val="0"/>
                <w:sz w:val="22"/>
              </w:rPr>
              <w:t>ADGM FSMR</w:t>
            </w:r>
          </w:p>
        </w:tc>
        <w:tc>
          <w:tcPr>
            <w:tcW w:type="dxa" w:w="3249"/>
            <w:vAlign w:val="center"/>
          </w:tcPr>
          <w:p>
            <w:r/>
            <w:r>
              <w:rPr>
                <w:rFonts w:ascii="Figtree" w:hAnsi="Figtree"/>
                <w:b w:val="0"/>
                <w:i w:val="0"/>
                <w:sz w:val="22"/>
              </w:rPr>
              <w:t>Financial services (if ADGM-scoped)</w:t>
            </w:r>
          </w:p>
        </w:tc>
        <w:tc>
          <w:tcPr>
            <w:tcW w:type="dxa" w:w="3249"/>
            <w:vAlign w:val="center"/>
          </w:tcPr>
          <w:p>
            <w:r/>
            <w:r>
              <w:rPr>
                <w:rFonts w:ascii="Figtree" w:hAnsi="Figtree"/>
                <w:b w:val="0"/>
                <w:i w:val="0"/>
                <w:sz w:val="22"/>
              </w:rPr>
              <w:t>Compliance module composition</w:t>
            </w:r>
          </w:p>
        </w:tc>
      </w:tr>
      <w:tr>
        <w:trPr>
          <w:trHeight w:val="454" w:hRule="atLeast"/>
        </w:trPr>
        <w:tc>
          <w:tcPr>
            <w:tcW w:type="dxa" w:w="3249"/>
            <w:vAlign w:val="center"/>
          </w:tcPr>
          <w:p>
            <w:r/>
            <w:r>
              <w:rPr>
                <w:rFonts w:ascii="Figtree" w:hAnsi="Figtree"/>
                <w:b w:val="0"/>
                <w:i w:val="0"/>
                <w:sz w:val="22"/>
              </w:rPr>
              <w:t>UAE SCA</w:t>
            </w:r>
          </w:p>
        </w:tc>
        <w:tc>
          <w:tcPr>
            <w:tcW w:type="dxa" w:w="3249"/>
            <w:vAlign w:val="center"/>
          </w:tcPr>
          <w:p>
            <w:r/>
            <w:r>
              <w:rPr>
                <w:rFonts w:ascii="Figtree" w:hAnsi="Figtree"/>
                <w:b w:val="0"/>
                <w:i w:val="0"/>
                <w:sz w:val="22"/>
              </w:rPr>
              <w:t>Securities regulation</w:t>
            </w:r>
          </w:p>
        </w:tc>
        <w:tc>
          <w:tcPr>
            <w:tcW w:type="dxa" w:w="3249"/>
            <w:vAlign w:val="center"/>
          </w:tcPr>
          <w:p>
            <w:r/>
            <w:r>
              <w:rPr>
                <w:rFonts w:ascii="Figtree" w:hAnsi="Figtree"/>
                <w:b w:val="0"/>
                <w:i w:val="0"/>
                <w:sz w:val="22"/>
              </w:rPr>
              <w:t>Asset class governance</w:t>
            </w:r>
          </w:p>
        </w:tc>
      </w:tr>
      <w:tr>
        <w:trPr>
          <w:trHeight w:val="454" w:hRule="atLeast"/>
        </w:trPr>
        <w:tc>
          <w:tcPr>
            <w:tcW w:type="dxa" w:w="3249"/>
            <w:vAlign w:val="center"/>
          </w:tcPr>
          <w:p>
            <w:r/>
            <w:r>
              <w:rPr>
                <w:rFonts w:ascii="Figtree" w:hAnsi="Figtree"/>
                <w:b w:val="0"/>
                <w:i w:val="0"/>
                <w:sz w:val="22"/>
              </w:rPr>
              <w:t>UAE AML/CFT</w:t>
            </w:r>
          </w:p>
        </w:tc>
        <w:tc>
          <w:tcPr>
            <w:tcW w:type="dxa" w:w="3249"/>
            <w:vAlign w:val="center"/>
          </w:tcPr>
          <w:p>
            <w:r/>
            <w:r>
              <w:rPr>
                <w:rFonts w:ascii="Figtree" w:hAnsi="Figtree"/>
                <w:b w:val="0"/>
                <w:i w:val="0"/>
                <w:sz w:val="22"/>
              </w:rPr>
              <w:t>Anti-money laundering, counter-terrorism</w:t>
            </w:r>
          </w:p>
        </w:tc>
        <w:tc>
          <w:tcPr>
            <w:tcW w:type="dxa" w:w="3249"/>
            <w:vAlign w:val="center"/>
          </w:tcPr>
          <w:p>
            <w:r/>
            <w:r>
              <w:rPr>
                <w:rFonts w:ascii="Figtree" w:hAnsi="Figtree"/>
                <w:b w:val="0"/>
                <w:i w:val="0"/>
                <w:sz w:val="22"/>
              </w:rPr>
              <w:t>OnchainID with KYC claims, sanctions integration</w:t>
            </w:r>
          </w:p>
        </w:tc>
      </w:tr>
      <w:tr>
        <w:trPr>
          <w:trHeight w:val="454" w:hRule="atLeast"/>
        </w:trPr>
        <w:tc>
          <w:tcPr>
            <w:tcW w:type="dxa" w:w="3249"/>
            <w:vAlign w:val="center"/>
          </w:tcPr>
          <w:p>
            <w:r/>
            <w:r>
              <w:rPr>
                <w:rFonts w:ascii="Figtree" w:hAnsi="Figtree"/>
                <w:b w:val="0"/>
                <w:i w:val="0"/>
                <w:sz w:val="22"/>
              </w:rPr>
              <w:t>CBUAE Cyber</w:t>
            </w:r>
          </w:p>
        </w:tc>
        <w:tc>
          <w:tcPr>
            <w:tcW w:type="dxa" w:w="3249"/>
            <w:vAlign w:val="center"/>
          </w:tcPr>
          <w:p>
            <w:r/>
            <w:r>
              <w:rPr>
                <w:rFonts w:ascii="Figtree" w:hAnsi="Figtree"/>
                <w:b w:val="0"/>
                <w:i w:val="0"/>
                <w:sz w:val="22"/>
              </w:rPr>
              <w:t>Cyber resilience expectations</w:t>
            </w:r>
          </w:p>
        </w:tc>
        <w:tc>
          <w:tcPr>
            <w:tcW w:type="dxa" w:w="3249"/>
            <w:vAlign w:val="center"/>
          </w:tcPr>
          <w:p>
            <w:r/>
            <w:r>
              <w:rPr>
                <w:rFonts w:ascii="Figtree" w:hAnsi="Figtree"/>
                <w:b w:val="0"/>
                <w:i w:val="0"/>
                <w:sz w:val="22"/>
              </w:rPr>
              <w:t>Defense-in-depth security model</w:t>
            </w:r>
          </w:p>
        </w:tc>
      </w:tr>
    </w:tbl>
    <w:p>
      <w:r>
        <w:rPr>
          <w:rFonts w:ascii="Figtree" w:hAnsi="Figtree"/>
          <w:b/>
          <w:i w:val="0"/>
          <w:sz w:val="22"/>
        </w:rPr>
        <w:t>Important qualification:</w:t>
      </w:r>
      <w:r>
        <w:rPr>
          <w:rFonts w:ascii="Figtree" w:hAnsi="Figtree"/>
          <w:b w:val="0"/>
          <w:i w:val="0"/>
          <w:sz w:val="22"/>
        </w:rPr>
        <w:t xml:space="preserve"> DALP provides the technical infrastructure for compliance enforcement. It does not provide legal or regulatory advice. Emirates NBD retains responsibility for regulatory interpretation and policy decisions. DALP enforces whatever rules Emirates NBD configures — the platform is a compliance enforcement engine, not a compliance advisory service.</w:t>
      </w:r>
    </w:p>
    <w:p>
      <w:r>
        <w:br w:type="page"/>
      </w:r>
    </w:p>
    <w:p>
      <w:pPr>
        <w:pStyle w:val="H2"/>
        <w:numPr>
          <w:ilvl w:val="1"/>
          <w:numId w:val="1"/>
        </w:numPr>
      </w:pPr>
      <w:r>
        <w:t>Settlement, Servicing, and Lifecycle Management</w:t>
      </w:r>
    </w:p>
    <w:p>
      <w:pPr>
        <w:pStyle w:val="H3"/>
        <w:numPr>
          <w:ilvl w:val="2"/>
          <w:numId w:val="1"/>
        </w:numPr>
      </w:pPr>
      <w:r>
        <w:t>Settlement Architecture</w:t>
      </w:r>
    </w:p>
    <w:p>
      <w:pPr>
        <w:jc w:val="center"/>
      </w:pPr>
      <w:r>
        <w:drawing>
          <wp:inline xmlns:a="http://schemas.openxmlformats.org/drawingml/2006/main" xmlns:pic="http://schemas.openxmlformats.org/drawingml/2006/picture">
            <wp:extent cx="5486400" cy="354796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547965"/>
                    </a:xfrm>
                    <a:prstGeom prst="rect"/>
                  </pic:spPr>
                </pic:pic>
              </a:graphicData>
            </a:graphic>
          </wp:inline>
        </w:drawing>
      </w:r>
    </w:p>
    <w:p>
      <w:pPr>
        <w:pStyle w:val="H3"/>
        <w:numPr>
          <w:ilvl w:val="2"/>
          <w:numId w:val="1"/>
        </w:numPr>
      </w:pPr>
      <w:r>
        <w:t>Deposit Lifecycle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Stage</w:t>
            </w:r>
          </w:p>
        </w:tc>
        <w:tc>
          <w:tcPr>
            <w:tcW w:type="dxa" w:w="2436"/>
            <w:vAlign w:val="center"/>
            <w:shd w:fill="000099" w:val="clear"/>
          </w:tcPr>
          <w:p>
            <w:r>
              <w:rPr>
                <w:b/>
                <w:color w:val="FFFFFF"/>
              </w:rPr>
            </w:r>
            <w:r>
              <w:rPr>
                <w:rFonts w:ascii="Figtree" w:hAnsi="Figtree"/>
                <w:b/>
                <w:i w:val="0"/>
                <w:color w:val="FFFFFF"/>
                <w:sz w:val="22"/>
              </w:rPr>
              <w:t>Operation</w:t>
            </w:r>
          </w:p>
        </w:tc>
        <w:tc>
          <w:tcPr>
            <w:tcW w:type="dxa" w:w="2436"/>
            <w:vAlign w:val="center"/>
            <w:shd w:fill="000099" w:val="clear"/>
          </w:tcPr>
          <w:p>
            <w:r>
              <w:rPr>
                <w:b/>
                <w:color w:val="FFFFFF"/>
              </w:rPr>
            </w:r>
            <w:r>
              <w:rPr>
                <w:rFonts w:ascii="Figtree" w:hAnsi="Figtree"/>
                <w:b/>
                <w:i w:val="0"/>
                <w:color w:val="FFFFFF"/>
                <w:sz w:val="22"/>
              </w:rPr>
              <w:t>DALP Component</w:t>
            </w:r>
          </w:p>
        </w:tc>
        <w:tc>
          <w:tcPr>
            <w:tcW w:type="dxa" w:w="2436"/>
            <w:vAlign w:val="center"/>
            <w:shd w:fill="000099" w:val="clear"/>
          </w:tcPr>
          <w:p>
            <w:r>
              <w:rPr>
                <w:b/>
                <w:color w:val="FFFFFF"/>
              </w:rPr>
            </w:r>
            <w:r>
              <w:rPr>
                <w:rFonts w:ascii="Figtree" w:hAnsi="Figtree"/>
                <w:b/>
                <w:i w:val="0"/>
                <w:color w:val="FFFFFF"/>
                <w:sz w:val="22"/>
              </w:rPr>
              <w:t>Automation</w:t>
            </w:r>
          </w:p>
        </w:tc>
      </w:tr>
      <w:tr>
        <w:trPr>
          <w:trHeight w:val="454" w:hRule="atLeast"/>
        </w:trPr>
        <w:tc>
          <w:tcPr>
            <w:tcW w:type="dxa" w:w="2436"/>
            <w:vAlign w:val="center"/>
          </w:tcPr>
          <w:p>
            <w:r/>
            <w:r>
              <w:rPr>
                <w:rFonts w:ascii="Figtree" w:hAnsi="Figtree"/>
                <w:b w:val="0"/>
                <w:i w:val="0"/>
                <w:sz w:val="22"/>
              </w:rPr>
              <w:t>Design</w:t>
            </w:r>
          </w:p>
        </w:tc>
        <w:tc>
          <w:tcPr>
            <w:tcW w:type="dxa" w:w="2436"/>
            <w:vAlign w:val="center"/>
          </w:tcPr>
          <w:p>
            <w:r/>
            <w:r>
              <w:rPr>
                <w:rFonts w:ascii="Figtree" w:hAnsi="Figtree"/>
                <w:b w:val="0"/>
                <w:i w:val="0"/>
                <w:sz w:val="22"/>
              </w:rPr>
              <w:t>Configure deposit parameters</w:t>
            </w:r>
          </w:p>
        </w:tc>
        <w:tc>
          <w:tcPr>
            <w:tcW w:type="dxa" w:w="2436"/>
            <w:vAlign w:val="center"/>
          </w:tcPr>
          <w:p>
            <w:r/>
            <w:r>
              <w:rPr>
                <w:rFonts w:ascii="Figtree" w:hAnsi="Figtree"/>
                <w:b w:val="0"/>
                <w:i w:val="0"/>
                <w:sz w:val="22"/>
              </w:rPr>
              <w:t>Asset Designer</w:t>
            </w:r>
          </w:p>
        </w:tc>
        <w:tc>
          <w:tcPr>
            <w:tcW w:type="dxa" w:w="2436"/>
            <w:vAlign w:val="center"/>
          </w:tcPr>
          <w:p>
            <w:r/>
            <w:r>
              <w:rPr>
                <w:rFonts w:ascii="Figtree" w:hAnsi="Figtree"/>
                <w:b w:val="0"/>
                <w:i w:val="0"/>
                <w:sz w:val="22"/>
              </w:rPr>
              <w:t>Wizard-guided</w:t>
            </w:r>
          </w:p>
        </w:tc>
      </w:tr>
      <w:tr>
        <w:trPr>
          <w:trHeight w:val="454" w:hRule="atLeast"/>
        </w:trPr>
        <w:tc>
          <w:tcPr>
            <w:tcW w:type="dxa" w:w="2436"/>
            <w:vAlign w:val="center"/>
          </w:tcPr>
          <w:p>
            <w:r/>
            <w:r>
              <w:rPr>
                <w:rFonts w:ascii="Figtree" w:hAnsi="Figtree"/>
                <w:b w:val="0"/>
                <w:i w:val="0"/>
                <w:sz w:val="22"/>
              </w:rPr>
              <w:t>Create</w:t>
            </w:r>
          </w:p>
        </w:tc>
        <w:tc>
          <w:tcPr>
            <w:tcW w:type="dxa" w:w="2436"/>
            <w:vAlign w:val="center"/>
          </w:tcPr>
          <w:p>
            <w:r/>
            <w:r>
              <w:rPr>
                <w:rFonts w:ascii="Figtree" w:hAnsi="Figtree"/>
                <w:b w:val="0"/>
                <w:i w:val="0"/>
                <w:sz w:val="22"/>
              </w:rPr>
              <w:t>Deploy deposit token contract</w:t>
            </w:r>
          </w:p>
        </w:tc>
        <w:tc>
          <w:tcPr>
            <w:tcW w:type="dxa" w:w="2436"/>
            <w:vAlign w:val="center"/>
          </w:tcPr>
          <w:p>
            <w:r/>
            <w:r>
              <w:rPr>
                <w:rFonts w:ascii="Figtree" w:hAnsi="Figtree"/>
                <w:b w:val="0"/>
                <w:i w:val="0"/>
                <w:sz w:val="22"/>
              </w:rPr>
              <w:t>Factory pattern (CREATE2)</w:t>
            </w:r>
          </w:p>
        </w:tc>
        <w:tc>
          <w:tcPr>
            <w:tcW w:type="dxa" w:w="2436"/>
            <w:vAlign w:val="center"/>
          </w:tcPr>
          <w:p>
            <w:r/>
            <w:r>
              <w:rPr>
                <w:rFonts w:ascii="Figtree" w:hAnsi="Figtree"/>
                <w:b w:val="0"/>
                <w:i w:val="0"/>
                <w:sz w:val="22"/>
              </w:rPr>
              <w:t>Deterministic addressing</w:t>
            </w:r>
          </w:p>
        </w:tc>
      </w:tr>
      <w:tr>
        <w:trPr>
          <w:trHeight w:val="454" w:hRule="atLeast"/>
        </w:trPr>
        <w:tc>
          <w:tcPr>
            <w:tcW w:type="dxa" w:w="2436"/>
            <w:vAlign w:val="center"/>
          </w:tcPr>
          <w:p>
            <w:r/>
            <w:r>
              <w:rPr>
                <w:rFonts w:ascii="Figtree" w:hAnsi="Figtree"/>
                <w:b w:val="0"/>
                <w:i w:val="0"/>
                <w:sz w:val="22"/>
              </w:rPr>
              <w:t>Issue</w:t>
            </w:r>
          </w:p>
        </w:tc>
        <w:tc>
          <w:tcPr>
            <w:tcW w:type="dxa" w:w="2436"/>
            <w:vAlign w:val="center"/>
          </w:tcPr>
          <w:p>
            <w:r/>
            <w:r>
              <w:rPr>
                <w:rFonts w:ascii="Figtree" w:hAnsi="Figtree"/>
                <w:b w:val="0"/>
                <w:i w:val="0"/>
                <w:sz w:val="22"/>
              </w:rPr>
              <w:t>Mint tokens to represent deposits</w:t>
            </w:r>
          </w:p>
        </w:tc>
        <w:tc>
          <w:tcPr>
            <w:tcW w:type="dxa" w:w="2436"/>
            <w:vAlign w:val="center"/>
          </w:tcPr>
          <w:p>
            <w:r/>
            <w:r>
              <w:rPr>
                <w:rFonts w:ascii="Figtree" w:hAnsi="Figtree"/>
                <w:b w:val="0"/>
                <w:i w:val="0"/>
                <w:sz w:val="22"/>
              </w:rPr>
              <w:t>Mint operation + compliance</w:t>
            </w:r>
          </w:p>
        </w:tc>
        <w:tc>
          <w:tcPr>
            <w:tcW w:type="dxa" w:w="2436"/>
            <w:vAlign w:val="center"/>
          </w:tcPr>
          <w:p>
            <w:r/>
            <w:r>
              <w:rPr>
                <w:rFonts w:ascii="Figtree" w:hAnsi="Figtree"/>
                <w:b w:val="0"/>
                <w:i w:val="0"/>
                <w:sz w:val="22"/>
              </w:rPr>
              <w:t>Automated with approval</w:t>
            </w:r>
          </w:p>
        </w:tc>
      </w:tr>
      <w:tr>
        <w:trPr>
          <w:trHeight w:val="454" w:hRule="atLeast"/>
        </w:trPr>
        <w:tc>
          <w:tcPr>
            <w:tcW w:type="dxa" w:w="2436"/>
            <w:vAlign w:val="center"/>
          </w:tcPr>
          <w:p>
            <w:r/>
            <w:r>
              <w:rPr>
                <w:rFonts w:ascii="Figtree" w:hAnsi="Figtree"/>
                <w:b w:val="0"/>
                <w:i w:val="0"/>
                <w:sz w:val="22"/>
              </w:rPr>
              <w:t>Distribute</w:t>
            </w:r>
          </w:p>
        </w:tc>
        <w:tc>
          <w:tcPr>
            <w:tcW w:type="dxa" w:w="2436"/>
            <w:vAlign w:val="center"/>
          </w:tcPr>
          <w:p>
            <w:r/>
            <w:r>
              <w:rPr>
                <w:rFonts w:ascii="Figtree" w:hAnsi="Figtree"/>
                <w:b w:val="0"/>
                <w:i w:val="0"/>
                <w:sz w:val="22"/>
              </w:rPr>
              <w:t>Transfer to institutional investors</w:t>
            </w:r>
          </w:p>
        </w:tc>
        <w:tc>
          <w:tcPr>
            <w:tcW w:type="dxa" w:w="2436"/>
            <w:vAlign w:val="center"/>
          </w:tcPr>
          <w:p>
            <w:r/>
            <w:r>
              <w:rPr>
                <w:rFonts w:ascii="Figtree" w:hAnsi="Figtree"/>
                <w:b w:val="0"/>
                <w:i w:val="0"/>
                <w:sz w:val="22"/>
              </w:rPr>
              <w:t>XvP settlement (atomic DvP)</w:t>
            </w:r>
          </w:p>
        </w:tc>
        <w:tc>
          <w:tcPr>
            <w:tcW w:type="dxa" w:w="2436"/>
            <w:vAlign w:val="center"/>
          </w:tcPr>
          <w:p>
            <w:r/>
            <w:r>
              <w:rPr>
                <w:rFonts w:ascii="Figtree" w:hAnsi="Figtree"/>
                <w:b w:val="0"/>
                <w:i w:val="0"/>
                <w:sz w:val="22"/>
              </w:rPr>
              <w:t>Automated</w:t>
            </w:r>
          </w:p>
        </w:tc>
      </w:tr>
      <w:tr>
        <w:trPr>
          <w:trHeight w:val="454" w:hRule="atLeast"/>
        </w:trPr>
        <w:tc>
          <w:tcPr>
            <w:tcW w:type="dxa" w:w="2436"/>
            <w:vAlign w:val="center"/>
          </w:tcPr>
          <w:p>
            <w:r/>
            <w:r>
              <w:rPr>
                <w:rFonts w:ascii="Figtree" w:hAnsi="Figtree"/>
                <w:b w:val="0"/>
                <w:i w:val="0"/>
                <w:sz w:val="22"/>
              </w:rPr>
              <w:t>Service</w:t>
            </w:r>
          </w:p>
        </w:tc>
        <w:tc>
          <w:tcPr>
            <w:tcW w:type="dxa" w:w="2436"/>
            <w:vAlign w:val="center"/>
          </w:tcPr>
          <w:p>
            <w:r/>
            <w:r>
              <w:rPr>
                <w:rFonts w:ascii="Figtree" w:hAnsi="Figtree"/>
                <w:b w:val="0"/>
                <w:i w:val="0"/>
                <w:sz w:val="22"/>
              </w:rPr>
              <w:t>Interest accrual and distribution</w:t>
            </w:r>
          </w:p>
        </w:tc>
        <w:tc>
          <w:tcPr>
            <w:tcW w:type="dxa" w:w="2436"/>
            <w:vAlign w:val="center"/>
          </w:tcPr>
          <w:p>
            <w:r/>
            <w:r>
              <w:rPr>
                <w:rFonts w:ascii="Figtree" w:hAnsi="Figtree"/>
                <w:b w:val="0"/>
                <w:i w:val="0"/>
                <w:sz w:val="22"/>
              </w:rPr>
              <w:t>Fixed treasury yield feature</w:t>
            </w:r>
          </w:p>
        </w:tc>
        <w:tc>
          <w:tcPr>
            <w:tcW w:type="dxa" w:w="2436"/>
            <w:vAlign w:val="center"/>
          </w:tcPr>
          <w:p>
            <w:r/>
            <w:r>
              <w:rPr>
                <w:rFonts w:ascii="Figtree" w:hAnsi="Figtree"/>
                <w:b w:val="0"/>
                <w:i w:val="0"/>
                <w:sz w:val="22"/>
              </w:rPr>
              <w:t>Automated, periodic</w:t>
            </w:r>
          </w:p>
        </w:tc>
      </w:tr>
      <w:tr>
        <w:trPr>
          <w:trHeight w:val="454" w:hRule="atLeast"/>
        </w:trPr>
        <w:tc>
          <w:tcPr>
            <w:tcW w:type="dxa" w:w="2436"/>
            <w:vAlign w:val="center"/>
          </w:tcPr>
          <w:p>
            <w:r/>
            <w:r>
              <w:rPr>
                <w:rFonts w:ascii="Figtree" w:hAnsi="Figtree"/>
                <w:b w:val="0"/>
                <w:i w:val="0"/>
                <w:sz w:val="22"/>
              </w:rPr>
              <w:t>Monitor</w:t>
            </w:r>
          </w:p>
        </w:tc>
        <w:tc>
          <w:tcPr>
            <w:tcW w:type="dxa" w:w="2436"/>
            <w:vAlign w:val="center"/>
          </w:tcPr>
          <w:p>
            <w:r/>
            <w:r>
              <w:rPr>
                <w:rFonts w:ascii="Figtree" w:hAnsi="Figtree"/>
                <w:b w:val="0"/>
                <w:i w:val="0"/>
                <w:sz w:val="22"/>
              </w:rPr>
              <w:t>Real-time portfolio and compliance</w:t>
            </w:r>
          </w:p>
        </w:tc>
        <w:tc>
          <w:tcPr>
            <w:tcW w:type="dxa" w:w="2436"/>
            <w:vAlign w:val="center"/>
          </w:tcPr>
          <w:p>
            <w:r/>
            <w:r>
              <w:rPr>
                <w:rFonts w:ascii="Figtree" w:hAnsi="Figtree"/>
                <w:b w:val="0"/>
                <w:i w:val="0"/>
                <w:sz w:val="22"/>
              </w:rPr>
              <w:t>Dashboard + GraphQL</w:t>
            </w:r>
          </w:p>
        </w:tc>
        <w:tc>
          <w:tcPr>
            <w:tcW w:type="dxa" w:w="2436"/>
            <w:vAlign w:val="center"/>
          </w:tcPr>
          <w:p>
            <w:r/>
            <w:r>
              <w:rPr>
                <w:rFonts w:ascii="Figtree" w:hAnsi="Figtree"/>
                <w:b w:val="0"/>
                <w:i w:val="0"/>
                <w:sz w:val="22"/>
              </w:rPr>
              <w:t>Continuous</w:t>
            </w:r>
          </w:p>
        </w:tc>
      </w:tr>
      <w:tr>
        <w:trPr>
          <w:trHeight w:val="454" w:hRule="atLeast"/>
        </w:trPr>
        <w:tc>
          <w:tcPr>
            <w:tcW w:type="dxa" w:w="2436"/>
            <w:vAlign w:val="center"/>
          </w:tcPr>
          <w:p>
            <w:r/>
            <w:r>
              <w:rPr>
                <w:rFonts w:ascii="Figtree" w:hAnsi="Figtree"/>
                <w:b w:val="0"/>
                <w:i w:val="0"/>
                <w:sz w:val="22"/>
              </w:rPr>
              <w:t>Mature</w:t>
            </w:r>
          </w:p>
        </w:tc>
        <w:tc>
          <w:tcPr>
            <w:tcW w:type="dxa" w:w="2436"/>
            <w:vAlign w:val="center"/>
          </w:tcPr>
          <w:p>
            <w:r/>
            <w:r>
              <w:rPr>
                <w:rFonts w:ascii="Figtree" w:hAnsi="Figtree"/>
                <w:b w:val="0"/>
                <w:i w:val="0"/>
                <w:sz w:val="22"/>
              </w:rPr>
              <w:t>Redemption at maturity</w:t>
            </w:r>
          </w:p>
        </w:tc>
        <w:tc>
          <w:tcPr>
            <w:tcW w:type="dxa" w:w="2436"/>
            <w:vAlign w:val="center"/>
          </w:tcPr>
          <w:p>
            <w:r/>
            <w:r>
              <w:rPr>
                <w:rFonts w:ascii="Figtree" w:hAnsi="Figtree"/>
                <w:b w:val="0"/>
                <w:i w:val="0"/>
                <w:sz w:val="22"/>
              </w:rPr>
              <w:t>Maturity feature</w:t>
            </w:r>
          </w:p>
        </w:tc>
        <w:tc>
          <w:tcPr>
            <w:tcW w:type="dxa" w:w="2436"/>
            <w:vAlign w:val="center"/>
          </w:tcPr>
          <w:p>
            <w:r/>
            <w:r>
              <w:rPr>
                <w:rFonts w:ascii="Figtree" w:hAnsi="Figtree"/>
                <w:b w:val="0"/>
                <w:i w:val="0"/>
                <w:sz w:val="22"/>
              </w:rPr>
              <w:t>Automated at date</w:t>
            </w:r>
          </w:p>
        </w:tc>
      </w:tr>
      <w:tr>
        <w:trPr>
          <w:trHeight w:val="454" w:hRule="atLeast"/>
        </w:trPr>
        <w:tc>
          <w:tcPr>
            <w:tcW w:type="dxa" w:w="2436"/>
            <w:vAlign w:val="center"/>
          </w:tcPr>
          <w:p>
            <w:r/>
            <w:r>
              <w:rPr>
                <w:rFonts w:ascii="Figtree" w:hAnsi="Figtree"/>
                <w:b w:val="0"/>
                <w:i w:val="0"/>
                <w:sz w:val="22"/>
              </w:rPr>
              <w:t>Retire</w:t>
            </w:r>
          </w:p>
        </w:tc>
        <w:tc>
          <w:tcPr>
            <w:tcW w:type="dxa" w:w="2436"/>
            <w:vAlign w:val="center"/>
          </w:tcPr>
          <w:p>
            <w:r/>
            <w:r>
              <w:rPr>
                <w:rFonts w:ascii="Figtree" w:hAnsi="Figtree"/>
                <w:b w:val="0"/>
                <w:i w:val="0"/>
                <w:sz w:val="22"/>
              </w:rPr>
              <w:t>Burn tokens post-redemption</w:t>
            </w:r>
          </w:p>
        </w:tc>
        <w:tc>
          <w:tcPr>
            <w:tcW w:type="dxa" w:w="2436"/>
            <w:vAlign w:val="center"/>
          </w:tcPr>
          <w:p>
            <w:r/>
            <w:r>
              <w:rPr>
                <w:rFonts w:ascii="Figtree" w:hAnsi="Figtree"/>
                <w:b w:val="0"/>
                <w:i w:val="0"/>
                <w:sz w:val="22"/>
              </w:rPr>
              <w:t>Burn operation</w:t>
            </w:r>
          </w:p>
        </w:tc>
        <w:tc>
          <w:tcPr>
            <w:tcW w:type="dxa" w:w="2436"/>
            <w:vAlign w:val="center"/>
          </w:tcPr>
          <w:p>
            <w:r/>
            <w:r>
              <w:rPr>
                <w:rFonts w:ascii="Figtree" w:hAnsi="Figtree"/>
                <w:b w:val="0"/>
                <w:i w:val="0"/>
                <w:sz w:val="22"/>
              </w:rPr>
              <w:t>Automated</w:t>
            </w:r>
          </w:p>
        </w:tc>
      </w:tr>
    </w:tbl>
    <w:p>
      <w:pPr>
        <w:pStyle w:val="H3"/>
        <w:numPr>
          <w:ilvl w:val="2"/>
          <w:numId w:val="1"/>
        </w:numPr>
      </w:pPr>
      <w:r>
        <w:t>Trade Finance Lifecycle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Stage</w:t>
            </w:r>
          </w:p>
        </w:tc>
        <w:tc>
          <w:tcPr>
            <w:tcW w:type="dxa" w:w="2436"/>
            <w:vAlign w:val="center"/>
            <w:shd w:fill="000099" w:val="clear"/>
          </w:tcPr>
          <w:p>
            <w:r>
              <w:rPr>
                <w:b/>
                <w:color w:val="FFFFFF"/>
              </w:rPr>
            </w:r>
            <w:r>
              <w:rPr>
                <w:rFonts w:ascii="Figtree" w:hAnsi="Figtree"/>
                <w:b/>
                <w:i w:val="0"/>
                <w:color w:val="FFFFFF"/>
                <w:sz w:val="22"/>
              </w:rPr>
              <w:t>Operation</w:t>
            </w:r>
          </w:p>
        </w:tc>
        <w:tc>
          <w:tcPr>
            <w:tcW w:type="dxa" w:w="2436"/>
            <w:vAlign w:val="center"/>
            <w:shd w:fill="000099" w:val="clear"/>
          </w:tcPr>
          <w:p>
            <w:r>
              <w:rPr>
                <w:b/>
                <w:color w:val="FFFFFF"/>
              </w:rPr>
            </w:r>
            <w:r>
              <w:rPr>
                <w:rFonts w:ascii="Figtree" w:hAnsi="Figtree"/>
                <w:b/>
                <w:i w:val="0"/>
                <w:color w:val="FFFFFF"/>
                <w:sz w:val="22"/>
              </w:rPr>
              <w:t>DALP Component</w:t>
            </w:r>
          </w:p>
        </w:tc>
        <w:tc>
          <w:tcPr>
            <w:tcW w:type="dxa" w:w="2436"/>
            <w:vAlign w:val="center"/>
            <w:shd w:fill="000099" w:val="clear"/>
          </w:tcPr>
          <w:p>
            <w:r>
              <w:rPr>
                <w:b/>
                <w:color w:val="FFFFFF"/>
              </w:rPr>
            </w:r>
            <w:r>
              <w:rPr>
                <w:rFonts w:ascii="Figtree" w:hAnsi="Figtree"/>
                <w:b/>
                <w:i w:val="0"/>
                <w:color w:val="FFFFFF"/>
                <w:sz w:val="22"/>
              </w:rPr>
              <w:t>Automation</w:t>
            </w:r>
          </w:p>
        </w:tc>
      </w:tr>
      <w:tr>
        <w:trPr>
          <w:trHeight w:val="454" w:hRule="atLeast"/>
        </w:trPr>
        <w:tc>
          <w:tcPr>
            <w:tcW w:type="dxa" w:w="2436"/>
            <w:vAlign w:val="center"/>
          </w:tcPr>
          <w:p>
            <w:r/>
            <w:r>
              <w:rPr>
                <w:rFonts w:ascii="Figtree" w:hAnsi="Figtree"/>
                <w:b w:val="0"/>
                <w:i w:val="0"/>
                <w:sz w:val="22"/>
              </w:rPr>
              <w:t>Initiate</w:t>
            </w:r>
          </w:p>
        </w:tc>
        <w:tc>
          <w:tcPr>
            <w:tcW w:type="dxa" w:w="2436"/>
            <w:vAlign w:val="center"/>
          </w:tcPr>
          <w:p>
            <w:r/>
            <w:r>
              <w:rPr>
                <w:rFonts w:ascii="Figtree" w:hAnsi="Figtree"/>
                <w:b w:val="0"/>
                <w:i w:val="0"/>
                <w:sz w:val="22"/>
              </w:rPr>
              <w:t>Create trade finance instrument</w:t>
            </w:r>
          </w:p>
        </w:tc>
        <w:tc>
          <w:tcPr>
            <w:tcW w:type="dxa" w:w="2436"/>
            <w:vAlign w:val="center"/>
          </w:tcPr>
          <w:p>
            <w:r/>
            <w:r>
              <w:rPr>
                <w:rFonts w:ascii="Figtree" w:hAnsi="Figtree"/>
                <w:b w:val="0"/>
                <w:i w:val="0"/>
                <w:sz w:val="22"/>
              </w:rPr>
              <w:t>DALPAsset configuration</w:t>
            </w:r>
          </w:p>
        </w:tc>
        <w:tc>
          <w:tcPr>
            <w:tcW w:type="dxa" w:w="2436"/>
            <w:vAlign w:val="center"/>
          </w:tcPr>
          <w:p>
            <w:r/>
            <w:r>
              <w:rPr>
                <w:rFonts w:ascii="Figtree" w:hAnsi="Figtree"/>
                <w:b w:val="0"/>
                <w:i w:val="0"/>
                <w:sz w:val="22"/>
              </w:rPr>
              <w:t>API or wizard</w:t>
            </w:r>
          </w:p>
        </w:tc>
      </w:tr>
      <w:tr>
        <w:trPr>
          <w:trHeight w:val="454" w:hRule="atLeast"/>
        </w:trPr>
        <w:tc>
          <w:tcPr>
            <w:tcW w:type="dxa" w:w="2436"/>
            <w:vAlign w:val="center"/>
          </w:tcPr>
          <w:p>
            <w:r/>
            <w:r>
              <w:rPr>
                <w:rFonts w:ascii="Figtree" w:hAnsi="Figtree"/>
                <w:b w:val="0"/>
                <w:i w:val="0"/>
                <w:sz w:val="22"/>
              </w:rPr>
              <w:t>Document</w:t>
            </w:r>
          </w:p>
        </w:tc>
        <w:tc>
          <w:tcPr>
            <w:tcW w:type="dxa" w:w="2436"/>
            <w:vAlign w:val="center"/>
          </w:tcPr>
          <w:p>
            <w:r/>
            <w:r>
              <w:rPr>
                <w:rFonts w:ascii="Figtree" w:hAnsi="Figtree"/>
                <w:b w:val="0"/>
                <w:i w:val="0"/>
                <w:sz w:val="22"/>
              </w:rPr>
              <w:t>Link trade documents</w:t>
            </w:r>
          </w:p>
        </w:tc>
        <w:tc>
          <w:tcPr>
            <w:tcW w:type="dxa" w:w="2436"/>
            <w:vAlign w:val="center"/>
          </w:tcPr>
          <w:p>
            <w:r/>
            <w:r>
              <w:rPr>
                <w:rFonts w:ascii="Figtree" w:hAnsi="Figtree"/>
                <w:b w:val="0"/>
                <w:i w:val="0"/>
                <w:sz w:val="22"/>
              </w:rPr>
              <w:t>Metadata + object storage</w:t>
            </w:r>
          </w:p>
        </w:tc>
        <w:tc>
          <w:tcPr>
            <w:tcW w:type="dxa" w:w="2436"/>
            <w:vAlign w:val="center"/>
          </w:tcPr>
          <w:p>
            <w:r/>
            <w:r>
              <w:rPr>
                <w:rFonts w:ascii="Figtree" w:hAnsi="Figtree"/>
                <w:b w:val="0"/>
                <w:i w:val="0"/>
                <w:sz w:val="22"/>
              </w:rPr>
              <w:t>API-driven</w:t>
            </w:r>
          </w:p>
        </w:tc>
      </w:tr>
      <w:tr>
        <w:trPr>
          <w:trHeight w:val="454" w:hRule="atLeast"/>
        </w:trPr>
        <w:tc>
          <w:tcPr>
            <w:tcW w:type="dxa" w:w="2436"/>
            <w:vAlign w:val="center"/>
          </w:tcPr>
          <w:p>
            <w:r/>
            <w:r>
              <w:rPr>
                <w:rFonts w:ascii="Figtree" w:hAnsi="Figtree"/>
                <w:b w:val="0"/>
                <w:i w:val="0"/>
                <w:sz w:val="22"/>
              </w:rPr>
              <w:t>Verify</w:t>
            </w:r>
          </w:p>
        </w:tc>
        <w:tc>
          <w:tcPr>
            <w:tcW w:type="dxa" w:w="2436"/>
            <w:vAlign w:val="center"/>
          </w:tcPr>
          <w:p>
            <w:r/>
            <w:r>
              <w:rPr>
                <w:rFonts w:ascii="Figtree" w:hAnsi="Figtree"/>
                <w:b w:val="0"/>
                <w:i w:val="0"/>
                <w:sz w:val="22"/>
              </w:rPr>
              <w:t>Counterparty document verification</w:t>
            </w:r>
          </w:p>
        </w:tc>
        <w:tc>
          <w:tcPr>
            <w:tcW w:type="dxa" w:w="2436"/>
            <w:vAlign w:val="center"/>
          </w:tcPr>
          <w:p>
            <w:r/>
            <w:r>
              <w:rPr>
                <w:rFonts w:ascii="Figtree" w:hAnsi="Figtree"/>
                <w:b w:val="0"/>
                <w:i w:val="0"/>
                <w:sz w:val="22"/>
              </w:rPr>
              <w:t>Transfer approval module</w:t>
            </w:r>
          </w:p>
        </w:tc>
        <w:tc>
          <w:tcPr>
            <w:tcW w:type="dxa" w:w="2436"/>
            <w:vAlign w:val="center"/>
          </w:tcPr>
          <w:p>
            <w:r/>
            <w:r>
              <w:rPr>
                <w:rFonts w:ascii="Figtree" w:hAnsi="Figtree"/>
                <w:b w:val="0"/>
                <w:i w:val="0"/>
                <w:sz w:val="22"/>
              </w:rPr>
              <w:t>Multi-party</w:t>
            </w:r>
          </w:p>
        </w:tc>
      </w:tr>
      <w:tr>
        <w:trPr>
          <w:trHeight w:val="454" w:hRule="atLeast"/>
        </w:trPr>
        <w:tc>
          <w:tcPr>
            <w:tcW w:type="dxa" w:w="2436"/>
            <w:vAlign w:val="center"/>
          </w:tcPr>
          <w:p>
            <w:r/>
            <w:r>
              <w:rPr>
                <w:rFonts w:ascii="Figtree" w:hAnsi="Figtree"/>
                <w:b w:val="0"/>
                <w:i w:val="0"/>
                <w:sz w:val="22"/>
              </w:rPr>
              <w:t>Milestone</w:t>
            </w:r>
          </w:p>
        </w:tc>
        <w:tc>
          <w:tcPr>
            <w:tcW w:type="dxa" w:w="2436"/>
            <w:vAlign w:val="center"/>
          </w:tcPr>
          <w:p>
            <w:r/>
            <w:r>
              <w:rPr>
                <w:rFonts w:ascii="Figtree" w:hAnsi="Figtree"/>
                <w:b w:val="0"/>
                <w:i w:val="0"/>
                <w:sz w:val="22"/>
              </w:rPr>
              <w:t>Record trade milestones</w:t>
            </w:r>
          </w:p>
        </w:tc>
        <w:tc>
          <w:tcPr>
            <w:tcW w:type="dxa" w:w="2436"/>
            <w:vAlign w:val="center"/>
          </w:tcPr>
          <w:p>
            <w:r/>
            <w:r>
              <w:rPr>
                <w:rFonts w:ascii="Figtree" w:hAnsi="Figtree"/>
                <w:b w:val="0"/>
                <w:i w:val="0"/>
                <w:sz w:val="22"/>
              </w:rPr>
              <w:t>Durable workflow engine</w:t>
            </w:r>
          </w:p>
        </w:tc>
        <w:tc>
          <w:tcPr>
            <w:tcW w:type="dxa" w:w="2436"/>
            <w:vAlign w:val="center"/>
          </w:tcPr>
          <w:p>
            <w:r/>
            <w:r>
              <w:rPr>
                <w:rFonts w:ascii="Figtree" w:hAnsi="Figtree"/>
                <w:b w:val="0"/>
                <w:i w:val="0"/>
                <w:sz w:val="22"/>
              </w:rPr>
              <w:t>Event-driven</w:t>
            </w:r>
          </w:p>
        </w:tc>
      </w:tr>
      <w:tr>
        <w:trPr>
          <w:trHeight w:val="454" w:hRule="atLeast"/>
        </w:trPr>
        <w:tc>
          <w:tcPr>
            <w:tcW w:type="dxa" w:w="2436"/>
            <w:vAlign w:val="center"/>
          </w:tcPr>
          <w:p>
            <w:r/>
            <w:r>
              <w:rPr>
                <w:rFonts w:ascii="Figtree" w:hAnsi="Figtree"/>
                <w:b w:val="0"/>
                <w:i w:val="0"/>
                <w:sz w:val="22"/>
              </w:rPr>
              <w:t>Release</w:t>
            </w:r>
          </w:p>
        </w:tc>
        <w:tc>
          <w:tcPr>
            <w:tcW w:type="dxa" w:w="2436"/>
            <w:vAlign w:val="center"/>
          </w:tcPr>
          <w:p>
            <w:r/>
            <w:r>
              <w:rPr>
                <w:rFonts w:ascii="Figtree" w:hAnsi="Figtree"/>
                <w:b w:val="0"/>
                <w:i w:val="0"/>
                <w:sz w:val="22"/>
              </w:rPr>
              <w:t>Conditional liquidity release</w:t>
            </w:r>
          </w:p>
        </w:tc>
        <w:tc>
          <w:tcPr>
            <w:tcW w:type="dxa" w:w="2436"/>
            <w:vAlign w:val="center"/>
          </w:tcPr>
          <w:p>
            <w:r/>
            <w:r>
              <w:rPr>
                <w:rFonts w:ascii="Figtree" w:hAnsi="Figtree"/>
                <w:b w:val="0"/>
                <w:i w:val="0"/>
                <w:sz w:val="22"/>
              </w:rPr>
              <w:t>XvP + compliance check</w:t>
            </w:r>
          </w:p>
        </w:tc>
        <w:tc>
          <w:tcPr>
            <w:tcW w:type="dxa" w:w="2436"/>
            <w:vAlign w:val="center"/>
          </w:tcPr>
          <w:p>
            <w:r/>
            <w:r>
              <w:rPr>
                <w:rFonts w:ascii="Figtree" w:hAnsi="Figtree"/>
                <w:b w:val="0"/>
                <w:i w:val="0"/>
                <w:sz w:val="22"/>
              </w:rPr>
              <w:t>Milestone-gated</w:t>
            </w:r>
          </w:p>
        </w:tc>
      </w:tr>
      <w:tr>
        <w:trPr>
          <w:trHeight w:val="454" w:hRule="atLeast"/>
        </w:trPr>
        <w:tc>
          <w:tcPr>
            <w:tcW w:type="dxa" w:w="2436"/>
            <w:vAlign w:val="center"/>
          </w:tcPr>
          <w:p>
            <w:r/>
            <w:r>
              <w:rPr>
                <w:rFonts w:ascii="Figtree" w:hAnsi="Figtree"/>
                <w:b w:val="0"/>
                <w:i w:val="0"/>
                <w:sz w:val="22"/>
              </w:rPr>
              <w:t>Reconcile</w:t>
            </w:r>
          </w:p>
        </w:tc>
        <w:tc>
          <w:tcPr>
            <w:tcW w:type="dxa" w:w="2436"/>
            <w:vAlign w:val="center"/>
          </w:tcPr>
          <w:p>
            <w:r/>
            <w:r>
              <w:rPr>
                <w:rFonts w:ascii="Figtree" w:hAnsi="Figtree"/>
                <w:b w:val="0"/>
                <w:i w:val="0"/>
                <w:sz w:val="22"/>
              </w:rPr>
              <w:t>Sync to core trade books</w:t>
            </w:r>
          </w:p>
        </w:tc>
        <w:tc>
          <w:tcPr>
            <w:tcW w:type="dxa" w:w="2436"/>
            <w:vAlign w:val="center"/>
          </w:tcPr>
          <w:p>
            <w:r/>
            <w:r>
              <w:rPr>
                <w:rFonts w:ascii="Figtree" w:hAnsi="Figtree"/>
                <w:b w:val="0"/>
                <w:i w:val="0"/>
                <w:sz w:val="22"/>
              </w:rPr>
              <w:t>REST API integration</w:t>
            </w:r>
          </w:p>
        </w:tc>
        <w:tc>
          <w:tcPr>
            <w:tcW w:type="dxa" w:w="2436"/>
            <w:vAlign w:val="center"/>
          </w:tcPr>
          <w:p>
            <w:r/>
            <w:r>
              <w:rPr>
                <w:rFonts w:ascii="Figtree" w:hAnsi="Figtree"/>
                <w:b w:val="0"/>
                <w:i w:val="0"/>
                <w:sz w:val="22"/>
              </w:rPr>
              <w:t>Webhook-driven</w:t>
            </w:r>
          </w:p>
        </w:tc>
      </w:tr>
      <w:tr>
        <w:trPr>
          <w:trHeight w:val="454" w:hRule="atLeast"/>
        </w:trPr>
        <w:tc>
          <w:tcPr>
            <w:tcW w:type="dxa" w:w="2436"/>
            <w:vAlign w:val="center"/>
          </w:tcPr>
          <w:p>
            <w:r/>
            <w:r>
              <w:rPr>
                <w:rFonts w:ascii="Figtree" w:hAnsi="Figtree"/>
                <w:b w:val="0"/>
                <w:i w:val="0"/>
                <w:sz w:val="22"/>
              </w:rPr>
              <w:t>Complete</w:t>
            </w:r>
          </w:p>
        </w:tc>
        <w:tc>
          <w:tcPr>
            <w:tcW w:type="dxa" w:w="2436"/>
            <w:vAlign w:val="center"/>
          </w:tcPr>
          <w:p>
            <w:r/>
            <w:r>
              <w:rPr>
                <w:rFonts w:ascii="Figtree" w:hAnsi="Figtree"/>
                <w:b w:val="0"/>
                <w:i w:val="0"/>
                <w:sz w:val="22"/>
              </w:rPr>
              <w:t>Final settlement and close</w:t>
            </w:r>
          </w:p>
        </w:tc>
        <w:tc>
          <w:tcPr>
            <w:tcW w:type="dxa" w:w="2436"/>
            <w:vAlign w:val="center"/>
          </w:tcPr>
          <w:p>
            <w:r/>
            <w:r>
              <w:rPr>
                <w:rFonts w:ascii="Figtree" w:hAnsi="Figtree"/>
                <w:b w:val="0"/>
                <w:i w:val="0"/>
                <w:sz w:val="22"/>
              </w:rPr>
              <w:t>Burn + final reconciliation</w:t>
            </w:r>
          </w:p>
        </w:tc>
        <w:tc>
          <w:tcPr>
            <w:tcW w:type="dxa" w:w="2436"/>
            <w:vAlign w:val="center"/>
          </w:tcPr>
          <w:p>
            <w:r/>
            <w:r>
              <w:rPr>
                <w:rFonts w:ascii="Figtree" w:hAnsi="Figtree"/>
                <w:b w:val="0"/>
                <w:i w:val="0"/>
                <w:sz w:val="22"/>
              </w:rPr>
              <w:t>Semi-automated</w:t>
            </w:r>
          </w:p>
        </w:tc>
      </w:tr>
    </w:tbl>
    <w:p>
      <w:r>
        <w:br w:type="page"/>
      </w:r>
    </w:p>
    <w:p>
      <w:pPr>
        <w:pStyle w:val="H2"/>
        <w:numPr>
          <w:ilvl w:val="1"/>
          <w:numId w:val="1"/>
        </w:numPr>
      </w:pPr>
      <w:r>
        <w:t>Security, Resilience, and Operational Assurance</w:t>
      </w:r>
    </w:p>
    <w:p>
      <w:pPr>
        <w:pStyle w:val="H3"/>
        <w:numPr>
          <w:ilvl w:val="2"/>
          <w:numId w:val="1"/>
        </w:numPr>
      </w:pPr>
      <w:r>
        <w:t>Security Model Overview</w:t>
      </w:r>
    </w:p>
    <w:p>
      <w:r>
        <w:rPr>
          <w:rFonts w:ascii="Figtree" w:hAnsi="Figtree"/>
          <w:b w:val="0"/>
          <w:i w:val="0"/>
          <w:sz w:val="22"/>
        </w:rPr>
        <w:t>DALP enforces defense-in-depth across five independent control layers:</w:t>
      </w:r>
    </w:p>
    <w:p>
      <w:pPr>
        <w:jc w:val="center"/>
      </w:pPr>
      <w:r>
        <w:drawing>
          <wp:inline xmlns:a="http://schemas.openxmlformats.org/drawingml/2006/main" xmlns:pic="http://schemas.openxmlformats.org/drawingml/2006/picture">
            <wp:extent cx="2934723" cy="822960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934723" cy="8229600"/>
                    </a:xfrm>
                    <a:prstGeom prst="rect"/>
                  </pic:spPr>
                </pic:pic>
              </a:graphicData>
            </a:graphic>
          </wp:inline>
        </w:drawing>
      </w:r>
    </w:p>
    <w:p>
      <w:r>
        <w:rPr>
          <w:rFonts w:ascii="Figtree" w:hAnsi="Figtree"/>
          <w:b/>
          <w:i w:val="0"/>
          <w:sz w:val="22"/>
        </w:rPr>
        <w:t>No single-layer failure grants unauthorized access.</w:t>
      </w:r>
      <w:r>
        <w:rPr>
          <w:rFonts w:ascii="Figtree" w:hAnsi="Figtree"/>
          <w:b w:val="0"/>
          <w:i w:val="0"/>
          <w:sz w:val="22"/>
        </w:rPr>
        <w:t xml:space="preserve"> Even if an attacker compromises a session, they face RBAC enforcement, wallet verification, on-chain compliance checks, and custody provider policies before any digital asset operation can execute.</w:t>
      </w:r>
    </w:p>
    <w:p>
      <w:pPr>
        <w:pStyle w:val="H3"/>
        <w:numPr>
          <w:ilvl w:val="2"/>
          <w:numId w:val="1"/>
        </w:numPr>
      </w:pPr>
      <w:r>
        <w:t>Authentication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Method</w:t>
            </w:r>
          </w:p>
        </w:tc>
        <w:tc>
          <w:tcPr>
            <w:tcW w:type="dxa" w:w="3249"/>
            <w:vAlign w:val="center"/>
            <w:shd w:fill="000099" w:val="clear"/>
          </w:tcPr>
          <w:p>
            <w:r>
              <w:rPr>
                <w:b/>
                <w:color w:val="FFFFFF"/>
              </w:rPr>
            </w:r>
            <w:r>
              <w:rPr>
                <w:rFonts w:ascii="Figtree" w:hAnsi="Figtree"/>
                <w:b/>
                <w:i w:val="0"/>
                <w:color w:val="FFFFFF"/>
                <w:sz w:val="22"/>
              </w:rPr>
              <w:t>Use Case</w:t>
            </w:r>
          </w:p>
        </w:tc>
        <w:tc>
          <w:tcPr>
            <w:tcW w:type="dxa" w:w="3249"/>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3249"/>
            <w:vAlign w:val="center"/>
          </w:tcPr>
          <w:p>
            <w:r/>
            <w:r>
              <w:rPr>
                <w:rFonts w:ascii="Figtree" w:hAnsi="Figtree"/>
                <w:b w:val="0"/>
                <w:i w:val="0"/>
                <w:sz w:val="22"/>
              </w:rPr>
              <w:t>Email and password</w:t>
            </w:r>
          </w:p>
        </w:tc>
        <w:tc>
          <w:tcPr>
            <w:tcW w:type="dxa" w:w="3249"/>
            <w:vAlign w:val="center"/>
          </w:tcPr>
          <w:p>
            <w:r/>
            <w:r>
              <w:rPr>
                <w:rFonts w:ascii="Figtree" w:hAnsi="Figtree"/>
                <w:b w:val="0"/>
                <w:i w:val="0"/>
                <w:sz w:val="22"/>
              </w:rPr>
              <w:t>Standard operator access</w:t>
            </w:r>
          </w:p>
        </w:tc>
        <w:tc>
          <w:tcPr>
            <w:tcW w:type="dxa" w:w="3249"/>
            <w:vAlign w:val="center"/>
          </w:tcPr>
          <w:p>
            <w:r/>
            <w:r>
              <w:rPr>
                <w:rFonts w:ascii="Figtree" w:hAnsi="Figtree"/>
                <w:b w:val="0"/>
                <w:i w:val="0"/>
                <w:sz w:val="22"/>
              </w:rPr>
              <w:t>Active</w:t>
            </w:r>
          </w:p>
        </w:tc>
      </w:tr>
      <w:tr>
        <w:trPr>
          <w:trHeight w:val="454" w:hRule="atLeast"/>
        </w:trPr>
        <w:tc>
          <w:tcPr>
            <w:tcW w:type="dxa" w:w="3249"/>
            <w:vAlign w:val="center"/>
          </w:tcPr>
          <w:p>
            <w:r/>
            <w:r>
              <w:rPr>
                <w:rFonts w:ascii="Figtree" w:hAnsi="Figtree"/>
                <w:b w:val="0"/>
                <w:i w:val="0"/>
                <w:sz w:val="22"/>
              </w:rPr>
              <w:t>Passkeys (WebAuthn)</w:t>
            </w:r>
          </w:p>
        </w:tc>
        <w:tc>
          <w:tcPr>
            <w:tcW w:type="dxa" w:w="3249"/>
            <w:vAlign w:val="center"/>
          </w:tcPr>
          <w:p>
            <w:r/>
            <w:r>
              <w:rPr>
                <w:rFonts w:ascii="Figtree" w:hAnsi="Figtree"/>
                <w:b w:val="0"/>
                <w:i w:val="0"/>
                <w:sz w:val="22"/>
              </w:rPr>
              <w:t>Phishing-resistant, biometric</w:t>
            </w:r>
          </w:p>
        </w:tc>
        <w:tc>
          <w:tcPr>
            <w:tcW w:type="dxa" w:w="3249"/>
            <w:vAlign w:val="center"/>
          </w:tcPr>
          <w:p>
            <w:r/>
            <w:r>
              <w:rPr>
                <w:rFonts w:ascii="Figtree" w:hAnsi="Figtree"/>
                <w:b w:val="0"/>
                <w:i w:val="0"/>
                <w:sz w:val="22"/>
              </w:rPr>
              <w:t>Active</w:t>
            </w:r>
          </w:p>
        </w:tc>
      </w:tr>
      <w:tr>
        <w:trPr>
          <w:trHeight w:val="454" w:hRule="atLeast"/>
        </w:trPr>
        <w:tc>
          <w:tcPr>
            <w:tcW w:type="dxa" w:w="3249"/>
            <w:vAlign w:val="center"/>
          </w:tcPr>
          <w:p>
            <w:r/>
            <w:r>
              <w:rPr>
                <w:rFonts w:ascii="Figtree" w:hAnsi="Figtree"/>
                <w:b w:val="0"/>
                <w:i w:val="0"/>
                <w:sz w:val="22"/>
              </w:rPr>
              <w:t>LDAP / Active Directory</w:t>
            </w:r>
          </w:p>
        </w:tc>
        <w:tc>
          <w:tcPr>
            <w:tcW w:type="dxa" w:w="3249"/>
            <w:vAlign w:val="center"/>
          </w:tcPr>
          <w:p>
            <w:r/>
            <w:r>
              <w:rPr>
                <w:rFonts w:ascii="Figtree" w:hAnsi="Figtree"/>
                <w:b w:val="0"/>
                <w:i w:val="0"/>
                <w:sz w:val="22"/>
              </w:rPr>
              <w:t>Corporate directory (Emirates NBD)</w:t>
            </w:r>
          </w:p>
        </w:tc>
        <w:tc>
          <w:tcPr>
            <w:tcW w:type="dxa" w:w="3249"/>
            <w:vAlign w:val="center"/>
          </w:tcPr>
          <w:p>
            <w:r/>
            <w:r>
              <w:rPr>
                <w:rFonts w:ascii="Figtree" w:hAnsi="Figtree"/>
                <w:b w:val="0"/>
                <w:i w:val="0"/>
                <w:sz w:val="22"/>
              </w:rPr>
              <w:t>Available via plugin</w:t>
            </w:r>
          </w:p>
        </w:tc>
      </w:tr>
      <w:tr>
        <w:trPr>
          <w:trHeight w:val="454" w:hRule="atLeast"/>
        </w:trPr>
        <w:tc>
          <w:tcPr>
            <w:tcW w:type="dxa" w:w="3249"/>
            <w:vAlign w:val="center"/>
          </w:tcPr>
          <w:p>
            <w:r/>
            <w:r>
              <w:rPr>
                <w:rFonts w:ascii="Figtree" w:hAnsi="Figtree"/>
                <w:b w:val="0"/>
                <w:i w:val="0"/>
                <w:sz w:val="22"/>
              </w:rPr>
              <w:t>OAuth 2.0 / OIDC</w:t>
            </w:r>
          </w:p>
        </w:tc>
        <w:tc>
          <w:tcPr>
            <w:tcW w:type="dxa" w:w="3249"/>
            <w:vAlign w:val="center"/>
          </w:tcPr>
          <w:p>
            <w:r/>
            <w:r>
              <w:rPr>
                <w:rFonts w:ascii="Figtree" w:hAnsi="Figtree"/>
                <w:b w:val="0"/>
                <w:i w:val="0"/>
                <w:sz w:val="22"/>
              </w:rPr>
              <w:t>Okta, Auth0, Azure AD</w:t>
            </w:r>
          </w:p>
        </w:tc>
        <w:tc>
          <w:tcPr>
            <w:tcW w:type="dxa" w:w="3249"/>
            <w:vAlign w:val="center"/>
          </w:tcPr>
          <w:p>
            <w:r/>
            <w:r>
              <w:rPr>
                <w:rFonts w:ascii="Figtree" w:hAnsi="Figtree"/>
                <w:b w:val="0"/>
                <w:i w:val="0"/>
                <w:sz w:val="22"/>
              </w:rPr>
              <w:t>Available via plugin</w:t>
            </w:r>
          </w:p>
        </w:tc>
      </w:tr>
      <w:tr>
        <w:trPr>
          <w:trHeight w:val="454" w:hRule="atLeast"/>
        </w:trPr>
        <w:tc>
          <w:tcPr>
            <w:tcW w:type="dxa" w:w="3249"/>
            <w:vAlign w:val="center"/>
          </w:tcPr>
          <w:p>
            <w:r/>
            <w:r>
              <w:rPr>
                <w:rFonts w:ascii="Figtree" w:hAnsi="Figtree"/>
                <w:b w:val="0"/>
                <w:i w:val="0"/>
                <w:sz w:val="22"/>
              </w:rPr>
              <w:t>SAML 2.0</w:t>
            </w:r>
          </w:p>
        </w:tc>
        <w:tc>
          <w:tcPr>
            <w:tcW w:type="dxa" w:w="3249"/>
            <w:vAlign w:val="center"/>
          </w:tcPr>
          <w:p>
            <w:r/>
            <w:r>
              <w:rPr>
                <w:rFonts w:ascii="Figtree" w:hAnsi="Figtree"/>
                <w:b w:val="0"/>
                <w:i w:val="0"/>
                <w:sz w:val="22"/>
              </w:rPr>
              <w:t>Legacy enterprise SSO</w:t>
            </w:r>
          </w:p>
        </w:tc>
        <w:tc>
          <w:tcPr>
            <w:tcW w:type="dxa" w:w="3249"/>
            <w:vAlign w:val="center"/>
          </w:tcPr>
          <w:p>
            <w:r/>
            <w:r>
              <w:rPr>
                <w:rFonts w:ascii="Figtree" w:hAnsi="Figtree"/>
                <w:b w:val="0"/>
                <w:i w:val="0"/>
                <w:sz w:val="22"/>
              </w:rPr>
              <w:t>Available via plugin</w:t>
            </w:r>
          </w:p>
        </w:tc>
      </w:tr>
    </w:tbl>
    <w:p>
      <w:r>
        <w:rPr>
          <w:rFonts w:ascii="Figtree" w:hAnsi="Figtree"/>
          <w:b w:val="0"/>
          <w:i w:val="0"/>
          <w:sz w:val="22"/>
        </w:rPr>
        <w:t>Session management uses HTTP-only cookies with Secure flag, SameSite attribute, 7-day expiry with 24-hour refresh, and cookie caching (10-minute max age). Every authentication event is logged with timestamp, method, and result.</w:t>
      </w:r>
    </w:p>
    <w:p>
      <w:pPr>
        <w:pStyle w:val="H3"/>
        <w:numPr>
          <w:ilvl w:val="2"/>
          <w:numId w:val="1"/>
        </w:numPr>
      </w:pPr>
      <w:r>
        <w:t>API Key Security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Implementation</w:t>
            </w:r>
          </w:p>
        </w:tc>
      </w:tr>
      <w:tr>
        <w:trPr>
          <w:trHeight w:val="454" w:hRule="atLeast"/>
        </w:trPr>
        <w:tc>
          <w:tcPr>
            <w:tcW w:type="dxa" w:w="4873"/>
            <w:vAlign w:val="center"/>
          </w:tcPr>
          <w:p>
            <w:r/>
            <w:r>
              <w:rPr>
                <w:rFonts w:ascii="Figtree" w:hAnsi="Figtree"/>
                <w:b w:val="0"/>
                <w:i w:val="0"/>
                <w:sz w:val="22"/>
              </w:rPr>
              <w:t>Format</w:t>
            </w:r>
          </w:p>
        </w:tc>
        <w:tc>
          <w:tcPr>
            <w:tcW w:type="dxa" w:w="4873"/>
            <w:vAlign w:val="center"/>
          </w:tcPr>
          <w:p>
            <w:r/>
            <w:r>
              <w:rPr>
                <w:rFonts w:ascii="Figtree" w:hAnsi="Figtree"/>
                <w:b w:val="0"/>
                <w:i w:val="0"/>
                <w:sz w:val="22"/>
              </w:rPr>
              <w:t>"sm</w:t>
            </w:r>
            <w:r>
              <w:rPr>
                <w:rFonts w:ascii="Figtree" w:hAnsi="Figtree"/>
                <w:b w:val="0"/>
                <w:i/>
                <w:sz w:val="22"/>
              </w:rPr>
              <w:t>atk</w:t>
            </w:r>
            <w:r>
              <w:rPr>
                <w:rFonts w:ascii="Figtree" w:hAnsi="Figtree"/>
                <w:b w:val="0"/>
                <w:i w:val="0"/>
                <w:sz w:val="22"/>
              </w:rPr>
              <w:t>" prefix + 16 random characters</w:t>
            </w:r>
          </w:p>
        </w:tc>
      </w:tr>
      <w:tr>
        <w:trPr>
          <w:trHeight w:val="454" w:hRule="atLeast"/>
        </w:trPr>
        <w:tc>
          <w:tcPr>
            <w:tcW w:type="dxa" w:w="4873"/>
            <w:vAlign w:val="center"/>
          </w:tcPr>
          <w:p>
            <w:r/>
            <w:r>
              <w:rPr>
                <w:rFonts w:ascii="Figtree" w:hAnsi="Figtree"/>
                <w:b w:val="0"/>
                <w:i w:val="0"/>
                <w:sz w:val="22"/>
              </w:rPr>
              <w:t>Storage</w:t>
            </w:r>
          </w:p>
        </w:tc>
        <w:tc>
          <w:tcPr>
            <w:tcW w:type="dxa" w:w="4873"/>
            <w:vAlign w:val="center"/>
          </w:tcPr>
          <w:p>
            <w:r/>
            <w:r>
              <w:rPr>
                <w:rFonts w:ascii="Figtree" w:hAnsi="Figtree"/>
                <w:b w:val="0"/>
                <w:i w:val="0"/>
                <w:sz w:val="22"/>
              </w:rPr>
              <w:t>Hashed in database; cleartext shown once</w:t>
            </w:r>
          </w:p>
        </w:tc>
      </w:tr>
      <w:tr>
        <w:trPr>
          <w:trHeight w:val="454" w:hRule="atLeast"/>
        </w:trPr>
        <w:tc>
          <w:tcPr>
            <w:tcW w:type="dxa" w:w="4873"/>
            <w:vAlign w:val="center"/>
          </w:tcPr>
          <w:p>
            <w:r/>
            <w:r>
              <w:rPr>
                <w:rFonts w:ascii="Figtree" w:hAnsi="Figtree"/>
                <w:b w:val="0"/>
                <w:i w:val="0"/>
                <w:sz w:val="22"/>
              </w:rPr>
              <w:t>Scoping</w:t>
            </w:r>
          </w:p>
        </w:tc>
        <w:tc>
          <w:tcPr>
            <w:tcW w:type="dxa" w:w="4873"/>
            <w:vAlign w:val="center"/>
          </w:tcPr>
          <w:p>
            <w:r/>
            <w:r>
              <w:rPr>
                <w:rFonts w:ascii="Figtree" w:hAnsi="Figtree"/>
                <w:b w:val="0"/>
                <w:i w:val="0"/>
                <w:sz w:val="22"/>
              </w:rPr>
              <w:t>Per-key permissions, namespace-level</w:t>
            </w:r>
          </w:p>
        </w:tc>
      </w:tr>
      <w:tr>
        <w:trPr>
          <w:trHeight w:val="454" w:hRule="atLeast"/>
        </w:trPr>
        <w:tc>
          <w:tcPr>
            <w:tcW w:type="dxa" w:w="4873"/>
            <w:vAlign w:val="center"/>
          </w:tcPr>
          <w:p>
            <w:r/>
            <w:r>
              <w:rPr>
                <w:rFonts w:ascii="Figtree" w:hAnsi="Figtree"/>
                <w:b w:val="0"/>
                <w:i w:val="0"/>
                <w:sz w:val="22"/>
              </w:rPr>
              <w:t>Rate limiting</w:t>
            </w:r>
          </w:p>
        </w:tc>
        <w:tc>
          <w:tcPr>
            <w:tcW w:type="dxa" w:w="4873"/>
            <w:vAlign w:val="center"/>
          </w:tcPr>
          <w:p>
            <w:r/>
            <w:r>
              <w:rPr>
                <w:rFonts w:ascii="Figtree" w:hAnsi="Figtree"/>
                <w:b w:val="0"/>
                <w:i w:val="0"/>
                <w:sz w:val="22"/>
              </w:rPr>
              <w:t>10,000 requests per 60-second window</w:t>
            </w:r>
          </w:p>
        </w:tc>
      </w:tr>
      <w:tr>
        <w:trPr>
          <w:trHeight w:val="454" w:hRule="atLeast"/>
        </w:trPr>
        <w:tc>
          <w:tcPr>
            <w:tcW w:type="dxa" w:w="4873"/>
            <w:vAlign w:val="center"/>
          </w:tcPr>
          <w:p>
            <w:r/>
            <w:r>
              <w:rPr>
                <w:rFonts w:ascii="Figtree" w:hAnsi="Figtree"/>
                <w:b w:val="0"/>
                <w:i w:val="0"/>
                <w:sz w:val="22"/>
              </w:rPr>
              <w:t>Lifecycle</w:t>
            </w:r>
          </w:p>
        </w:tc>
        <w:tc>
          <w:tcPr>
            <w:tcW w:type="dxa" w:w="4873"/>
            <w:vAlign w:val="center"/>
          </w:tcPr>
          <w:p>
            <w:r/>
            <w:r>
              <w:rPr>
                <w:rFonts w:ascii="Figtree" w:hAnsi="Figtree"/>
                <w:b w:val="0"/>
                <w:i w:val="0"/>
                <w:sz w:val="22"/>
              </w:rPr>
              <w:t>Create, rotate, revoke (immediate)</w:t>
            </w:r>
          </w:p>
        </w:tc>
      </w:tr>
    </w:tbl>
    <w:p>
      <w:pPr>
        <w:pStyle w:val="H3"/>
        <w:numPr>
          <w:ilvl w:val="2"/>
          <w:numId w:val="1"/>
        </w:numPr>
      </w:pPr>
      <w:r>
        <w:t>Key Management</w:t>
      </w:r>
    </w:p>
    <w:p>
      <w:r>
        <w:rPr>
          <w:rFonts w:ascii="Figtree" w:hAnsi="Figtree"/>
          <w:b w:val="0"/>
          <w:i w:val="0"/>
          <w:sz w:val="22"/>
        </w:rPr>
        <w:t>Key Guardian provides tiered key management: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Tier</w:t>
            </w:r>
          </w:p>
        </w:tc>
        <w:tc>
          <w:tcPr>
            <w:tcW w:type="dxa" w:w="3249"/>
            <w:vAlign w:val="center"/>
            <w:shd w:fill="000099" w:val="clear"/>
          </w:tcPr>
          <w:p>
            <w:r>
              <w:rPr>
                <w:b/>
                <w:color w:val="FFFFFF"/>
              </w:rPr>
            </w:r>
            <w:r>
              <w:rPr>
                <w:rFonts w:ascii="Figtree" w:hAnsi="Figtree"/>
                <w:b/>
                <w:i w:val="0"/>
                <w:color w:val="FFFFFF"/>
                <w:sz w:val="22"/>
              </w:rPr>
              <w:t>Security Level</w:t>
            </w:r>
          </w:p>
        </w:tc>
        <w:tc>
          <w:tcPr>
            <w:tcW w:type="dxa" w:w="3249"/>
            <w:vAlign w:val="center"/>
            <w:shd w:fill="000099" w:val="clear"/>
          </w:tcPr>
          <w:p>
            <w:r>
              <w:rPr>
                <w:b/>
                <w:color w:val="FFFFFF"/>
              </w:rPr>
            </w:r>
            <w:r>
              <w:rPr>
                <w:rFonts w:ascii="Figtree" w:hAnsi="Figtree"/>
                <w:b/>
                <w:i w:val="0"/>
                <w:color w:val="FFFFFF"/>
                <w:sz w:val="22"/>
              </w:rPr>
              <w:t>Use Case</w:t>
            </w:r>
          </w:p>
        </w:tc>
      </w:tr>
      <w:tr>
        <w:trPr>
          <w:trHeight w:val="454" w:hRule="atLeast"/>
        </w:trPr>
        <w:tc>
          <w:tcPr>
            <w:tcW w:type="dxa" w:w="3249"/>
            <w:vAlign w:val="center"/>
          </w:tcPr>
          <w:p>
            <w:r/>
            <w:r>
              <w:rPr>
                <w:rFonts w:ascii="Figtree" w:hAnsi="Figtree"/>
                <w:b w:val="0"/>
                <w:i w:val="0"/>
                <w:sz w:val="22"/>
              </w:rPr>
              <w:t>Platform signer</w:t>
            </w:r>
          </w:p>
        </w:tc>
        <w:tc>
          <w:tcPr>
            <w:tcW w:type="dxa" w:w="3249"/>
            <w:vAlign w:val="center"/>
          </w:tcPr>
          <w:p>
            <w:r/>
            <w:r>
              <w:rPr>
                <w:rFonts w:ascii="Figtree" w:hAnsi="Figtree"/>
                <w:b w:val="0"/>
                <w:i w:val="0"/>
                <w:sz w:val="22"/>
              </w:rPr>
              <w:t>SettleMint-managed</w:t>
            </w:r>
          </w:p>
        </w:tc>
        <w:tc>
          <w:tcPr>
            <w:tcW w:type="dxa" w:w="3249"/>
            <w:vAlign w:val="center"/>
          </w:tcPr>
          <w:p>
            <w:r/>
            <w:r>
              <w:rPr>
                <w:rFonts w:ascii="Figtree" w:hAnsi="Figtree"/>
                <w:b w:val="0"/>
                <w:i w:val="0"/>
                <w:sz w:val="22"/>
              </w:rPr>
              <w:t>Development, testing</w:t>
            </w:r>
          </w:p>
        </w:tc>
      </w:tr>
      <w:tr>
        <w:trPr>
          <w:trHeight w:val="454" w:hRule="atLeast"/>
        </w:trPr>
        <w:tc>
          <w:tcPr>
            <w:tcW w:type="dxa" w:w="3249"/>
            <w:vAlign w:val="center"/>
          </w:tcPr>
          <w:p>
            <w:r/>
            <w:r>
              <w:rPr>
                <w:rFonts w:ascii="Figtree" w:hAnsi="Figtree"/>
                <w:b w:val="0"/>
                <w:i w:val="0"/>
                <w:sz w:val="22"/>
              </w:rPr>
              <w:t>DFNS</w:t>
            </w:r>
          </w:p>
        </w:tc>
        <w:tc>
          <w:tcPr>
            <w:tcW w:type="dxa" w:w="3249"/>
            <w:vAlign w:val="center"/>
          </w:tcPr>
          <w:p>
            <w:r/>
            <w:r>
              <w:rPr>
                <w:rFonts w:ascii="Figtree" w:hAnsi="Figtree"/>
                <w:b w:val="0"/>
                <w:i w:val="0"/>
                <w:sz w:val="22"/>
              </w:rPr>
              <w:t>Institutional custody</w:t>
            </w:r>
          </w:p>
        </w:tc>
        <w:tc>
          <w:tcPr>
            <w:tcW w:type="dxa" w:w="3249"/>
            <w:vAlign w:val="center"/>
          </w:tcPr>
          <w:p>
            <w:r/>
            <w:r>
              <w:rPr>
                <w:rFonts w:ascii="Figtree" w:hAnsi="Figtree"/>
                <w:b w:val="0"/>
                <w:i w:val="0"/>
                <w:sz w:val="22"/>
              </w:rPr>
              <w:t>Production with MPC</w:t>
            </w:r>
          </w:p>
        </w:tc>
      </w:tr>
      <w:tr>
        <w:trPr>
          <w:trHeight w:val="454" w:hRule="atLeast"/>
        </w:trPr>
        <w:tc>
          <w:tcPr>
            <w:tcW w:type="dxa" w:w="3249"/>
            <w:vAlign w:val="center"/>
          </w:tcPr>
          <w:p>
            <w:r/>
            <w:r>
              <w:rPr>
                <w:rFonts w:ascii="Figtree" w:hAnsi="Figtree"/>
                <w:b w:val="0"/>
                <w:i w:val="0"/>
                <w:sz w:val="22"/>
              </w:rPr>
              <w:t>Fireblocks</w:t>
            </w:r>
          </w:p>
        </w:tc>
        <w:tc>
          <w:tcPr>
            <w:tcW w:type="dxa" w:w="3249"/>
            <w:vAlign w:val="center"/>
          </w:tcPr>
          <w:p>
            <w:r/>
            <w:r>
              <w:rPr>
                <w:rFonts w:ascii="Figtree" w:hAnsi="Figtree"/>
                <w:b w:val="0"/>
                <w:i w:val="0"/>
                <w:sz w:val="22"/>
              </w:rPr>
              <w:t>Institutional custody</w:t>
            </w:r>
          </w:p>
        </w:tc>
        <w:tc>
          <w:tcPr>
            <w:tcW w:type="dxa" w:w="3249"/>
            <w:vAlign w:val="center"/>
          </w:tcPr>
          <w:p>
            <w:r/>
            <w:r>
              <w:rPr>
                <w:rFonts w:ascii="Figtree" w:hAnsi="Figtree"/>
                <w:b w:val="0"/>
                <w:i w:val="0"/>
                <w:sz w:val="22"/>
              </w:rPr>
              <w:t>Production with MPC/HSM</w:t>
            </w:r>
          </w:p>
        </w:tc>
      </w:tr>
      <w:tr>
        <w:trPr>
          <w:trHeight w:val="454" w:hRule="atLeast"/>
        </w:trPr>
        <w:tc>
          <w:tcPr>
            <w:tcW w:type="dxa" w:w="3249"/>
            <w:vAlign w:val="center"/>
          </w:tcPr>
          <w:p>
            <w:r/>
            <w:r>
              <w:rPr>
                <w:rFonts w:ascii="Figtree" w:hAnsi="Figtree"/>
                <w:b w:val="0"/>
                <w:i w:val="0"/>
                <w:sz w:val="22"/>
              </w:rPr>
              <w:t>Local signer</w:t>
            </w:r>
          </w:p>
        </w:tc>
        <w:tc>
          <w:tcPr>
            <w:tcW w:type="dxa" w:w="3249"/>
            <w:vAlign w:val="center"/>
          </w:tcPr>
          <w:p>
            <w:r/>
            <w:r>
              <w:rPr>
                <w:rFonts w:ascii="Figtree" w:hAnsi="Figtree"/>
                <w:b w:val="0"/>
                <w:i w:val="0"/>
                <w:sz w:val="22"/>
              </w:rPr>
              <w:t>Self-managed</w:t>
            </w:r>
          </w:p>
        </w:tc>
        <w:tc>
          <w:tcPr>
            <w:tcW w:type="dxa" w:w="3249"/>
            <w:vAlign w:val="center"/>
          </w:tcPr>
          <w:p>
            <w:r/>
            <w:r>
              <w:rPr>
                <w:rFonts w:ascii="Figtree" w:hAnsi="Figtree"/>
                <w:b w:val="0"/>
                <w:i w:val="0"/>
                <w:sz w:val="22"/>
              </w:rPr>
              <w:t>Air-gapped environments</w:t>
            </w:r>
          </w:p>
        </w:tc>
      </w:tr>
    </w:tbl>
    <w:p>
      <w:r>
        <w:rPr>
          <w:rFonts w:ascii="Figtree" w:hAnsi="Figtree"/>
          <w:b w:val="0"/>
          <w:i w:val="0"/>
          <w:sz w:val="22"/>
        </w:rPr>
        <w:t>Maker-checker workflows for key operations, HSM/secret manager integration, and separation of signing authority from operational authority.</w:t>
      </w:r>
    </w:p>
    <w:p>
      <w:pPr>
        <w:pStyle w:val="H3"/>
        <w:numPr>
          <w:ilvl w:val="2"/>
          <w:numId w:val="1"/>
        </w:numPr>
      </w:pPr>
      <w:r>
        <w:t>Certifications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Certification</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Scope</w:t>
            </w:r>
          </w:p>
        </w:tc>
      </w:tr>
      <w:tr>
        <w:trPr>
          <w:trHeight w:val="454" w:hRule="atLeast"/>
        </w:trPr>
        <w:tc>
          <w:tcPr>
            <w:tcW w:type="dxa" w:w="3249"/>
            <w:vAlign w:val="center"/>
          </w:tcPr>
          <w:p>
            <w:r/>
            <w:r>
              <w:rPr>
                <w:rFonts w:ascii="Figtree" w:hAnsi="Figtree"/>
                <w:b w:val="0"/>
                <w:i w:val="0"/>
                <w:sz w:val="22"/>
              </w:rPr>
              <w:t>ISO 27001</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Information security management</w:t>
            </w:r>
          </w:p>
        </w:tc>
      </w:tr>
      <w:tr>
        <w:trPr>
          <w:trHeight w:val="454" w:hRule="atLeast"/>
        </w:trPr>
        <w:tc>
          <w:tcPr>
            <w:tcW w:type="dxa" w:w="3249"/>
            <w:vAlign w:val="center"/>
          </w:tcPr>
          <w:p>
            <w:r/>
            <w:r>
              <w:rPr>
                <w:rFonts w:ascii="Figtree" w:hAnsi="Figtree"/>
                <w:b w:val="0"/>
                <w:i w:val="0"/>
                <w:sz w:val="22"/>
              </w:rPr>
              <w:t>SOC 2 Type II</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Security, availability, processing integrity</w:t>
            </w:r>
          </w:p>
        </w:tc>
      </w:tr>
    </w:tbl>
    <w:p>
      <w:pPr>
        <w:pStyle w:val="H3"/>
        <w:numPr>
          <w:ilvl w:val="2"/>
          <w:numId w:val="1"/>
        </w:numPr>
      </w:pPr>
      <w:r>
        <w:t>Data Protection</w:t>
      </w:r>
    </w:p>
    <w:p>
      <w:pPr>
        <w:pStyle w:val="ListParagraph"/>
        <w:numPr>
          <w:ilvl w:val="0"/>
          <w:numId w:val="4"/>
        </w:numPr>
      </w:pPr>
      <w:r>
        <w:rPr>
          <w:rFonts w:ascii="Figtree" w:hAnsi="Figtree"/>
          <w:b/>
          <w:i w:val="0"/>
          <w:sz w:val="22"/>
        </w:rPr>
        <w:t>At rest:</w:t>
      </w:r>
      <w:r>
        <w:rPr>
          <w:rFonts w:ascii="Figtree" w:hAnsi="Figtree"/>
          <w:b w:val="0"/>
          <w:i w:val="0"/>
          <w:sz w:val="22"/>
        </w:rPr>
        <w:t xml:space="preserve"> AES-256 encryption for all persistent data stores</w:t>
      </w:r>
    </w:p>
    <w:p>
      <w:pPr>
        <w:pStyle w:val="ListParagraph"/>
        <w:numPr>
          <w:ilvl w:val="0"/>
          <w:numId w:val="4"/>
        </w:numPr>
      </w:pPr>
      <w:r>
        <w:rPr>
          <w:rFonts w:ascii="Figtree" w:hAnsi="Figtree"/>
          <w:b/>
          <w:i w:val="0"/>
          <w:sz w:val="22"/>
        </w:rPr>
        <w:t>In transit:</w:t>
      </w:r>
      <w:r>
        <w:rPr>
          <w:rFonts w:ascii="Figtree" w:hAnsi="Figtree"/>
          <w:b w:val="0"/>
          <w:i w:val="0"/>
          <w:sz w:val="22"/>
        </w:rPr>
        <w:t xml:space="preserve"> TLS 1.3 for all network communication</w:t>
      </w:r>
    </w:p>
    <w:p>
      <w:pPr>
        <w:pStyle w:val="ListParagraph"/>
        <w:numPr>
          <w:ilvl w:val="0"/>
          <w:numId w:val="4"/>
        </w:numPr>
      </w:pPr>
      <w:r>
        <w:rPr>
          <w:rFonts w:ascii="Figtree" w:hAnsi="Figtree"/>
          <w:b/>
          <w:i w:val="0"/>
          <w:sz w:val="22"/>
        </w:rPr>
        <w:t>Secrets:</w:t>
      </w:r>
      <w:r>
        <w:rPr>
          <w:rFonts w:ascii="Figtree" w:hAnsi="Figtree"/>
          <w:b w:val="0"/>
          <w:i w:val="0"/>
          <w:sz w:val="22"/>
        </w:rPr>
        <w:t xml:space="preserve"> Dedicated secret manager integration (AWS Secrets Manager, Azure Key Vault, HashiCorp Vault)</w:t>
      </w:r>
    </w:p>
    <w:p>
      <w:pPr>
        <w:pStyle w:val="ListParagraph"/>
        <w:numPr>
          <w:ilvl w:val="0"/>
          <w:numId w:val="4"/>
        </w:numPr>
      </w:pPr>
      <w:r>
        <w:rPr>
          <w:rFonts w:ascii="Figtree" w:hAnsi="Figtree"/>
          <w:b/>
          <w:i w:val="0"/>
          <w:sz w:val="22"/>
        </w:rPr>
        <w:t>Data residency:</w:t>
      </w:r>
      <w:r>
        <w:rPr>
          <w:rFonts w:ascii="Figtree" w:hAnsi="Figtree"/>
          <w:b w:val="0"/>
          <w:i w:val="0"/>
          <w:sz w:val="22"/>
        </w:rPr>
        <w:t xml:space="preserve"> UAE-resident infrastructure ensures data remains within regulatory jurisdiction</w:t>
      </w:r>
    </w:p>
    <w:p>
      <w:pPr>
        <w:pStyle w:val="H3"/>
        <w:numPr>
          <w:ilvl w:val="2"/>
          <w:numId w:val="1"/>
        </w:numPr>
      </w:pPr>
      <w:r>
        <w:t>Availability and DR</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Target</w:t>
            </w:r>
          </w:p>
        </w:tc>
      </w:tr>
      <w:tr>
        <w:trPr>
          <w:trHeight w:val="454" w:hRule="atLeast"/>
        </w:trPr>
        <w:tc>
          <w:tcPr>
            <w:tcW w:type="dxa" w:w="4873"/>
            <w:vAlign w:val="center"/>
          </w:tcPr>
          <w:p>
            <w:r/>
            <w:r>
              <w:rPr>
                <w:rFonts w:ascii="Figtree" w:hAnsi="Figtree"/>
                <w:b w:val="0"/>
                <w:i w:val="0"/>
                <w:sz w:val="22"/>
              </w:rPr>
              <w:t>Uptime SLA (Premium)</w:t>
            </w:r>
          </w:p>
        </w:tc>
        <w:tc>
          <w:tcPr>
            <w:tcW w:type="dxa" w:w="4873"/>
            <w:vAlign w:val="center"/>
          </w:tcPr>
          <w:p>
            <w:r/>
            <w:r>
              <w:rPr>
                <w:rFonts w:ascii="Figtree" w:hAnsi="Figtree"/>
                <w:b w:val="0"/>
                <w:i w:val="0"/>
                <w:sz w:val="22"/>
              </w:rPr>
              <w:t>99.95% monthly</w:t>
            </w:r>
          </w:p>
        </w:tc>
      </w:tr>
      <w:tr>
        <w:trPr>
          <w:trHeight w:val="454" w:hRule="atLeast"/>
        </w:trPr>
        <w:tc>
          <w:tcPr>
            <w:tcW w:type="dxa" w:w="4873"/>
            <w:vAlign w:val="center"/>
          </w:tcPr>
          <w:p>
            <w:r/>
            <w:r>
              <w:rPr>
                <w:rFonts w:ascii="Figtree" w:hAnsi="Figtree"/>
                <w:b w:val="0"/>
                <w:i w:val="0"/>
                <w:sz w:val="22"/>
              </w:rPr>
              <w:t>RTO</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RPO</w:t>
            </w:r>
          </w:p>
        </w:tc>
        <w:tc>
          <w:tcPr>
            <w:tcW w:type="dxa" w:w="4873"/>
            <w:vAlign w:val="center"/>
          </w:tcPr>
          <w:p>
            <w:r/>
            <w:r>
              <w:rPr>
                <w:rFonts w:ascii="Figtree" w:hAnsi="Figtree"/>
                <w:b w:val="0"/>
                <w:i w:val="0"/>
                <w:sz w:val="22"/>
              </w:rPr>
              <w:t>1 hour</w:t>
            </w:r>
          </w:p>
        </w:tc>
      </w:tr>
      <w:tr>
        <w:trPr>
          <w:trHeight w:val="454" w:hRule="atLeast"/>
        </w:trPr>
        <w:tc>
          <w:tcPr>
            <w:tcW w:type="dxa" w:w="4873"/>
            <w:vAlign w:val="center"/>
          </w:tcPr>
          <w:p>
            <w:r/>
            <w:r>
              <w:rPr>
                <w:rFonts w:ascii="Figtree" w:hAnsi="Figtree"/>
                <w:b w:val="0"/>
                <w:i w:val="0"/>
                <w:sz w:val="22"/>
              </w:rPr>
              <w:t>Backup frequency</w:t>
            </w:r>
          </w:p>
        </w:tc>
        <w:tc>
          <w:tcPr>
            <w:tcW w:type="dxa" w:w="4873"/>
            <w:vAlign w:val="center"/>
          </w:tcPr>
          <w:p>
            <w:r/>
            <w:r>
              <w:rPr>
                <w:rFonts w:ascii="Figtree" w:hAnsi="Figtree"/>
                <w:b w:val="0"/>
                <w:i w:val="0"/>
                <w:sz w:val="22"/>
              </w:rPr>
              <w:t>Continuous for blockchain state; hourly for application state</w:t>
            </w:r>
          </w:p>
        </w:tc>
      </w:tr>
      <w:tr>
        <w:trPr>
          <w:trHeight w:val="454" w:hRule="atLeast"/>
        </w:trPr>
        <w:tc>
          <w:tcPr>
            <w:tcW w:type="dxa" w:w="4873"/>
            <w:vAlign w:val="center"/>
          </w:tcPr>
          <w:p>
            <w:r/>
            <w:r>
              <w:rPr>
                <w:rFonts w:ascii="Figtree" w:hAnsi="Figtree"/>
                <w:b w:val="0"/>
                <w:i w:val="0"/>
                <w:sz w:val="22"/>
              </w:rPr>
              <w:t>Failover</w:t>
            </w:r>
          </w:p>
        </w:tc>
        <w:tc>
          <w:tcPr>
            <w:tcW w:type="dxa" w:w="4873"/>
            <w:vAlign w:val="center"/>
          </w:tcPr>
          <w:p>
            <w:r/>
            <w:r>
              <w:rPr>
                <w:rFonts w:ascii="Figtree" w:hAnsi="Figtree"/>
                <w:b w:val="0"/>
                <w:i w:val="0"/>
                <w:sz w:val="22"/>
              </w:rPr>
              <w:t>Active-passive with automated failover for infrastructure components</w:t>
            </w:r>
          </w:p>
        </w:tc>
      </w:tr>
      <w:tr>
        <w:trPr>
          <w:trHeight w:val="454" w:hRule="atLeast"/>
        </w:trPr>
        <w:tc>
          <w:tcPr>
            <w:tcW w:type="dxa" w:w="4873"/>
            <w:vAlign w:val="center"/>
          </w:tcPr>
          <w:p>
            <w:r/>
            <w:r>
              <w:rPr>
                <w:rFonts w:ascii="Figtree" w:hAnsi="Figtree"/>
                <w:b w:val="0"/>
                <w:i w:val="0"/>
                <w:sz w:val="22"/>
              </w:rPr>
              <w:t>Zone distribution</w:t>
            </w:r>
          </w:p>
        </w:tc>
        <w:tc>
          <w:tcPr>
            <w:tcW w:type="dxa" w:w="4873"/>
            <w:vAlign w:val="center"/>
          </w:tcPr>
          <w:p>
            <w:r/>
            <w:r>
              <w:rPr>
                <w:rFonts w:ascii="Figtree" w:hAnsi="Figtree"/>
                <w:b w:val="0"/>
                <w:i w:val="0"/>
                <w:sz w:val="22"/>
              </w:rPr>
              <w:t>Multi-AZ deployment within UAE region</w:t>
            </w:r>
          </w:p>
        </w:tc>
      </w:tr>
    </w:tbl>
    <w:p>
      <w:pPr>
        <w:pStyle w:val="H3"/>
        <w:numPr>
          <w:ilvl w:val="2"/>
          <w:numId w:val="1"/>
        </w:numPr>
      </w:pPr>
      <w:r>
        <w:t>Security Responsibility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Control Area</w:t>
            </w:r>
          </w:p>
        </w:tc>
        <w:tc>
          <w:tcPr>
            <w:tcW w:type="dxa" w:w="2436"/>
            <w:vAlign w:val="center"/>
            <w:shd w:fill="000099" w:val="clear"/>
          </w:tcPr>
          <w:p>
            <w:r>
              <w:rPr>
                <w:b/>
                <w:color w:val="FFFFFF"/>
              </w:rPr>
            </w:r>
            <w:r>
              <w:rPr>
                <w:rFonts w:ascii="Figtree" w:hAnsi="Figtree"/>
                <w:b/>
                <w:i w:val="0"/>
                <w:color w:val="FFFFFF"/>
                <w:sz w:val="22"/>
              </w:rPr>
              <w:t>SettleMint</w:t>
            </w:r>
          </w:p>
        </w:tc>
        <w:tc>
          <w:tcPr>
            <w:tcW w:type="dxa" w:w="2436"/>
            <w:vAlign w:val="center"/>
            <w:shd w:fill="000099" w:val="clear"/>
          </w:tcPr>
          <w:p>
            <w:r>
              <w:rPr>
                <w:b/>
                <w:color w:val="FFFFFF"/>
              </w:rPr>
            </w:r>
            <w:r>
              <w:rPr>
                <w:rFonts w:ascii="Figtree" w:hAnsi="Figtree"/>
                <w:b/>
                <w:i w:val="0"/>
                <w:color w:val="FFFFFF"/>
                <w:sz w:val="22"/>
              </w:rPr>
              <w:t>Emirates NBD</w:t>
            </w:r>
          </w:p>
        </w:tc>
        <w:tc>
          <w:tcPr>
            <w:tcW w:type="dxa" w:w="2436"/>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2436"/>
            <w:vAlign w:val="center"/>
          </w:tcPr>
          <w:p>
            <w:r/>
            <w:r>
              <w:rPr>
                <w:rFonts w:ascii="Figtree" w:hAnsi="Figtree"/>
                <w:b w:val="0"/>
                <w:i w:val="0"/>
                <w:sz w:val="22"/>
              </w:rPr>
              <w:t>Platform security patches</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Monthly release cycle (Premium)</w:t>
            </w:r>
          </w:p>
        </w:tc>
      </w:tr>
      <w:tr>
        <w:trPr>
          <w:trHeight w:val="454" w:hRule="atLeast"/>
        </w:trPr>
        <w:tc>
          <w:tcPr>
            <w:tcW w:type="dxa" w:w="2436"/>
            <w:vAlign w:val="center"/>
          </w:tcPr>
          <w:p>
            <w:r/>
            <w:r>
              <w:rPr>
                <w:rFonts w:ascii="Figtree" w:hAnsi="Figtree"/>
                <w:b w:val="0"/>
                <w:i w:val="0"/>
                <w:sz w:val="22"/>
              </w:rPr>
              <w:t>Infrastructure hardening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Managed deployment</w:t>
            </w:r>
          </w:p>
        </w:tc>
      </w:tr>
      <w:tr>
        <w:trPr>
          <w:trHeight w:val="454" w:hRule="atLeast"/>
        </w:trPr>
        <w:tc>
          <w:tcPr>
            <w:tcW w:type="dxa" w:w="2436"/>
            <w:vAlign w:val="center"/>
          </w:tcPr>
          <w:p>
            <w:r/>
            <w:r>
              <w:rPr>
                <w:rFonts w:ascii="Figtree" w:hAnsi="Figtree"/>
                <w:b w:val="0"/>
                <w:i w:val="0"/>
                <w:sz w:val="22"/>
              </w:rPr>
              <w:t>Network firewall rules</w:t>
            </w:r>
          </w:p>
        </w:tc>
        <w:tc>
          <w:tcPr>
            <w:tcW w:type="dxa" w:w="2436"/>
            <w:vAlign w:val="center"/>
          </w:tcPr>
          <w:p>
            <w:r/>
            <w:r>
              <w:rPr>
                <w:rFonts w:ascii="Figtree" w:hAnsi="Figtree"/>
                <w:b w:val="0"/>
                <w:i w:val="0"/>
                <w:sz w:val="22"/>
              </w:rPr>
              <w:t>Shared</w:t>
            </w:r>
          </w:p>
        </w:tc>
        <w:tc>
          <w:tcPr>
            <w:tcW w:type="dxa" w:w="2436"/>
            <w:vAlign w:val="center"/>
          </w:tcPr>
          <w:p>
            <w:r/>
            <w:r>
              <w:rPr>
                <w:rFonts w:ascii="Figtree" w:hAnsi="Figtree"/>
                <w:b w:val="0"/>
                <w:i w:val="0"/>
                <w:sz w:val="22"/>
              </w:rPr>
              <w:t>Shared</w:t>
            </w:r>
          </w:p>
        </w:tc>
        <w:tc>
          <w:tcPr>
            <w:tcW w:type="dxa" w:w="2436"/>
            <w:vAlign w:val="center"/>
          </w:tcPr>
          <w:p>
            <w:r/>
            <w:r>
              <w:rPr>
                <w:rFonts w:ascii="Figtree" w:hAnsi="Figtree"/>
                <w:b w:val="0"/>
                <w:i w:val="0"/>
                <w:sz w:val="22"/>
              </w:rPr>
              <w:t>SettleMint provides defaults; Emirates NBD customizes</w:t>
            </w:r>
          </w:p>
        </w:tc>
      </w:tr>
      <w:tr>
        <w:trPr>
          <w:trHeight w:val="454" w:hRule="atLeast"/>
        </w:trPr>
        <w:tc>
          <w:tcPr>
            <w:tcW w:type="dxa" w:w="2436"/>
            <w:vAlign w:val="center"/>
          </w:tcPr>
          <w:p>
            <w:r/>
            <w:r>
              <w:rPr>
                <w:rFonts w:ascii="Figtree" w:hAnsi="Figtree"/>
                <w:b w:val="0"/>
                <w:i w:val="0"/>
                <w:sz w:val="22"/>
              </w:rPr>
              <w:t>User access management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Emirates NBD controls RBAC assignments</w:t>
            </w:r>
          </w:p>
        </w:tc>
      </w:tr>
      <w:tr>
        <w:trPr>
          <w:trHeight w:val="454" w:hRule="atLeast"/>
        </w:trPr>
        <w:tc>
          <w:tcPr>
            <w:tcW w:type="dxa" w:w="2436"/>
            <w:vAlign w:val="center"/>
          </w:tcPr>
          <w:p>
            <w:r/>
            <w:r>
              <w:rPr>
                <w:rFonts w:ascii="Figtree" w:hAnsi="Figtree"/>
                <w:b w:val="0"/>
                <w:i w:val="0"/>
                <w:sz w:val="22"/>
              </w:rPr>
              <w:t>Compliance module config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Emirates NBD defines business rules</w:t>
            </w:r>
          </w:p>
        </w:tc>
      </w:tr>
      <w:tr>
        <w:trPr>
          <w:trHeight w:val="454" w:hRule="atLeast"/>
        </w:trPr>
        <w:tc>
          <w:tcPr>
            <w:tcW w:type="dxa" w:w="2436"/>
            <w:vAlign w:val="center"/>
          </w:tcPr>
          <w:p>
            <w:r/>
            <w:r>
              <w:rPr>
                <w:rFonts w:ascii="Figtree" w:hAnsi="Figtree"/>
                <w:b w:val="0"/>
                <w:i w:val="0"/>
                <w:sz w:val="22"/>
              </w:rPr>
              <w:t>Custody policy</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Emirates NBD configures custody provider rules</w:t>
            </w:r>
          </w:p>
        </w:tc>
      </w:tr>
      <w:tr>
        <w:trPr>
          <w:trHeight w:val="454" w:hRule="atLeast"/>
        </w:trPr>
        <w:tc>
          <w:tcPr>
            <w:tcW w:type="dxa" w:w="2436"/>
            <w:vAlign w:val="center"/>
          </w:tcPr>
          <w:p>
            <w:r/>
            <w:r>
              <w:rPr>
                <w:rFonts w:ascii="Figtree" w:hAnsi="Figtree"/>
                <w:b w:val="0"/>
                <w:i w:val="0"/>
                <w:sz w:val="22"/>
              </w:rPr>
              <w:t>Penetration testing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Annual third-party testing; results shared</w:t>
            </w:r>
          </w:p>
        </w:tc>
      </w:tr>
      <w:tr>
        <w:trPr>
          <w:trHeight w:val="454" w:hRule="atLeast"/>
        </w:trPr>
        <w:tc>
          <w:tcPr>
            <w:tcW w:type="dxa" w:w="2436"/>
            <w:vAlign w:val="center"/>
          </w:tcPr>
          <w:p>
            <w:r/>
            <w:r>
              <w:rPr>
                <w:rFonts w:ascii="Figtree" w:hAnsi="Figtree"/>
                <w:b w:val="0"/>
                <w:i w:val="0"/>
                <w:sz w:val="22"/>
              </w:rPr>
              <w:t>Incident response</w:t>
            </w:r>
          </w:p>
        </w:tc>
        <w:tc>
          <w:tcPr>
            <w:tcW w:type="dxa" w:w="2436"/>
            <w:vAlign w:val="center"/>
          </w:tcPr>
          <w:p>
            <w:r/>
            <w:r>
              <w:rPr>
                <w:rFonts w:ascii="Figtree" w:hAnsi="Figtree"/>
                <w:b w:val="0"/>
                <w:i w:val="0"/>
                <w:sz w:val="22"/>
              </w:rPr>
              <w:t>Shared</w:t>
            </w:r>
          </w:p>
        </w:tc>
        <w:tc>
          <w:tcPr>
            <w:tcW w:type="dxa" w:w="2436"/>
            <w:vAlign w:val="center"/>
          </w:tcPr>
          <w:p>
            <w:r/>
            <w:r>
              <w:rPr>
                <w:rFonts w:ascii="Figtree" w:hAnsi="Figtree"/>
                <w:b w:val="0"/>
                <w:i w:val="0"/>
                <w:sz w:val="22"/>
              </w:rPr>
              <w:t>Shared</w:t>
            </w:r>
          </w:p>
        </w:tc>
        <w:tc>
          <w:tcPr>
            <w:tcW w:type="dxa" w:w="2436"/>
            <w:vAlign w:val="center"/>
          </w:tcPr>
          <w:p>
            <w:r/>
            <w:r>
              <w:rPr>
                <w:rFonts w:ascii="Figtree" w:hAnsi="Figtree"/>
                <w:b w:val="0"/>
                <w:i w:val="0"/>
                <w:sz w:val="22"/>
              </w:rPr>
              <w:t>SettleMint handles platform; Emirates NBD handles business</w:t>
            </w:r>
          </w:p>
        </w:tc>
      </w:tr>
    </w:tbl>
    <w:p>
      <w:r>
        <w:br w:type="page"/>
      </w:r>
    </w:p>
    <w:p>
      <w:pPr>
        <w:pStyle w:val="H2"/>
        <w:numPr>
          <w:ilvl w:val="1"/>
          <w:numId w:val="1"/>
        </w:numPr>
      </w:pPr>
      <w:r>
        <w:t>Implementation Approach and Delivery Phases</w:t>
      </w:r>
    </w:p>
    <w:p>
      <w:pPr>
        <w:pStyle w:val="H3"/>
        <w:numPr>
          <w:ilvl w:val="2"/>
          <w:numId w:val="1"/>
        </w:numPr>
      </w:pPr>
      <w:r>
        <w:t>Delivery Overview</w:t>
      </w:r>
    </w:p>
    <w:p>
      <w:r>
        <w:rPr>
          <w:rFonts w:ascii="Figtree" w:hAnsi="Figtree"/>
          <w:b w:val="0"/>
          <w:i w:val="0"/>
          <w:sz w:val="22"/>
        </w:rPr>
        <w:t>SettleMint follows a structured, phase-gated implementation methodology refined through production deployments with regulated institutions. The standard implementation spans 19 weeks from kickoff to hypercare completion.</w:t>
      </w:r>
    </w:p>
    <w:p>
      <w:pPr>
        <w:jc w:val="center"/>
      </w:pPr>
      <w:r>
        <w:drawing>
          <wp:inline xmlns:a="http://schemas.openxmlformats.org/drawingml/2006/main" xmlns:pic="http://schemas.openxmlformats.org/drawingml/2006/picture">
            <wp:extent cx="5486400" cy="3219061"/>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219061"/>
                    </a:xfrm>
                    <a:prstGeom prst="rect"/>
                  </pic:spPr>
                </pic:pic>
              </a:graphicData>
            </a:graphic>
          </wp:inline>
        </w:drawing>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validated understanding of Emirates NBD's business objectives, technical landscape, regulatory environment, and operational requirements.</w:t>
      </w:r>
    </w:p>
    <w:p>
      <w:r>
        <w:rPr>
          <w:rFonts w:ascii="Figtree" w:hAnsi="Figtree"/>
          <w:b/>
          <w:i w:val="0"/>
          <w:sz w:val="22"/>
        </w:rPr>
        <w:t>Activities:</w:t>
      </w:r>
    </w:p>
    <w:p>
      <w:pPr>
        <w:pStyle w:val="ListParagraph"/>
        <w:numPr>
          <w:ilvl w:val="0"/>
          <w:numId w:val="4"/>
        </w:numPr>
      </w:pPr>
      <w:r>
        <w:rPr>
          <w:rFonts w:ascii="Figtree" w:hAnsi="Figtree"/>
          <w:b w:val="0"/>
          <w:i w:val="0"/>
          <w:sz w:val="22"/>
        </w:rPr>
        <w:t>Stakeholder interviews with business sponsors, technology leadership, compliance/risk officers, trade finance operations, treasury</w:t>
      </w:r>
    </w:p>
    <w:p>
      <w:pPr>
        <w:pStyle w:val="ListParagraph"/>
        <w:numPr>
          <w:ilvl w:val="0"/>
          <w:numId w:val="4"/>
        </w:numPr>
      </w:pPr>
      <w:r>
        <w:rPr>
          <w:rFonts w:ascii="Figtree" w:hAnsi="Figtree"/>
          <w:b w:val="0"/>
          <w:i w:val="0"/>
          <w:sz w:val="22"/>
        </w:rPr>
        <w:t>Current-state assessment of core banking, trade finance back-office, identity management, compliance tooling</w:t>
      </w:r>
    </w:p>
    <w:p>
      <w:pPr>
        <w:pStyle w:val="ListParagraph"/>
        <w:numPr>
          <w:ilvl w:val="0"/>
          <w:numId w:val="4"/>
        </w:numPr>
      </w:pPr>
      <w:r>
        <w:rPr>
          <w:rFonts w:ascii="Figtree" w:hAnsi="Figtree"/>
          <w:b w:val="0"/>
          <w:i w:val="0"/>
          <w:sz w:val="22"/>
        </w:rPr>
        <w:t>Regulatory mapping for CBUAE, DFSA, ADGM, SCA, AML/CFT frameworks</w:t>
      </w:r>
    </w:p>
    <w:p>
      <w:pPr>
        <w:pStyle w:val="ListParagraph"/>
        <w:numPr>
          <w:ilvl w:val="0"/>
          <w:numId w:val="4"/>
        </w:numPr>
      </w:pPr>
      <w:r>
        <w:rPr>
          <w:rFonts w:ascii="Figtree" w:hAnsi="Figtree"/>
          <w:b w:val="0"/>
          <w:i w:val="0"/>
          <w:sz w:val="22"/>
        </w:rPr>
        <w:t>Asset class and lifecycle scoping for deposits and trade finance instruments</w:t>
      </w:r>
    </w:p>
    <w:p>
      <w:pPr>
        <w:pStyle w:val="ListParagraph"/>
        <w:numPr>
          <w:ilvl w:val="0"/>
          <w:numId w:val="4"/>
        </w:numPr>
      </w:pPr>
      <w:r>
        <w:rPr>
          <w:rFonts w:ascii="Figtree" w:hAnsi="Figtree"/>
          <w:b w:val="0"/>
          <w:i w:val="0"/>
          <w:sz w:val="22"/>
        </w:rPr>
        <w:t>Architecture design covering deployment topology, network selection, custody integration model</w:t>
      </w:r>
    </w:p>
    <w:p>
      <w:r>
        <w:rPr>
          <w:rFonts w:ascii="Figtree" w:hAnsi="Figtree"/>
          <w:b/>
          <w:i w:val="0"/>
          <w:sz w:val="22"/>
        </w:rPr>
        <w:t>Deliverables:</w:t>
      </w:r>
    </w:p>
    <w:p>
      <w:pPr>
        <w:pStyle w:val="ListParagraph"/>
        <w:numPr>
          <w:ilvl w:val="0"/>
          <w:numId w:val="4"/>
        </w:numPr>
      </w:pPr>
      <w:r>
        <w:rPr>
          <w:rFonts w:ascii="Figtree" w:hAnsi="Figtree"/>
          <w:b w:val="0"/>
          <w:i w:val="0"/>
          <w:sz w:val="22"/>
        </w:rPr>
        <w:t>Validated requirements document</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Regulatory compliance mapping</w:t>
      </w:r>
    </w:p>
    <w:p>
      <w:pPr>
        <w:pStyle w:val="ListParagraph"/>
        <w:numPr>
          <w:ilvl w:val="0"/>
          <w:numId w:val="4"/>
        </w:numPr>
      </w:pPr>
      <w:r>
        <w:rPr>
          <w:rFonts w:ascii="Figtree" w:hAnsi="Figtree"/>
          <w:b w:val="0"/>
          <w:i w:val="0"/>
          <w:sz w:val="22"/>
        </w:rPr>
        <w:t>Implementation roadmap</w:t>
      </w:r>
    </w:p>
    <w:p>
      <w:pPr>
        <w:pStyle w:val="ListParagraph"/>
        <w:numPr>
          <w:ilvl w:val="0"/>
          <w:numId w:val="4"/>
        </w:numPr>
      </w:pPr>
      <w:r>
        <w:rPr>
          <w:rFonts w:ascii="Figtree" w:hAnsi="Figtree"/>
          <w:b w:val="0"/>
          <w:i w:val="0"/>
          <w:sz w:val="22"/>
        </w:rPr>
        <w:t>RAID register (initial)</w:t>
      </w:r>
    </w:p>
    <w:p>
      <w:r>
        <w:rPr>
          <w:rFonts w:ascii="Figtree" w:hAnsi="Figtree"/>
          <w:b/>
          <w:i w:val="0"/>
          <w:sz w:val="22"/>
        </w:rPr>
        <w:t>Gate 1 criteria:</w:t>
      </w:r>
      <w:r>
        <w:rPr>
          <w:rFonts w:ascii="Figtree" w:hAnsi="Figtree"/>
          <w:b w:val="0"/>
          <w:i w:val="0"/>
          <w:sz w:val="22"/>
        </w:rPr>
        <w:t xml:space="preserve"> Requirements signed off, architecture approved, compliance mapping validated.</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Establish functional platform environments ready for configuration.</w:t>
      </w:r>
    </w:p>
    <w:p>
      <w:r>
        <w:rPr>
          <w:rFonts w:ascii="Figtree" w:hAnsi="Figtree"/>
          <w:b/>
          <w:i w:val="0"/>
          <w:sz w:val="22"/>
        </w:rPr>
        <w:t>Activities:</w:t>
      </w:r>
    </w:p>
    <w:p>
      <w:pPr>
        <w:pStyle w:val="ListParagraph"/>
        <w:numPr>
          <w:ilvl w:val="0"/>
          <w:numId w:val="4"/>
        </w:numPr>
      </w:pPr>
      <w:r>
        <w:rPr>
          <w:rFonts w:ascii="Figtree" w:hAnsi="Figtree"/>
          <w:b w:val="0"/>
          <w:i w:val="0"/>
          <w:sz w:val="22"/>
        </w:rPr>
        <w:t>Provision development, UAT, DR, and production environments on UAE-resident infrastructure</w:t>
      </w:r>
    </w:p>
    <w:p>
      <w:pPr>
        <w:pStyle w:val="ListParagraph"/>
        <w:numPr>
          <w:ilvl w:val="0"/>
          <w:numId w:val="4"/>
        </w:numPr>
      </w:pPr>
      <w:r>
        <w:rPr>
          <w:rFonts w:ascii="Figtree" w:hAnsi="Figtree"/>
          <w:b w:val="0"/>
          <w:i w:val="0"/>
          <w:sz w:val="22"/>
        </w:rPr>
        <w:t>Deploy Hyperledger Besu network with IBFT 2.0 consensus (4 validator nodes)</w:t>
      </w:r>
    </w:p>
    <w:p>
      <w:pPr>
        <w:pStyle w:val="ListParagraph"/>
        <w:numPr>
          <w:ilvl w:val="0"/>
          <w:numId w:val="4"/>
        </w:numPr>
      </w:pPr>
      <w:r>
        <w:rPr>
          <w:rFonts w:ascii="Figtree" w:hAnsi="Figtree"/>
          <w:b w:val="0"/>
          <w:i w:val="0"/>
          <w:sz w:val="22"/>
        </w:rPr>
        <w:t>Configure identity framework (OnchainID infrastructure, trusted issuer setup)</w:t>
      </w:r>
    </w:p>
    <w:p>
      <w:pPr>
        <w:pStyle w:val="ListParagraph"/>
        <w:numPr>
          <w:ilvl w:val="0"/>
          <w:numId w:val="4"/>
        </w:numPr>
      </w:pPr>
      <w:r>
        <w:rPr>
          <w:rFonts w:ascii="Figtree" w:hAnsi="Figtree"/>
          <w:b w:val="0"/>
          <w:i w:val="0"/>
          <w:sz w:val="22"/>
        </w:rPr>
        <w:t>Establish custody provider integration (DFNS or Fireblocks — decision during Phase 1)</w:t>
      </w:r>
    </w:p>
    <w:p>
      <w:pPr>
        <w:pStyle w:val="ListParagraph"/>
        <w:numPr>
          <w:ilvl w:val="0"/>
          <w:numId w:val="4"/>
        </w:numPr>
      </w:pPr>
      <w:r>
        <w:rPr>
          <w:rFonts w:ascii="Figtree" w:hAnsi="Figtree"/>
          <w:b w:val="0"/>
          <w:i w:val="0"/>
          <w:sz w:val="22"/>
        </w:rPr>
        <w:t>Set up observability stack (Grafana dashboards, alerting, log aggregation)</w:t>
      </w:r>
    </w:p>
    <w:p>
      <w:r>
        <w:rPr>
          <w:rFonts w:ascii="Figtree" w:hAnsi="Figtree"/>
          <w:b/>
          <w:i w:val="0"/>
          <w:sz w:val="22"/>
        </w:rPr>
        <w:t>Deliverables:</w:t>
      </w:r>
    </w:p>
    <w:p>
      <w:pPr>
        <w:pStyle w:val="ListParagraph"/>
        <w:numPr>
          <w:ilvl w:val="0"/>
          <w:numId w:val="4"/>
        </w:numPr>
      </w:pPr>
      <w:r>
        <w:rPr>
          <w:rFonts w:ascii="Figtree" w:hAnsi="Figtree"/>
          <w:b w:val="0"/>
          <w:i w:val="0"/>
          <w:sz w:val="22"/>
        </w:rPr>
        <w:t>Functional environments (dev, UAT, DR, production)</w:t>
      </w:r>
    </w:p>
    <w:p>
      <w:pPr>
        <w:pStyle w:val="ListParagraph"/>
        <w:numPr>
          <w:ilvl w:val="0"/>
          <w:numId w:val="4"/>
        </w:numPr>
      </w:pPr>
      <w:r>
        <w:rPr>
          <w:rFonts w:ascii="Figtree" w:hAnsi="Figtree"/>
          <w:b w:val="0"/>
          <w:i w:val="0"/>
          <w:sz w:val="22"/>
        </w:rPr>
        <w:t>Network operational with consensus validation</w:t>
      </w:r>
    </w:p>
    <w:p>
      <w:pPr>
        <w:pStyle w:val="ListParagraph"/>
        <w:numPr>
          <w:ilvl w:val="0"/>
          <w:numId w:val="4"/>
        </w:numPr>
      </w:pPr>
      <w:r>
        <w:rPr>
          <w:rFonts w:ascii="Figtree" w:hAnsi="Figtree"/>
          <w:b w:val="0"/>
          <w:i w:val="0"/>
          <w:sz w:val="22"/>
        </w:rPr>
        <w:t>Identity framework configured</w:t>
      </w:r>
    </w:p>
    <w:p>
      <w:pPr>
        <w:pStyle w:val="ListParagraph"/>
        <w:numPr>
          <w:ilvl w:val="0"/>
          <w:numId w:val="4"/>
        </w:numPr>
      </w:pPr>
      <w:r>
        <w:rPr>
          <w:rFonts w:ascii="Figtree" w:hAnsi="Figtree"/>
          <w:b w:val="0"/>
          <w:i w:val="0"/>
          <w:sz w:val="22"/>
        </w:rPr>
        <w:t>Custody integration operational</w:t>
      </w:r>
    </w:p>
    <w:p>
      <w:pPr>
        <w:pStyle w:val="ListParagraph"/>
        <w:numPr>
          <w:ilvl w:val="0"/>
          <w:numId w:val="4"/>
        </w:numPr>
      </w:pPr>
      <w:r>
        <w:rPr>
          <w:rFonts w:ascii="Figtree" w:hAnsi="Figtree"/>
          <w:b w:val="0"/>
          <w:i w:val="0"/>
          <w:sz w:val="22"/>
        </w:rPr>
        <w:t>Monitoring dashboards live</w:t>
      </w:r>
    </w:p>
    <w:p>
      <w:r>
        <w:rPr>
          <w:rFonts w:ascii="Figtree" w:hAnsi="Figtree"/>
          <w:b/>
          <w:i w:val="0"/>
          <w:sz w:val="22"/>
        </w:rPr>
        <w:t>Gate 2 criteria:</w:t>
      </w:r>
      <w:r>
        <w:rPr>
          <w:rFonts w:ascii="Figtree" w:hAnsi="Figtree"/>
          <w:b w:val="0"/>
          <w:i w:val="0"/>
          <w:sz w:val="22"/>
        </w:rPr>
        <w:t xml:space="preserve"> All environments operational, identity and custody infrastructure validated.</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DALP to match Emirates NBD's business and regulatory requirements.</w:t>
      </w:r>
    </w:p>
    <w:p>
      <w:r>
        <w:rPr>
          <w:rFonts w:ascii="Figtree" w:hAnsi="Figtree"/>
          <w:b/>
          <w:i w:val="0"/>
          <w:sz w:val="22"/>
        </w:rPr>
        <w:t>Activities:</w:t>
      </w:r>
    </w:p>
    <w:p>
      <w:pPr>
        <w:pStyle w:val="ListParagraph"/>
        <w:numPr>
          <w:ilvl w:val="0"/>
          <w:numId w:val="4"/>
        </w:numPr>
      </w:pPr>
      <w:r>
        <w:rPr>
          <w:rFonts w:ascii="Figtree" w:hAnsi="Figtree"/>
          <w:b w:val="0"/>
          <w:i w:val="0"/>
          <w:sz w:val="22"/>
        </w:rPr>
        <w:t>Configure tokenized deposit product (DALPAsset with deposit features and compliance modules)</w:t>
      </w:r>
    </w:p>
    <w:p>
      <w:pPr>
        <w:pStyle w:val="ListParagraph"/>
        <w:numPr>
          <w:ilvl w:val="0"/>
          <w:numId w:val="4"/>
        </w:numPr>
      </w:pPr>
      <w:r>
        <w:rPr>
          <w:rFonts w:ascii="Figtree" w:hAnsi="Figtree"/>
          <w:b w:val="0"/>
          <w:i w:val="0"/>
          <w:sz w:val="22"/>
        </w:rPr>
        <w:t>Configure trade finance instruments (DALPAsset with trade finance features)</w:t>
      </w:r>
    </w:p>
    <w:p>
      <w:pPr>
        <w:pStyle w:val="ListParagraph"/>
        <w:numPr>
          <w:ilvl w:val="0"/>
          <w:numId w:val="4"/>
        </w:numPr>
      </w:pPr>
      <w:r>
        <w:rPr>
          <w:rFonts w:ascii="Figtree" w:hAnsi="Figtree"/>
          <w:b w:val="0"/>
          <w:i w:val="0"/>
          <w:sz w:val="22"/>
        </w:rPr>
        <w:t>Deploy and test compliance module compositions</w:t>
      </w:r>
    </w:p>
    <w:p>
      <w:pPr>
        <w:pStyle w:val="ListParagraph"/>
        <w:numPr>
          <w:ilvl w:val="0"/>
          <w:numId w:val="4"/>
        </w:numPr>
      </w:pPr>
      <w:r>
        <w:rPr>
          <w:rFonts w:ascii="Figtree" w:hAnsi="Figtree"/>
          <w:b w:val="0"/>
          <w:i w:val="0"/>
          <w:sz w:val="22"/>
        </w:rPr>
        <w:t>Configure settlement workflows (XvP for deposits, milestone-based for trade finance)</w:t>
      </w:r>
    </w:p>
    <w:p>
      <w:pPr>
        <w:pStyle w:val="ListParagraph"/>
        <w:numPr>
          <w:ilvl w:val="0"/>
          <w:numId w:val="4"/>
        </w:numPr>
      </w:pPr>
      <w:r>
        <w:rPr>
          <w:rFonts w:ascii="Figtree" w:hAnsi="Figtree"/>
          <w:b w:val="0"/>
          <w:i w:val="0"/>
          <w:sz w:val="22"/>
        </w:rPr>
        <w:t>Implement yield distribution schedules</w:t>
      </w:r>
    </w:p>
    <w:p>
      <w:pPr>
        <w:pStyle w:val="ListParagraph"/>
        <w:numPr>
          <w:ilvl w:val="0"/>
          <w:numId w:val="4"/>
        </w:numPr>
      </w:pPr>
      <w:r>
        <w:rPr>
          <w:rFonts w:ascii="Figtree" w:hAnsi="Figtree"/>
          <w:b w:val="0"/>
          <w:i w:val="0"/>
          <w:sz w:val="22"/>
        </w:rPr>
        <w:t>Validate regulatory reporting templates</w:t>
      </w:r>
    </w:p>
    <w:p>
      <w:r>
        <w:rPr>
          <w:rFonts w:ascii="Figtree" w:hAnsi="Figtree"/>
          <w:b/>
          <w:i w:val="0"/>
          <w:sz w:val="22"/>
        </w:rPr>
        <w:t>Deliverables:</w:t>
      </w:r>
    </w:p>
    <w:p>
      <w:pPr>
        <w:pStyle w:val="ListParagraph"/>
        <w:numPr>
          <w:ilvl w:val="0"/>
          <w:numId w:val="4"/>
        </w:numPr>
      </w:pPr>
      <w:r>
        <w:rPr>
          <w:rFonts w:ascii="Figtree" w:hAnsi="Figtree"/>
          <w:b w:val="0"/>
          <w:i w:val="0"/>
          <w:sz w:val="22"/>
        </w:rPr>
        <w:t>Configured deposit product ready for UAT</w:t>
      </w:r>
    </w:p>
    <w:p>
      <w:pPr>
        <w:pStyle w:val="ListParagraph"/>
        <w:numPr>
          <w:ilvl w:val="0"/>
          <w:numId w:val="4"/>
        </w:numPr>
      </w:pPr>
      <w:r>
        <w:rPr>
          <w:rFonts w:ascii="Figtree" w:hAnsi="Figtree"/>
          <w:b w:val="0"/>
          <w:i w:val="0"/>
          <w:sz w:val="22"/>
        </w:rPr>
        <w:t>Configured trade finance instruments ready for UAT</w:t>
      </w:r>
    </w:p>
    <w:p>
      <w:pPr>
        <w:pStyle w:val="ListParagraph"/>
        <w:numPr>
          <w:ilvl w:val="0"/>
          <w:numId w:val="4"/>
        </w:numPr>
      </w:pPr>
      <w:r>
        <w:rPr>
          <w:rFonts w:ascii="Figtree" w:hAnsi="Figtree"/>
          <w:b w:val="0"/>
          <w:i w:val="0"/>
          <w:sz w:val="22"/>
        </w:rPr>
        <w:t>Compliance module test results</w:t>
      </w:r>
    </w:p>
    <w:p>
      <w:pPr>
        <w:pStyle w:val="ListParagraph"/>
        <w:numPr>
          <w:ilvl w:val="0"/>
          <w:numId w:val="4"/>
        </w:numPr>
      </w:pPr>
      <w:r>
        <w:rPr>
          <w:rFonts w:ascii="Figtree" w:hAnsi="Figtree"/>
          <w:b w:val="0"/>
          <w:i w:val="0"/>
          <w:sz w:val="22"/>
        </w:rPr>
        <w:t>Settlement workflow test results</w:t>
      </w:r>
    </w:p>
    <w:p>
      <w:pPr>
        <w:pStyle w:val="ListParagraph"/>
        <w:numPr>
          <w:ilvl w:val="0"/>
          <w:numId w:val="4"/>
        </w:numPr>
      </w:pPr>
      <w:r>
        <w:rPr>
          <w:rFonts w:ascii="Figtree" w:hAnsi="Figtree"/>
          <w:b w:val="0"/>
          <w:i w:val="0"/>
          <w:sz w:val="22"/>
        </w:rPr>
        <w:t>Operational runbooks (draft)</w:t>
      </w:r>
    </w:p>
    <w:p>
      <w:r>
        <w:rPr>
          <w:rFonts w:ascii="Figtree" w:hAnsi="Figtree"/>
          <w:b/>
          <w:i w:val="0"/>
          <w:sz w:val="22"/>
        </w:rPr>
        <w:t>Gate 3 criteria:</w:t>
      </w:r>
      <w:r>
        <w:rPr>
          <w:rFonts w:ascii="Figtree" w:hAnsi="Figtree"/>
          <w:b w:val="0"/>
          <w:i w:val="0"/>
          <w:sz w:val="22"/>
        </w:rPr>
        <w:t xml:space="preserve"> All products configured, compliance modules validated, settlement tested.</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Integrate with Emirates NBD enterprise systems and validate end-to-end.</w:t>
      </w:r>
    </w:p>
    <w:p>
      <w:r>
        <w:rPr>
          <w:rFonts w:ascii="Figtree" w:hAnsi="Figtree"/>
          <w:b/>
          <w:i w:val="0"/>
          <w:sz w:val="22"/>
        </w:rPr>
        <w:t>Activities:</w:t>
      </w:r>
    </w:p>
    <w:p>
      <w:pPr>
        <w:pStyle w:val="ListParagraph"/>
        <w:numPr>
          <w:ilvl w:val="0"/>
          <w:numId w:val="4"/>
        </w:numPr>
      </w:pPr>
      <w:r>
        <w:rPr>
          <w:rFonts w:ascii="Figtree" w:hAnsi="Figtree"/>
          <w:b w:val="0"/>
          <w:i w:val="0"/>
          <w:sz w:val="22"/>
        </w:rPr>
        <w:t>Core banking API integration (deposit creation, balance reconciliation)</w:t>
      </w:r>
    </w:p>
    <w:p>
      <w:pPr>
        <w:pStyle w:val="ListParagraph"/>
        <w:numPr>
          <w:ilvl w:val="0"/>
          <w:numId w:val="4"/>
        </w:numPr>
      </w:pPr>
      <w:r>
        <w:rPr>
          <w:rFonts w:ascii="Figtree" w:hAnsi="Figtree"/>
          <w:b w:val="0"/>
          <w:i w:val="0"/>
          <w:sz w:val="22"/>
        </w:rPr>
        <w:t>Trade finance back-office integration (document workflows, milestone events)</w:t>
      </w:r>
    </w:p>
    <w:p>
      <w:pPr>
        <w:pStyle w:val="ListParagraph"/>
        <w:numPr>
          <w:ilvl w:val="0"/>
          <w:numId w:val="4"/>
        </w:numPr>
      </w:pPr>
      <w:r>
        <w:rPr>
          <w:rFonts w:ascii="Figtree" w:hAnsi="Figtree"/>
          <w:b w:val="0"/>
          <w:i w:val="0"/>
          <w:sz w:val="22"/>
        </w:rPr>
        <w:t>KYC/AML system integration (identity claim feeds)</w:t>
      </w:r>
    </w:p>
    <w:p>
      <w:pPr>
        <w:pStyle w:val="ListParagraph"/>
        <w:numPr>
          <w:ilvl w:val="0"/>
          <w:numId w:val="4"/>
        </w:numPr>
      </w:pPr>
      <w:r>
        <w:rPr>
          <w:rFonts w:ascii="Figtree" w:hAnsi="Figtree"/>
          <w:b w:val="0"/>
          <w:i w:val="0"/>
          <w:sz w:val="22"/>
        </w:rPr>
        <w:t>SWIFT gateway integration (settlement message generation)</w:t>
      </w:r>
    </w:p>
    <w:p>
      <w:pPr>
        <w:pStyle w:val="ListParagraph"/>
        <w:numPr>
          <w:ilvl w:val="0"/>
          <w:numId w:val="4"/>
        </w:numPr>
      </w:pPr>
      <w:r>
        <w:rPr>
          <w:rFonts w:ascii="Figtree" w:hAnsi="Figtree"/>
          <w:b w:val="0"/>
          <w:i w:val="0"/>
          <w:sz w:val="22"/>
        </w:rPr>
        <w:t>Regulatory reporting integration</w:t>
      </w:r>
    </w:p>
    <w:p>
      <w:pPr>
        <w:pStyle w:val="ListParagraph"/>
        <w:numPr>
          <w:ilvl w:val="0"/>
          <w:numId w:val="4"/>
        </w:numPr>
      </w:pPr>
      <w:r>
        <w:rPr>
          <w:rFonts w:ascii="Figtree" w:hAnsi="Figtree"/>
          <w:b w:val="0"/>
          <w:i w:val="0"/>
          <w:sz w:val="22"/>
        </w:rPr>
        <w:t>Functional testing, security testing (penetration test), performance testing, UAT</w:t>
      </w:r>
    </w:p>
    <w:p>
      <w:r>
        <w:rPr>
          <w:rFonts w:ascii="Figtree" w:hAnsi="Figtree"/>
          <w:b/>
          <w:i w:val="0"/>
          <w:sz w:val="22"/>
        </w:rPr>
        <w:t>Deliverables:</w:t>
      </w:r>
    </w:p>
    <w:p>
      <w:pPr>
        <w:pStyle w:val="ListParagraph"/>
        <w:numPr>
          <w:ilvl w:val="0"/>
          <w:numId w:val="4"/>
        </w:numPr>
      </w:pPr>
      <w:r>
        <w:rPr>
          <w:rFonts w:ascii="Figtree" w:hAnsi="Figtree"/>
          <w:b w:val="0"/>
          <w:i w:val="0"/>
          <w:sz w:val="22"/>
        </w:rPr>
        <w:t>Integration test results</w:t>
      </w:r>
    </w:p>
    <w:p>
      <w:pPr>
        <w:pStyle w:val="ListParagraph"/>
        <w:numPr>
          <w:ilvl w:val="0"/>
          <w:numId w:val="4"/>
        </w:numPr>
      </w:pPr>
      <w:r>
        <w:rPr>
          <w:rFonts w:ascii="Figtree" w:hAnsi="Figtree"/>
          <w:b w:val="0"/>
          <w:i w:val="0"/>
          <w:sz w:val="22"/>
        </w:rPr>
        <w:t>Security assessment report</w:t>
      </w:r>
    </w:p>
    <w:p>
      <w:pPr>
        <w:pStyle w:val="ListParagraph"/>
        <w:numPr>
          <w:ilvl w:val="0"/>
          <w:numId w:val="4"/>
        </w:numPr>
      </w:pPr>
      <w:r>
        <w:rPr>
          <w:rFonts w:ascii="Figtree" w:hAnsi="Figtree"/>
          <w:b w:val="0"/>
          <w:i w:val="0"/>
          <w:sz w:val="22"/>
        </w:rPr>
        <w:t>Performance benchmark results</w:t>
      </w:r>
    </w:p>
    <w:p>
      <w:pPr>
        <w:pStyle w:val="ListParagraph"/>
        <w:numPr>
          <w:ilvl w:val="0"/>
          <w:numId w:val="4"/>
        </w:numPr>
      </w:pPr>
      <w:r>
        <w:rPr>
          <w:rFonts w:ascii="Figtree" w:hAnsi="Figtree"/>
          <w:b w:val="0"/>
          <w:i w:val="0"/>
          <w:sz w:val="22"/>
        </w:rPr>
        <w:t>UAT sign-off</w:t>
      </w:r>
    </w:p>
    <w:p>
      <w:pPr>
        <w:pStyle w:val="ListParagraph"/>
        <w:numPr>
          <w:ilvl w:val="0"/>
          <w:numId w:val="4"/>
        </w:numPr>
      </w:pPr>
      <w:r>
        <w:rPr>
          <w:rFonts w:ascii="Figtree" w:hAnsi="Figtree"/>
          <w:b w:val="0"/>
          <w:i w:val="0"/>
          <w:sz w:val="22"/>
        </w:rPr>
        <w:t>Go-live readiness assessment</w:t>
      </w:r>
    </w:p>
    <w:p>
      <w:r>
        <w:rPr>
          <w:rFonts w:ascii="Figtree" w:hAnsi="Figtree"/>
          <w:b/>
          <w:i w:val="0"/>
          <w:sz w:val="22"/>
        </w:rPr>
        <w:t>Gate 4 criteria:</w:t>
      </w:r>
      <w:r>
        <w:rPr>
          <w:rFonts w:ascii="Figtree" w:hAnsi="Figtree"/>
          <w:b w:val="0"/>
          <w:i w:val="0"/>
          <w:sz w:val="22"/>
        </w:rPr>
        <w:t xml:space="preserve"> All integrations validated, security assessment passed, UAT completed.</w:t>
      </w:r>
    </w:p>
    <w:p>
      <w:pPr>
        <w:pStyle w:val="H3"/>
        <w:numPr>
          <w:ilvl w:val="2"/>
          <w:numId w:val="1"/>
        </w:numPr>
      </w:pPr>
      <w:r>
        <w:t>Phase 5: Go-Live and Hypercare (Weeks 14–19)</w:t>
      </w:r>
    </w:p>
    <w:p>
      <w:r>
        <w:rPr>
          <w:rFonts w:ascii="Figtree" w:hAnsi="Figtree"/>
          <w:b/>
          <w:i w:val="0"/>
          <w:sz w:val="22"/>
        </w:rPr>
        <w:t>Objective:</w:t>
      </w:r>
      <w:r>
        <w:rPr>
          <w:rFonts w:ascii="Figtree" w:hAnsi="Figtree"/>
          <w:b w:val="0"/>
          <w:i w:val="0"/>
          <w:sz w:val="22"/>
        </w:rPr>
        <w:t xml:space="preserve"> Deploy to production and provide intensive post-launch support.</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(week 14–15)</w:t>
      </w:r>
    </w:p>
    <w:p>
      <w:pPr>
        <w:pStyle w:val="ListParagraph"/>
        <w:numPr>
          <w:ilvl w:val="0"/>
          <w:numId w:val="4"/>
        </w:numPr>
      </w:pPr>
      <w:r>
        <w:rPr>
          <w:rFonts w:ascii="Figtree" w:hAnsi="Figtree"/>
          <w:b w:val="0"/>
          <w:i w:val="0"/>
          <w:sz w:val="22"/>
        </w:rPr>
        <w:t>Knowledge transfer sessions (administrator, developer/integration, operations tracks)</w:t>
      </w:r>
    </w:p>
    <w:p>
      <w:pPr>
        <w:pStyle w:val="ListParagraph"/>
        <w:numPr>
          <w:ilvl w:val="0"/>
          <w:numId w:val="4"/>
        </w:numPr>
      </w:pPr>
      <w:r>
        <w:rPr>
          <w:rFonts w:ascii="Figtree" w:hAnsi="Figtree"/>
          <w:b w:val="0"/>
          <w:i w:val="0"/>
          <w:sz w:val="22"/>
        </w:rPr>
        <w:t>Hypercare support with dedicated engineer (weeks 16–19)</w:t>
      </w:r>
    </w:p>
    <w:p>
      <w:pPr>
        <w:pStyle w:val="ListParagraph"/>
        <w:numPr>
          <w:ilvl w:val="0"/>
          <w:numId w:val="4"/>
        </w:numPr>
      </w:pPr>
      <w:r>
        <w:rPr>
          <w:rFonts w:ascii="Figtree" w:hAnsi="Figtree"/>
          <w:b w:val="0"/>
          <w:i w:val="0"/>
          <w:sz w:val="22"/>
        </w:rPr>
        <w:t>Operational handover and support transition</w:t>
      </w:r>
    </w:p>
    <w:p>
      <w:r>
        <w:rPr>
          <w:rFonts w:ascii="Figtree" w:hAnsi="Figtree"/>
          <w:b/>
          <w:i w:val="0"/>
          <w:sz w:val="22"/>
        </w:rPr>
        <w:t>Deliverables:</w:t>
      </w:r>
    </w:p>
    <w:p>
      <w:pPr>
        <w:pStyle w:val="ListParagraph"/>
        <w:numPr>
          <w:ilvl w:val="0"/>
          <w:numId w:val="4"/>
        </w:numPr>
      </w:pPr>
      <w:r>
        <w:rPr>
          <w:rFonts w:ascii="Figtree" w:hAnsi="Figtree"/>
          <w:b w:val="0"/>
          <w:i w:val="0"/>
          <w:sz w:val="22"/>
        </w:rPr>
        <w:t>Production system live</w:t>
      </w:r>
    </w:p>
    <w:p>
      <w:pPr>
        <w:pStyle w:val="ListParagraph"/>
        <w:numPr>
          <w:ilvl w:val="0"/>
          <w:numId w:val="4"/>
        </w:numPr>
      </w:pPr>
      <w:r>
        <w:rPr>
          <w:rFonts w:ascii="Figtree" w:hAnsi="Figtree"/>
          <w:b w:val="0"/>
          <w:i w:val="0"/>
          <w:sz w:val="22"/>
        </w:rPr>
        <w:t>Knowledge transfer completion records</w:t>
      </w:r>
    </w:p>
    <w:p>
      <w:pPr>
        <w:pStyle w:val="ListParagraph"/>
        <w:numPr>
          <w:ilvl w:val="0"/>
          <w:numId w:val="4"/>
        </w:numPr>
      </w:pPr>
      <w:r>
        <w:rPr>
          <w:rFonts w:ascii="Figtree" w:hAnsi="Figtree"/>
          <w:b w:val="0"/>
          <w:i w:val="0"/>
          <w:sz w:val="22"/>
        </w:rPr>
        <w:t>Operational runbooks (final)</w:t>
      </w:r>
    </w:p>
    <w:p>
      <w:pPr>
        <w:pStyle w:val="ListParagraph"/>
        <w:numPr>
          <w:ilvl w:val="0"/>
          <w:numId w:val="4"/>
        </w:numPr>
      </w:pPr>
      <w:r>
        <w:rPr>
          <w:rFonts w:ascii="Figtree" w:hAnsi="Figtree"/>
          <w:b w:val="0"/>
          <w:i w:val="0"/>
          <w:sz w:val="22"/>
        </w:rPr>
        <w:t>Support transition document</w:t>
      </w:r>
    </w:p>
    <w:p>
      <w:pPr>
        <w:pStyle w:val="ListParagraph"/>
        <w:numPr>
          <w:ilvl w:val="0"/>
          <w:numId w:val="4"/>
        </w:numPr>
      </w:pPr>
      <w:r>
        <w:rPr>
          <w:rFonts w:ascii="Figtree" w:hAnsi="Figtree"/>
          <w:b w:val="0"/>
          <w:i w:val="0"/>
          <w:sz w:val="22"/>
        </w:rPr>
        <w:t>Post-implementation review</w:t>
      </w:r>
    </w:p>
    <w:p>
      <w:r>
        <w:rPr>
          <w:rFonts w:ascii="Figtree" w:hAnsi="Figtree"/>
          <w:b/>
          <w:i w:val="0"/>
          <w:sz w:val="22"/>
        </w:rPr>
        <w:t>Gate 5 criteria:</w:t>
      </w:r>
      <w:r>
        <w:rPr>
          <w:rFonts w:ascii="Figtree" w:hAnsi="Figtree"/>
          <w:b w:val="0"/>
          <w:i w:val="0"/>
          <w:sz w:val="22"/>
        </w:rPr>
        <w:t xml:space="preserve"> Production stable, knowledge transfer complete, support transitioned.</w:t>
      </w:r>
    </w:p>
    <w:p>
      <w:pPr>
        <w:pStyle w:val="H3"/>
        <w:numPr>
          <w:ilvl w:val="2"/>
          <w:numId w:val="1"/>
        </w:numPr>
      </w:pPr>
      <w:r>
        <w:t>Governance and Decision Structure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SettleMint</w:t>
            </w:r>
          </w:p>
        </w:tc>
        <w:tc>
          <w:tcPr>
            <w:tcW w:type="dxa" w:w="3249"/>
            <w:vAlign w:val="center"/>
            <w:shd w:fill="000099" w:val="clear"/>
          </w:tcPr>
          <w:p>
            <w:r>
              <w:rPr>
                <w:b/>
                <w:color w:val="FFFFFF"/>
              </w:rPr>
            </w:r>
            <w:r>
              <w:rPr>
                <w:rFonts w:ascii="Figtree" w:hAnsi="Figtree"/>
                <w:b/>
                <w:i w:val="0"/>
                <w:color w:val="FFFFFF"/>
                <w:sz w:val="22"/>
              </w:rPr>
              <w:t>Emirates NBD</w:t>
            </w:r>
          </w:p>
        </w:tc>
      </w:tr>
      <w:tr>
        <w:trPr>
          <w:trHeight w:val="454" w:hRule="atLeast"/>
        </w:trPr>
        <w:tc>
          <w:tcPr>
            <w:tcW w:type="dxa" w:w="3249"/>
            <w:vAlign w:val="center"/>
          </w:tcPr>
          <w:p>
            <w:r/>
            <w:r>
              <w:rPr>
                <w:rFonts w:ascii="Figtree" w:hAnsi="Figtree"/>
                <w:b w:val="0"/>
                <w:i w:val="0"/>
                <w:sz w:val="22"/>
              </w:rPr>
              <w:t>Programme sponsor</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r>
        <w:trPr>
          <w:trHeight w:val="454" w:hRule="atLeast"/>
        </w:trPr>
        <w:tc>
          <w:tcPr>
            <w:tcW w:type="dxa" w:w="3249"/>
            <w:vAlign w:val="center"/>
          </w:tcPr>
          <w:p>
            <w:r/>
            <w:r>
              <w:rPr>
                <w:rFonts w:ascii="Figtree" w:hAnsi="Figtree"/>
                <w:b w:val="0"/>
                <w:i w:val="0"/>
                <w:sz w:val="22"/>
              </w:rPr>
              <w:t>Delivery lead</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r>
        <w:trPr>
          <w:trHeight w:val="454" w:hRule="atLeast"/>
        </w:trPr>
        <w:tc>
          <w:tcPr>
            <w:tcW w:type="dxa" w:w="3249"/>
            <w:vAlign w:val="center"/>
          </w:tcPr>
          <w:p>
            <w:r/>
            <w:r>
              <w:rPr>
                <w:rFonts w:ascii="Figtree" w:hAnsi="Figtree"/>
                <w:b w:val="0"/>
                <w:i w:val="0"/>
                <w:sz w:val="22"/>
              </w:rPr>
              <w:t>Solution architect</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Counterpart</w:t>
            </w:r>
          </w:p>
        </w:tc>
      </w:tr>
      <w:tr>
        <w:trPr>
          <w:trHeight w:val="454" w:hRule="atLeast"/>
        </w:trPr>
        <w:tc>
          <w:tcPr>
            <w:tcW w:type="dxa" w:w="3249"/>
            <w:vAlign w:val="center"/>
          </w:tcPr>
          <w:p>
            <w:r/>
            <w:r>
              <w:rPr>
                <w:rFonts w:ascii="Figtree" w:hAnsi="Figtree"/>
                <w:b w:val="0"/>
                <w:i w:val="0"/>
                <w:sz w:val="22"/>
              </w:rPr>
              <w:t>Technical lead</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Counterpart</w:t>
            </w:r>
          </w:p>
        </w:tc>
      </w:tr>
      <w:tr>
        <w:trPr>
          <w:trHeight w:val="454" w:hRule="atLeast"/>
        </w:trPr>
        <w:tc>
          <w:tcPr>
            <w:tcW w:type="dxa" w:w="3249"/>
            <w:vAlign w:val="center"/>
          </w:tcPr>
          <w:p>
            <w:r/>
            <w:r>
              <w:rPr>
                <w:rFonts w:ascii="Figtree" w:hAnsi="Figtree"/>
                <w:b w:val="0"/>
                <w:i w:val="0"/>
                <w:sz w:val="22"/>
              </w:rPr>
              <w:t>Business analyst</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r>
        <w:trPr>
          <w:trHeight w:val="454" w:hRule="atLeast"/>
        </w:trPr>
        <w:tc>
          <w:tcPr>
            <w:tcW w:type="dxa" w:w="3249"/>
            <w:vAlign w:val="center"/>
          </w:tcPr>
          <w:p>
            <w:r/>
            <w:r>
              <w:rPr>
                <w:rFonts w:ascii="Figtree" w:hAnsi="Figtree"/>
                <w:b w:val="0"/>
                <w:i w:val="0"/>
                <w:sz w:val="22"/>
              </w:rPr>
              <w:t>Compliance officer</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r>
        <w:trPr>
          <w:trHeight w:val="454" w:hRule="atLeast"/>
        </w:trPr>
        <w:tc>
          <w:tcPr>
            <w:tcW w:type="dxa" w:w="3249"/>
            <w:vAlign w:val="center"/>
          </w:tcPr>
          <w:p>
            <w:r/>
            <w:r>
              <w:rPr>
                <w:rFonts w:ascii="Figtree" w:hAnsi="Figtree"/>
                <w:b w:val="0"/>
                <w:i w:val="0"/>
                <w:sz w:val="22"/>
              </w:rPr>
              <w:t>Operations lead</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bl>
    <w:p>
      <w:r>
        <w:rPr>
          <w:rFonts w:ascii="Figtree" w:hAnsi="Figtree"/>
          <w:b/>
          <w:i w:val="0"/>
          <w:sz w:val="22"/>
        </w:rPr>
        <w:t>Decision governance:</w:t>
      </w:r>
      <w:r>
        <w:rPr>
          <w:rFonts w:ascii="Figtree" w:hAnsi="Figtree"/>
          <w:b w:val="0"/>
          <w:i w:val="0"/>
          <w:sz w:val="22"/>
        </w:rPr>
        <w:t xml:space="preserve"> Steering committee meets bi-weekly. Gate reviews require sign-off from both parties. Technical decisions escalated to solution architects; business decisions escalated to programme sponsors.</w:t>
      </w:r>
    </w:p>
    <w:p>
      <w:pPr>
        <w:pStyle w:val="H3"/>
        <w:numPr>
          <w:ilvl w:val="2"/>
          <w:numId w:val="1"/>
        </w:numPr>
      </w:pPr>
      <w:r>
        <w:t>Resource Model</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Allocation</w:t>
            </w:r>
          </w:p>
        </w:tc>
        <w:tc>
          <w:tcPr>
            <w:tcW w:type="dxa" w:w="3249"/>
            <w:vAlign w:val="center"/>
            <w:shd w:fill="000099" w:val="clear"/>
          </w:tcPr>
          <w:p>
            <w:r>
              <w:rPr>
                <w:b/>
                <w:color w:val="FFFFFF"/>
              </w:rPr>
            </w:r>
            <w:r>
              <w:rPr>
                <w:rFonts w:ascii="Figtree" w:hAnsi="Figtree"/>
                <w:b/>
                <w:i w:val="0"/>
                <w:color w:val="FFFFFF"/>
                <w:sz w:val="22"/>
              </w:rPr>
              <w:t>Responsibility</w:t>
            </w:r>
          </w:p>
        </w:tc>
      </w:tr>
      <w:tr>
        <w:trPr>
          <w:trHeight w:val="454" w:hRule="atLeast"/>
        </w:trPr>
        <w:tc>
          <w:tcPr>
            <w:tcW w:type="dxa" w:w="3249"/>
            <w:vAlign w:val="center"/>
          </w:tcPr>
          <w:p>
            <w:r/>
            <w:r>
              <w:rPr>
                <w:rFonts w:ascii="Figtree" w:hAnsi="Figtree"/>
                <w:b w:val="0"/>
                <w:i w:val="0"/>
                <w:sz w:val="22"/>
              </w:rPr>
              <w:t>Delivery Lead</w:t>
            </w:r>
          </w:p>
        </w:tc>
        <w:tc>
          <w:tcPr>
            <w:tcW w:type="dxa" w:w="3249"/>
            <w:vAlign w:val="center"/>
          </w:tcPr>
          <w:p>
            <w:r/>
            <w:r>
              <w:rPr>
                <w:rFonts w:ascii="Figtree" w:hAnsi="Figtree"/>
                <w:b w:val="0"/>
                <w:i w:val="0"/>
                <w:sz w:val="22"/>
              </w:rPr>
              <w:t>Full-time (19 weeks)</w:t>
            </w:r>
          </w:p>
        </w:tc>
        <w:tc>
          <w:tcPr>
            <w:tcW w:type="dxa" w:w="3249"/>
            <w:vAlign w:val="center"/>
          </w:tcPr>
          <w:p>
            <w:r/>
            <w:r>
              <w:rPr>
                <w:rFonts w:ascii="Figtree" w:hAnsi="Figtree"/>
                <w:b w:val="0"/>
                <w:i w:val="0"/>
                <w:sz w:val="22"/>
              </w:rPr>
              <w:t>Programme management, gate reviews</w:t>
            </w:r>
          </w:p>
        </w:tc>
      </w:tr>
      <w:tr>
        <w:trPr>
          <w:trHeight w:val="454" w:hRule="atLeast"/>
        </w:trPr>
        <w:tc>
          <w:tcPr>
            <w:tcW w:type="dxa" w:w="3249"/>
            <w:vAlign w:val="center"/>
          </w:tcPr>
          <w:p>
            <w:r/>
            <w:r>
              <w:rPr>
                <w:rFonts w:ascii="Figtree" w:hAnsi="Figtree"/>
                <w:b w:val="0"/>
                <w:i w:val="0"/>
                <w:sz w:val="22"/>
              </w:rPr>
              <w:t>Solution Architect</w:t>
            </w:r>
          </w:p>
        </w:tc>
        <w:tc>
          <w:tcPr>
            <w:tcW w:type="dxa" w:w="3249"/>
            <w:vAlign w:val="center"/>
          </w:tcPr>
          <w:p>
            <w:r/>
            <w:r>
              <w:rPr>
                <w:rFonts w:ascii="Figtree" w:hAnsi="Figtree"/>
                <w:b w:val="0"/>
                <w:i w:val="0"/>
                <w:sz w:val="22"/>
              </w:rPr>
              <w:t>Full-time (Weeks 1–13), on-call (14–19)</w:t>
            </w:r>
          </w:p>
        </w:tc>
        <w:tc>
          <w:tcPr>
            <w:tcW w:type="dxa" w:w="3249"/>
            <w:vAlign w:val="center"/>
          </w:tcPr>
          <w:p>
            <w:r/>
            <w:r>
              <w:rPr>
                <w:rFonts w:ascii="Figtree" w:hAnsi="Figtree"/>
                <w:b w:val="0"/>
                <w:i w:val="0"/>
                <w:sz w:val="22"/>
              </w:rPr>
              <w:t>Architecture, integration patterns</w:t>
            </w:r>
          </w:p>
        </w:tc>
      </w:tr>
      <w:tr>
        <w:trPr>
          <w:trHeight w:val="454" w:hRule="atLeast"/>
        </w:trPr>
        <w:tc>
          <w:tcPr>
            <w:tcW w:type="dxa" w:w="3249"/>
            <w:vAlign w:val="center"/>
          </w:tcPr>
          <w:p>
            <w:r/>
            <w:r>
              <w:rPr>
                <w:rFonts w:ascii="Figtree" w:hAnsi="Figtree"/>
                <w:b w:val="0"/>
                <w:i w:val="0"/>
                <w:sz w:val="22"/>
              </w:rPr>
              <w:t>Platform Engineer</w:t>
            </w:r>
          </w:p>
        </w:tc>
        <w:tc>
          <w:tcPr>
            <w:tcW w:type="dxa" w:w="3249"/>
            <w:vAlign w:val="center"/>
          </w:tcPr>
          <w:p>
            <w:r/>
            <w:r>
              <w:rPr>
                <w:rFonts w:ascii="Figtree" w:hAnsi="Figtree"/>
                <w:b w:val="0"/>
                <w:i w:val="0"/>
                <w:sz w:val="22"/>
              </w:rPr>
              <w:t>Full-time (Weeks 3–17)</w:t>
            </w:r>
          </w:p>
        </w:tc>
        <w:tc>
          <w:tcPr>
            <w:tcW w:type="dxa" w:w="3249"/>
            <w:vAlign w:val="center"/>
          </w:tcPr>
          <w:p>
            <w:r/>
            <w:r>
              <w:rPr>
                <w:rFonts w:ascii="Figtree" w:hAnsi="Figtree"/>
                <w:b w:val="0"/>
                <w:i w:val="0"/>
                <w:sz w:val="22"/>
              </w:rPr>
              <w:t>Environment setup, configuration</w:t>
            </w:r>
          </w:p>
        </w:tc>
      </w:tr>
      <w:tr>
        <w:trPr>
          <w:trHeight w:val="454" w:hRule="atLeast"/>
        </w:trPr>
        <w:tc>
          <w:tcPr>
            <w:tcW w:type="dxa" w:w="3249"/>
            <w:vAlign w:val="center"/>
          </w:tcPr>
          <w:p>
            <w:r/>
            <w:r>
              <w:rPr>
                <w:rFonts w:ascii="Figtree" w:hAnsi="Figtree"/>
                <w:b w:val="0"/>
                <w:i w:val="0"/>
                <w:sz w:val="22"/>
              </w:rPr>
              <w:t>Integration Engineer</w:t>
            </w:r>
          </w:p>
        </w:tc>
        <w:tc>
          <w:tcPr>
            <w:tcW w:type="dxa" w:w="3249"/>
            <w:vAlign w:val="center"/>
          </w:tcPr>
          <w:p>
            <w:r/>
            <w:r>
              <w:rPr>
                <w:rFonts w:ascii="Figtree" w:hAnsi="Figtree"/>
                <w:b w:val="0"/>
                <w:i w:val="0"/>
                <w:sz w:val="22"/>
              </w:rPr>
              <w:t>Full-time (Weeks 6–13)</w:t>
            </w:r>
          </w:p>
        </w:tc>
        <w:tc>
          <w:tcPr>
            <w:tcW w:type="dxa" w:w="3249"/>
            <w:vAlign w:val="center"/>
          </w:tcPr>
          <w:p>
            <w:r/>
            <w:r>
              <w:rPr>
                <w:rFonts w:ascii="Figtree" w:hAnsi="Figtree"/>
                <w:b w:val="0"/>
                <w:i w:val="0"/>
                <w:sz w:val="22"/>
              </w:rPr>
              <w:t>Enterprise system integration</w:t>
            </w:r>
          </w:p>
        </w:tc>
      </w:tr>
      <w:tr>
        <w:trPr>
          <w:trHeight w:val="454" w:hRule="atLeast"/>
        </w:trPr>
        <w:tc>
          <w:tcPr>
            <w:tcW w:type="dxa" w:w="3249"/>
            <w:vAlign w:val="center"/>
          </w:tcPr>
          <w:p>
            <w:r/>
            <w:r>
              <w:rPr>
                <w:rFonts w:ascii="Figtree" w:hAnsi="Figtree"/>
                <w:b w:val="0"/>
                <w:i w:val="0"/>
                <w:sz w:val="22"/>
              </w:rPr>
              <w:t>QA Engineer</w:t>
            </w:r>
          </w:p>
        </w:tc>
        <w:tc>
          <w:tcPr>
            <w:tcW w:type="dxa" w:w="3249"/>
            <w:vAlign w:val="center"/>
          </w:tcPr>
          <w:p>
            <w:r/>
            <w:r>
              <w:rPr>
                <w:rFonts w:ascii="Figtree" w:hAnsi="Figtree"/>
                <w:b w:val="0"/>
                <w:i w:val="0"/>
                <w:sz w:val="22"/>
              </w:rPr>
              <w:t>Full-time (Weeks 10–15)</w:t>
            </w:r>
          </w:p>
        </w:tc>
        <w:tc>
          <w:tcPr>
            <w:tcW w:type="dxa" w:w="3249"/>
            <w:vAlign w:val="center"/>
          </w:tcPr>
          <w:p>
            <w:r/>
            <w:r>
              <w:rPr>
                <w:rFonts w:ascii="Figtree" w:hAnsi="Figtree"/>
                <w:b w:val="0"/>
                <w:i w:val="0"/>
                <w:sz w:val="22"/>
              </w:rPr>
              <w:t>Test planning and execution</w:t>
            </w:r>
          </w:p>
        </w:tc>
      </w:tr>
    </w:tbl>
    <w:p>
      <w:r>
        <w:rPr>
          <w:rFonts w:ascii="Figtree" w:hAnsi="Figtree"/>
          <w:b/>
          <w:i w:val="0"/>
          <w:sz w:val="22"/>
        </w:rPr>
        <w:t>Estimated Emirates NBD effort: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Activity</w:t>
            </w:r>
          </w:p>
        </w:tc>
        <w:tc>
          <w:tcPr>
            <w:tcW w:type="dxa" w:w="3249"/>
            <w:vAlign w:val="center"/>
            <w:shd w:fill="000099" w:val="clear"/>
          </w:tcPr>
          <w:p>
            <w:r>
              <w:rPr>
                <w:b/>
                <w:color w:val="FFFFFF"/>
              </w:rPr>
            </w:r>
            <w:r>
              <w:rPr>
                <w:rFonts w:ascii="Figtree" w:hAnsi="Figtree"/>
                <w:b/>
                <w:i w:val="0"/>
                <w:color w:val="FFFFFF"/>
                <w:sz w:val="22"/>
              </w:rPr>
              <w:t>Person-Days</w:t>
            </w:r>
          </w:p>
        </w:tc>
        <w:tc>
          <w:tcPr>
            <w:tcW w:type="dxa" w:w="3249"/>
            <w:vAlign w:val="center"/>
            <w:shd w:fill="000099" w:val="clear"/>
          </w:tcPr>
          <w:p>
            <w:r>
              <w:rPr>
                <w:b/>
                <w:color w:val="FFFFFF"/>
              </w:rPr>
            </w:r>
            <w:r>
              <w:rPr>
                <w:rFonts w:ascii="Figtree" w:hAnsi="Figtree"/>
                <w:b/>
                <w:i w:val="0"/>
                <w:color w:val="FFFFFF"/>
                <w:sz w:val="22"/>
              </w:rPr>
              <w:t>When</w:t>
            </w:r>
          </w:p>
        </w:tc>
      </w:tr>
      <w:tr>
        <w:trPr>
          <w:trHeight w:val="454" w:hRule="atLeast"/>
        </w:trPr>
        <w:tc>
          <w:tcPr>
            <w:tcW w:type="dxa" w:w="3249"/>
            <w:vAlign w:val="center"/>
          </w:tcPr>
          <w:p>
            <w:r/>
            <w:r>
              <w:rPr>
                <w:rFonts w:ascii="Figtree" w:hAnsi="Figtree"/>
                <w:b w:val="0"/>
                <w:i w:val="0"/>
                <w:sz w:val="22"/>
              </w:rPr>
              <w:t>Stakeholder interviews</w:t>
            </w:r>
          </w:p>
        </w:tc>
        <w:tc>
          <w:tcPr>
            <w:tcW w:type="dxa" w:w="3249"/>
            <w:vAlign w:val="center"/>
          </w:tcPr>
          <w:p>
            <w:r/>
            <w:r>
              <w:rPr>
                <w:rFonts w:ascii="Figtree" w:hAnsi="Figtree"/>
                <w:b w:val="0"/>
                <w:i w:val="0"/>
                <w:sz w:val="22"/>
              </w:rPr>
              <w:t>20</w:t>
            </w:r>
          </w:p>
        </w:tc>
        <w:tc>
          <w:tcPr>
            <w:tcW w:type="dxa" w:w="3249"/>
            <w:vAlign w:val="center"/>
          </w:tcPr>
          <w:p>
            <w:r/>
            <w:r>
              <w:rPr>
                <w:rFonts w:ascii="Figtree" w:hAnsi="Figtree"/>
                <w:b w:val="0"/>
                <w:i w:val="0"/>
                <w:sz w:val="22"/>
              </w:rPr>
              <w:t>Weeks 1–2</w:t>
            </w:r>
          </w:p>
        </w:tc>
      </w:tr>
      <w:tr>
        <w:trPr>
          <w:trHeight w:val="454" w:hRule="atLeast"/>
        </w:trPr>
        <w:tc>
          <w:tcPr>
            <w:tcW w:type="dxa" w:w="3249"/>
            <w:vAlign w:val="center"/>
          </w:tcPr>
          <w:p>
            <w:r/>
            <w:r>
              <w:rPr>
                <w:rFonts w:ascii="Figtree" w:hAnsi="Figtree"/>
                <w:b w:val="0"/>
                <w:i w:val="0"/>
                <w:sz w:val="22"/>
              </w:rPr>
              <w:t>Core banking API provisioning</w:t>
            </w:r>
          </w:p>
        </w:tc>
        <w:tc>
          <w:tcPr>
            <w:tcW w:type="dxa" w:w="3249"/>
            <w:vAlign w:val="center"/>
          </w:tcPr>
          <w:p>
            <w:r/>
            <w:r>
              <w:rPr>
                <w:rFonts w:ascii="Figtree" w:hAnsi="Figtree"/>
                <w:b w:val="0"/>
                <w:i w:val="0"/>
                <w:sz w:val="22"/>
              </w:rPr>
              <w:t>15</w:t>
            </w:r>
          </w:p>
        </w:tc>
        <w:tc>
          <w:tcPr>
            <w:tcW w:type="dxa" w:w="3249"/>
            <w:vAlign w:val="center"/>
          </w:tcPr>
          <w:p>
            <w:r/>
            <w:r>
              <w:rPr>
                <w:rFonts w:ascii="Figtree" w:hAnsi="Figtree"/>
                <w:b w:val="0"/>
                <w:i w:val="0"/>
                <w:sz w:val="22"/>
              </w:rPr>
              <w:t>Weeks 3–9</w:t>
            </w:r>
          </w:p>
        </w:tc>
      </w:tr>
      <w:tr>
        <w:trPr>
          <w:trHeight w:val="454" w:hRule="atLeast"/>
        </w:trPr>
        <w:tc>
          <w:tcPr>
            <w:tcW w:type="dxa" w:w="3249"/>
            <w:vAlign w:val="center"/>
          </w:tcPr>
          <w:p>
            <w:r/>
            <w:r>
              <w:rPr>
                <w:rFonts w:ascii="Figtree" w:hAnsi="Figtree"/>
                <w:b w:val="0"/>
                <w:i w:val="0"/>
                <w:sz w:val="22"/>
              </w:rPr>
              <w:t>Trade finance system access</w:t>
            </w:r>
          </w:p>
        </w:tc>
        <w:tc>
          <w:tcPr>
            <w:tcW w:type="dxa" w:w="3249"/>
            <w:vAlign w:val="center"/>
          </w:tcPr>
          <w:p>
            <w:r/>
            <w:r>
              <w:rPr>
                <w:rFonts w:ascii="Figtree" w:hAnsi="Figtree"/>
                <w:b w:val="0"/>
                <w:i w:val="0"/>
                <w:sz w:val="22"/>
              </w:rPr>
              <w:t>10</w:t>
            </w:r>
          </w:p>
        </w:tc>
        <w:tc>
          <w:tcPr>
            <w:tcW w:type="dxa" w:w="3249"/>
            <w:vAlign w:val="center"/>
          </w:tcPr>
          <w:p>
            <w:r/>
            <w:r>
              <w:rPr>
                <w:rFonts w:ascii="Figtree" w:hAnsi="Figtree"/>
                <w:b w:val="0"/>
                <w:i w:val="0"/>
                <w:sz w:val="22"/>
              </w:rPr>
              <w:t>Weeks 6–9</w:t>
            </w:r>
          </w:p>
        </w:tc>
      </w:tr>
      <w:tr>
        <w:trPr>
          <w:trHeight w:val="454" w:hRule="atLeast"/>
        </w:trPr>
        <w:tc>
          <w:tcPr>
            <w:tcW w:type="dxa" w:w="3249"/>
            <w:vAlign w:val="center"/>
          </w:tcPr>
          <w:p>
            <w:r/>
            <w:r>
              <w:rPr>
                <w:rFonts w:ascii="Figtree" w:hAnsi="Figtree"/>
                <w:b w:val="0"/>
                <w:i w:val="0"/>
                <w:sz w:val="22"/>
              </w:rPr>
              <w:t>UAT execution</w:t>
            </w:r>
          </w:p>
        </w:tc>
        <w:tc>
          <w:tcPr>
            <w:tcW w:type="dxa" w:w="3249"/>
            <w:vAlign w:val="center"/>
          </w:tcPr>
          <w:p>
            <w:r/>
            <w:r>
              <w:rPr>
                <w:rFonts w:ascii="Figtree" w:hAnsi="Figtree"/>
                <w:b w:val="0"/>
                <w:i w:val="0"/>
                <w:sz w:val="22"/>
              </w:rPr>
              <w:t>20</w:t>
            </w:r>
          </w:p>
        </w:tc>
        <w:tc>
          <w:tcPr>
            <w:tcW w:type="dxa" w:w="3249"/>
            <w:vAlign w:val="center"/>
          </w:tcPr>
          <w:p>
            <w:r/>
            <w:r>
              <w:rPr>
                <w:rFonts w:ascii="Figtree" w:hAnsi="Figtree"/>
                <w:b w:val="0"/>
                <w:i w:val="0"/>
                <w:sz w:val="22"/>
              </w:rPr>
              <w:t>Weeks 10–13</w:t>
            </w:r>
          </w:p>
        </w:tc>
      </w:tr>
      <w:tr>
        <w:trPr>
          <w:trHeight w:val="454" w:hRule="atLeast"/>
        </w:trPr>
        <w:tc>
          <w:tcPr>
            <w:tcW w:type="dxa" w:w="3249"/>
            <w:vAlign w:val="center"/>
          </w:tcPr>
          <w:p>
            <w:r/>
            <w:r>
              <w:rPr>
                <w:rFonts w:ascii="Figtree" w:hAnsi="Figtree"/>
                <w:b w:val="0"/>
                <w:i w:val="0"/>
                <w:sz w:val="22"/>
              </w:rPr>
              <w:t>Operations readiness</w:t>
            </w:r>
          </w:p>
        </w:tc>
        <w:tc>
          <w:tcPr>
            <w:tcW w:type="dxa" w:w="3249"/>
            <w:vAlign w:val="center"/>
          </w:tcPr>
          <w:p>
            <w:r/>
            <w:r>
              <w:rPr>
                <w:rFonts w:ascii="Figtree" w:hAnsi="Figtree"/>
                <w:b w:val="0"/>
                <w:i w:val="0"/>
                <w:sz w:val="22"/>
              </w:rPr>
              <w:t>10</w:t>
            </w:r>
          </w:p>
        </w:tc>
        <w:tc>
          <w:tcPr>
            <w:tcW w:type="dxa" w:w="3249"/>
            <w:vAlign w:val="center"/>
          </w:tcPr>
          <w:p>
            <w:r/>
            <w:r>
              <w:rPr>
                <w:rFonts w:ascii="Figtree" w:hAnsi="Figtree"/>
                <w:b w:val="0"/>
                <w:i w:val="0"/>
                <w:sz w:val="22"/>
              </w:rPr>
              <w:t>Weeks 14–19</w:t>
            </w:r>
          </w:p>
        </w:tc>
      </w:tr>
      <w:tr>
        <w:trPr>
          <w:trHeight w:val="454" w:hRule="atLeast"/>
        </w:trPr>
        <w:tc>
          <w:tcPr>
            <w:tcW w:type="dxa" w:w="3249"/>
            <w:vAlign w:val="center"/>
          </w:tcPr>
          <w:p>
            <w:r/>
            <w:r>
              <w:rPr>
                <w:rFonts w:ascii="Figtree" w:hAnsi="Figtree"/>
                <w:b/>
                <w:i w:val="0"/>
                <w:sz w:val="22"/>
              </w:rPr>
              <w:t>Total</w:t>
            </w:r>
          </w:p>
        </w:tc>
        <w:tc>
          <w:tcPr>
            <w:tcW w:type="dxa" w:w="3249"/>
            <w:vAlign w:val="center"/>
          </w:tcPr>
          <w:p>
            <w:r/>
            <w:r>
              <w:rPr>
                <w:rFonts w:ascii="Figtree" w:hAnsi="Figtree"/>
                <w:b/>
                <w:i w:val="0"/>
                <w:sz w:val="22"/>
              </w:rPr>
              <w:t>75</w:t>
            </w:r>
          </w:p>
        </w:tc>
        <w:tc>
          <w:tcPr>
            <w:tcW w:type="dxa" w:w="3249"/>
            <w:vAlign w:val="center"/>
          </w:tcPr>
          <w:p>
            <w:r/>
          </w:p>
        </w:tc>
      </w:tr>
    </w:tbl>
    <w:p>
      <w:r>
        <w:br w:type="page"/>
      </w:r>
    </w:p>
    <w:p>
      <w:pPr>
        <w:pStyle w:val="H2"/>
        <w:numPr>
          <w:ilvl w:val="1"/>
          <w:numId w:val="1"/>
        </w:numPr>
      </w:pPr>
      <w:r>
        <w:t>Deployment Model</w:t>
      </w:r>
    </w:p>
    <w:p>
      <w:pPr>
        <w:pStyle w:val="H3"/>
        <w:numPr>
          <w:ilvl w:val="2"/>
          <w:numId w:val="1"/>
        </w:numPr>
      </w:pPr>
      <w:r>
        <w:t>Recommended: Dedicated Cloud (UAE-Resident)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Model</w:t>
            </w:r>
          </w:p>
        </w:tc>
        <w:tc>
          <w:tcPr>
            <w:tcW w:type="dxa" w:w="4873"/>
            <w:vAlign w:val="center"/>
          </w:tcPr>
          <w:p>
            <w:r/>
            <w:r>
              <w:rPr>
                <w:rFonts w:ascii="Figtree" w:hAnsi="Figtree"/>
                <w:b w:val="0"/>
                <w:i w:val="0"/>
                <w:sz w:val="22"/>
              </w:rPr>
              <w:t>Dedicated cloud</w:t>
            </w:r>
          </w:p>
        </w:tc>
      </w:tr>
      <w:tr>
        <w:trPr>
          <w:trHeight w:val="454" w:hRule="atLeast"/>
        </w:trPr>
        <w:tc>
          <w:tcPr>
            <w:tcW w:type="dxa" w:w="4873"/>
            <w:vAlign w:val="center"/>
          </w:tcPr>
          <w:p>
            <w:r/>
            <w:r>
              <w:rPr>
                <w:rFonts w:ascii="Figtree" w:hAnsi="Figtree"/>
                <w:b w:val="0"/>
                <w:i w:val="0"/>
                <w:sz w:val="22"/>
              </w:rPr>
              <w:t>Region</w:t>
            </w:r>
          </w:p>
        </w:tc>
        <w:tc>
          <w:tcPr>
            <w:tcW w:type="dxa" w:w="4873"/>
            <w:vAlign w:val="center"/>
          </w:tcPr>
          <w:p>
            <w:r/>
            <w:r>
              <w:rPr>
                <w:rFonts w:ascii="Figtree" w:hAnsi="Figtree"/>
                <w:b w:val="0"/>
                <w:i w:val="0"/>
                <w:sz w:val="22"/>
              </w:rPr>
              <w:t>AWS Middle East (Bahrain) or Azure UAE North</w:t>
            </w:r>
          </w:p>
        </w:tc>
      </w:tr>
      <w:tr>
        <w:trPr>
          <w:trHeight w:val="454" w:hRule="atLeast"/>
        </w:trPr>
        <w:tc>
          <w:tcPr>
            <w:tcW w:type="dxa" w:w="4873"/>
            <w:vAlign w:val="center"/>
          </w:tcPr>
          <w:p>
            <w:r/>
            <w:r>
              <w:rPr>
                <w:rFonts w:ascii="Figtree" w:hAnsi="Figtree"/>
                <w:b w:val="0"/>
                <w:i w:val="0"/>
                <w:sz w:val="22"/>
              </w:rPr>
              <w:t>Data residency</w:t>
            </w:r>
          </w:p>
        </w:tc>
        <w:tc>
          <w:tcPr>
            <w:tcW w:type="dxa" w:w="4873"/>
            <w:vAlign w:val="center"/>
          </w:tcPr>
          <w:p>
            <w:r/>
            <w:r>
              <w:rPr>
                <w:rFonts w:ascii="Figtree" w:hAnsi="Figtree"/>
                <w:b w:val="0"/>
                <w:i w:val="0"/>
                <w:sz w:val="22"/>
              </w:rPr>
              <w:t>UAE / GCC compliant</w:t>
            </w:r>
          </w:p>
        </w:tc>
      </w:tr>
      <w:tr>
        <w:trPr>
          <w:trHeight w:val="454" w:hRule="atLeast"/>
        </w:trPr>
        <w:tc>
          <w:tcPr>
            <w:tcW w:type="dxa" w:w="4873"/>
            <w:vAlign w:val="center"/>
          </w:tcPr>
          <w:p>
            <w:r/>
            <w:r>
              <w:rPr>
                <w:rFonts w:ascii="Figtree" w:hAnsi="Figtree"/>
                <w:b w:val="0"/>
                <w:i w:val="0"/>
                <w:sz w:val="22"/>
              </w:rPr>
              <w:t>Kubernetes</w:t>
            </w:r>
          </w:p>
        </w:tc>
        <w:tc>
          <w:tcPr>
            <w:tcW w:type="dxa" w:w="4873"/>
            <w:vAlign w:val="center"/>
          </w:tcPr>
          <w:p>
            <w:r/>
            <w:r>
              <w:rPr>
                <w:rFonts w:ascii="Figtree" w:hAnsi="Figtree"/>
                <w:b w:val="0"/>
                <w:i w:val="0"/>
                <w:sz w:val="22"/>
              </w:rPr>
              <w:t>Amazon EKS or Azure AKS</w:t>
            </w:r>
          </w:p>
        </w:tc>
      </w:tr>
      <w:tr>
        <w:trPr>
          <w:trHeight w:val="454" w:hRule="atLeast"/>
        </w:trPr>
        <w:tc>
          <w:tcPr>
            <w:tcW w:type="dxa" w:w="4873"/>
            <w:vAlign w:val="center"/>
          </w:tcPr>
          <w:p>
            <w:r/>
            <w:r>
              <w:rPr>
                <w:rFonts w:ascii="Figtree" w:hAnsi="Figtree"/>
                <w:b w:val="0"/>
                <w:i w:val="0"/>
                <w:sz w:val="22"/>
              </w:rPr>
              <w:t>Database</w:t>
            </w:r>
          </w:p>
        </w:tc>
        <w:tc>
          <w:tcPr>
            <w:tcW w:type="dxa" w:w="4873"/>
            <w:vAlign w:val="center"/>
          </w:tcPr>
          <w:p>
            <w:r/>
            <w:r>
              <w:rPr>
                <w:rFonts w:ascii="Figtree" w:hAnsi="Figtree"/>
                <w:b w:val="0"/>
                <w:i w:val="0"/>
                <w:sz w:val="22"/>
              </w:rPr>
              <w:t>Amazon RDS PostgreSQL or Azure Database for PostgreSQL</w:t>
            </w:r>
          </w:p>
        </w:tc>
      </w:tr>
      <w:tr>
        <w:trPr>
          <w:trHeight w:val="454" w:hRule="atLeast"/>
        </w:trPr>
        <w:tc>
          <w:tcPr>
            <w:tcW w:type="dxa" w:w="4873"/>
            <w:vAlign w:val="center"/>
          </w:tcPr>
          <w:p>
            <w:r/>
            <w:r>
              <w:rPr>
                <w:rFonts w:ascii="Figtree" w:hAnsi="Figtree"/>
                <w:b w:val="0"/>
                <w:i w:val="0"/>
                <w:sz w:val="22"/>
              </w:rPr>
              <w:t>Cache</w:t>
            </w:r>
          </w:p>
        </w:tc>
        <w:tc>
          <w:tcPr>
            <w:tcW w:type="dxa" w:w="4873"/>
            <w:vAlign w:val="center"/>
          </w:tcPr>
          <w:p>
            <w:r/>
            <w:r>
              <w:rPr>
                <w:rFonts w:ascii="Figtree" w:hAnsi="Figtree"/>
                <w:b w:val="0"/>
                <w:i w:val="0"/>
                <w:sz w:val="22"/>
              </w:rPr>
              <w:t>Amazon ElastiCache Redis or Azure Cache for Redis</w:t>
            </w:r>
          </w:p>
        </w:tc>
      </w:tr>
      <w:tr>
        <w:trPr>
          <w:trHeight w:val="454" w:hRule="atLeast"/>
        </w:trPr>
        <w:tc>
          <w:tcPr>
            <w:tcW w:type="dxa" w:w="4873"/>
            <w:vAlign w:val="center"/>
          </w:tcPr>
          <w:p>
            <w:r/>
            <w:r>
              <w:rPr>
                <w:rFonts w:ascii="Figtree" w:hAnsi="Figtree"/>
                <w:b w:val="0"/>
                <w:i w:val="0"/>
                <w:sz w:val="22"/>
              </w:rPr>
              <w:t>Object storage</w:t>
            </w:r>
          </w:p>
        </w:tc>
        <w:tc>
          <w:tcPr>
            <w:tcW w:type="dxa" w:w="4873"/>
            <w:vAlign w:val="center"/>
          </w:tcPr>
          <w:p>
            <w:r/>
            <w:r>
              <w:rPr>
                <w:rFonts w:ascii="Figtree" w:hAnsi="Figtree"/>
                <w:b w:val="0"/>
                <w:i w:val="0"/>
                <w:sz w:val="22"/>
              </w:rPr>
              <w:t>Amazon S3 or Azure Blob Storage</w:t>
            </w:r>
          </w:p>
        </w:tc>
      </w:tr>
      <w:tr>
        <w:trPr>
          <w:trHeight w:val="454" w:hRule="atLeast"/>
        </w:trPr>
        <w:tc>
          <w:tcPr>
            <w:tcW w:type="dxa" w:w="4873"/>
            <w:vAlign w:val="center"/>
          </w:tcPr>
          <w:p>
            <w:r/>
            <w:r>
              <w:rPr>
                <w:rFonts w:ascii="Figtree" w:hAnsi="Figtree"/>
                <w:b w:val="0"/>
                <w:i w:val="0"/>
                <w:sz w:val="22"/>
              </w:rPr>
              <w:t>Network</w:t>
            </w:r>
          </w:p>
        </w:tc>
        <w:tc>
          <w:tcPr>
            <w:tcW w:type="dxa" w:w="4873"/>
            <w:vAlign w:val="center"/>
          </w:tcPr>
          <w:p>
            <w:r/>
            <w:r>
              <w:rPr>
                <w:rFonts w:ascii="Figtree" w:hAnsi="Figtree"/>
                <w:b w:val="0"/>
                <w:i w:val="0"/>
                <w:sz w:val="22"/>
              </w:rPr>
              <w:t>VPC/VNet with private subnets, VPN/ExpressRoute to Emirates NBD</w:t>
            </w:r>
          </w:p>
        </w:tc>
      </w:tr>
      <w:tr>
        <w:trPr>
          <w:trHeight w:val="454" w:hRule="atLeast"/>
        </w:trPr>
        <w:tc>
          <w:tcPr>
            <w:tcW w:type="dxa" w:w="4873"/>
            <w:vAlign w:val="center"/>
          </w:tcPr>
          <w:p>
            <w:r/>
            <w:r>
              <w:rPr>
                <w:rFonts w:ascii="Figtree" w:hAnsi="Figtree"/>
                <w:b w:val="0"/>
                <w:i w:val="0"/>
                <w:sz w:val="22"/>
              </w:rPr>
              <w:t>Ingress</w:t>
            </w:r>
          </w:p>
        </w:tc>
        <w:tc>
          <w:tcPr>
            <w:tcW w:type="dxa" w:w="4873"/>
            <w:vAlign w:val="center"/>
          </w:tcPr>
          <w:p>
            <w:r/>
            <w:r>
              <w:rPr>
                <w:rFonts w:ascii="Figtree" w:hAnsi="Figtree"/>
                <w:b w:val="0"/>
                <w:i w:val="0"/>
                <w:sz w:val="22"/>
              </w:rPr>
              <w:t>Application Load Balancer with WAF</w:t>
            </w:r>
          </w:p>
        </w:tc>
      </w:tr>
    </w:tbl>
    <w:p>
      <w:pPr>
        <w:pStyle w:val="H3"/>
        <w:numPr>
          <w:ilvl w:val="2"/>
          <w:numId w:val="1"/>
        </w:numPr>
      </w:pPr>
      <w:r>
        <w:t>Deployment Options Considered</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Option</w:t>
            </w:r>
          </w:p>
        </w:tc>
        <w:tc>
          <w:tcPr>
            <w:tcW w:type="dxa" w:w="1949"/>
            <w:vAlign w:val="center"/>
            <w:shd w:fill="000099" w:val="clear"/>
          </w:tcPr>
          <w:p>
            <w:r>
              <w:rPr>
                <w:b/>
                <w:color w:val="FFFFFF"/>
              </w:rPr>
            </w:r>
            <w:r>
              <w:rPr>
                <w:rFonts w:ascii="Figtree" w:hAnsi="Figtree"/>
                <w:b/>
                <w:i w:val="0"/>
                <w:color w:val="FFFFFF"/>
                <w:sz w:val="22"/>
              </w:rPr>
              <w:t>Data Residency</w:t>
            </w:r>
          </w:p>
        </w:tc>
        <w:tc>
          <w:tcPr>
            <w:tcW w:type="dxa" w:w="1949"/>
            <w:vAlign w:val="center"/>
            <w:shd w:fill="000099" w:val="clear"/>
          </w:tcPr>
          <w:p>
            <w:r>
              <w:rPr>
                <w:b/>
                <w:color w:val="FFFFFF"/>
              </w:rPr>
            </w:r>
            <w:r>
              <w:rPr>
                <w:rFonts w:ascii="Figtree" w:hAnsi="Figtree"/>
                <w:b/>
                <w:i w:val="0"/>
                <w:color w:val="FFFFFF"/>
                <w:sz w:val="22"/>
              </w:rPr>
              <w:t>Operational Burden</w:t>
            </w:r>
          </w:p>
        </w:tc>
        <w:tc>
          <w:tcPr>
            <w:tcW w:type="dxa" w:w="1949"/>
            <w:vAlign w:val="center"/>
            <w:shd w:fill="000099" w:val="clear"/>
          </w:tcPr>
          <w:p>
            <w:r>
              <w:rPr>
                <w:b/>
                <w:color w:val="FFFFFF"/>
              </w:rPr>
            </w:r>
            <w:r>
              <w:rPr>
                <w:rFonts w:ascii="Figtree" w:hAnsi="Figtree"/>
                <w:b/>
                <w:i w:val="0"/>
                <w:color w:val="FFFFFF"/>
                <w:sz w:val="22"/>
              </w:rPr>
              <w:t>Cost</w:t>
            </w:r>
          </w:p>
        </w:tc>
        <w:tc>
          <w:tcPr>
            <w:tcW w:type="dxa" w:w="1949"/>
            <w:vAlign w:val="center"/>
            <w:shd w:fill="000099" w:val="clear"/>
          </w:tcPr>
          <w:p>
            <w:r>
              <w:rPr>
                <w:b/>
                <w:color w:val="FFFFFF"/>
              </w:rPr>
            </w:r>
            <w:r>
              <w:rPr>
                <w:rFonts w:ascii="Figtree" w:hAnsi="Figtree"/>
                <w:b/>
                <w:i w:val="0"/>
                <w:color w:val="FFFFFF"/>
                <w:sz w:val="22"/>
              </w:rPr>
              <w:t>Recommendation</w:t>
            </w:r>
          </w:p>
        </w:tc>
      </w:tr>
      <w:tr>
        <w:trPr>
          <w:trHeight w:val="454" w:hRule="atLeast"/>
        </w:trPr>
        <w:tc>
          <w:tcPr>
            <w:tcW w:type="dxa" w:w="1949"/>
            <w:vAlign w:val="center"/>
          </w:tcPr>
          <w:p>
            <w:r/>
            <w:r>
              <w:rPr>
                <w:rFonts w:ascii="Figtree" w:hAnsi="Figtree"/>
                <w:b w:val="0"/>
                <w:i w:val="0"/>
                <w:sz w:val="22"/>
              </w:rPr>
              <w:t>Managed SaaS</w:t>
            </w:r>
          </w:p>
        </w:tc>
        <w:tc>
          <w:tcPr>
            <w:tcW w:type="dxa" w:w="1949"/>
            <w:vAlign w:val="center"/>
          </w:tcPr>
          <w:p>
            <w:r/>
            <w:r>
              <w:rPr>
                <w:rFonts w:ascii="Figtree" w:hAnsi="Figtree"/>
                <w:b w:val="0"/>
                <w:i w:val="0"/>
                <w:sz w:val="22"/>
              </w:rPr>
              <w:t>SettleMint-managed</w:t>
            </w:r>
          </w:p>
        </w:tc>
        <w:tc>
          <w:tcPr>
            <w:tcW w:type="dxa" w:w="1949"/>
            <w:vAlign w:val="center"/>
          </w:tcPr>
          <w:p>
            <w:r/>
            <w:r>
              <w:rPr>
                <w:rFonts w:ascii="Figtree" w:hAnsi="Figtree"/>
                <w:b w:val="0"/>
                <w:i w:val="0"/>
                <w:sz w:val="22"/>
              </w:rPr>
              <w:t>Low</w:t>
            </w:r>
          </w:p>
        </w:tc>
        <w:tc>
          <w:tcPr>
            <w:tcW w:type="dxa" w:w="1949"/>
            <w:vAlign w:val="center"/>
          </w:tcPr>
          <w:p>
            <w:r/>
            <w:r>
              <w:rPr>
                <w:rFonts w:ascii="Figtree" w:hAnsi="Figtree"/>
                <w:b w:val="0"/>
                <w:i w:val="0"/>
                <w:sz w:val="22"/>
              </w:rPr>
              <w:t>Lowest</w:t>
            </w:r>
          </w:p>
        </w:tc>
        <w:tc>
          <w:tcPr>
            <w:tcW w:type="dxa" w:w="1949"/>
            <w:vAlign w:val="center"/>
          </w:tcPr>
          <w:p>
            <w:r/>
            <w:r>
              <w:rPr>
                <w:rFonts w:ascii="Figtree" w:hAnsi="Figtree"/>
                <w:b w:val="0"/>
                <w:i w:val="0"/>
                <w:sz w:val="22"/>
              </w:rPr>
              <w:t>Not recommended (data residency)</w:t>
            </w:r>
          </w:p>
        </w:tc>
      </w:tr>
      <w:tr>
        <w:trPr>
          <w:trHeight w:val="454" w:hRule="atLeast"/>
        </w:trPr>
        <w:tc>
          <w:tcPr>
            <w:tcW w:type="dxa" w:w="1949"/>
            <w:vAlign w:val="center"/>
          </w:tcPr>
          <w:p>
            <w:r/>
            <w:r>
              <w:rPr>
                <w:rFonts w:ascii="Figtree" w:hAnsi="Figtree"/>
                <w:b w:val="0"/>
                <w:i w:val="0"/>
                <w:sz w:val="22"/>
              </w:rPr>
              <w:t>Dedicated Cloud</w:t>
            </w:r>
          </w:p>
        </w:tc>
        <w:tc>
          <w:tcPr>
            <w:tcW w:type="dxa" w:w="1949"/>
            <w:vAlign w:val="center"/>
          </w:tcPr>
          <w:p>
            <w:r/>
            <w:r>
              <w:rPr>
                <w:rFonts w:ascii="Figtree" w:hAnsi="Figtree"/>
                <w:b w:val="0"/>
                <w:i w:val="0"/>
                <w:sz w:val="22"/>
              </w:rPr>
              <w:t>UAE-resident</w:t>
            </w:r>
          </w:p>
        </w:tc>
        <w:tc>
          <w:tcPr>
            <w:tcW w:type="dxa" w:w="1949"/>
            <w:vAlign w:val="center"/>
          </w:tcPr>
          <w:p>
            <w:r/>
            <w:r>
              <w:rPr>
                <w:rFonts w:ascii="Figtree" w:hAnsi="Figtree"/>
                <w:b w:val="0"/>
                <w:i w:val="0"/>
                <w:sz w:val="22"/>
              </w:rPr>
              <w:t>Medium</w:t>
            </w:r>
          </w:p>
        </w:tc>
        <w:tc>
          <w:tcPr>
            <w:tcW w:type="dxa" w:w="1949"/>
            <w:vAlign w:val="center"/>
          </w:tcPr>
          <w:p>
            <w:r/>
            <w:r>
              <w:rPr>
                <w:rFonts w:ascii="Figtree" w:hAnsi="Figtree"/>
                <w:b w:val="0"/>
                <w:i w:val="0"/>
                <w:sz w:val="22"/>
              </w:rPr>
              <w:t>Medium</w:t>
            </w:r>
          </w:p>
        </w:tc>
        <w:tc>
          <w:tcPr>
            <w:tcW w:type="dxa" w:w="1949"/>
            <w:vAlign w:val="center"/>
          </w:tcPr>
          <w:p>
            <w:r/>
            <w:r>
              <w:rPr>
                <w:rFonts w:ascii="Figtree" w:hAnsi="Figtree"/>
                <w:b/>
                <w:i w:val="0"/>
                <w:sz w:val="22"/>
              </w:rPr>
              <w:t>Recommended</w:t>
            </w:r>
          </w:p>
        </w:tc>
      </w:tr>
      <w:tr>
        <w:trPr>
          <w:trHeight w:val="454" w:hRule="atLeast"/>
        </w:trPr>
        <w:tc>
          <w:tcPr>
            <w:tcW w:type="dxa" w:w="1949"/>
            <w:vAlign w:val="center"/>
          </w:tcPr>
          <w:p>
            <w:r/>
            <w:r>
              <w:rPr>
                <w:rFonts w:ascii="Figtree" w:hAnsi="Figtree"/>
                <w:b w:val="0"/>
                <w:i w:val="0"/>
                <w:sz w:val="22"/>
              </w:rPr>
              <w:t>On-Premises</w:t>
            </w:r>
          </w:p>
        </w:tc>
        <w:tc>
          <w:tcPr>
            <w:tcW w:type="dxa" w:w="1949"/>
            <w:vAlign w:val="center"/>
          </w:tcPr>
          <w:p>
            <w:r/>
            <w:r>
              <w:rPr>
                <w:rFonts w:ascii="Figtree" w:hAnsi="Figtree"/>
                <w:b w:val="0"/>
                <w:i w:val="0"/>
                <w:sz w:val="22"/>
              </w:rPr>
              <w:t>Emirates NBD DC</w:t>
            </w:r>
          </w:p>
        </w:tc>
        <w:tc>
          <w:tcPr>
            <w:tcW w:type="dxa" w:w="1949"/>
            <w:vAlign w:val="center"/>
          </w:tcPr>
          <w:p>
            <w:r/>
            <w:r>
              <w:rPr>
                <w:rFonts w:ascii="Figtree" w:hAnsi="Figtree"/>
                <w:b w:val="0"/>
                <w:i w:val="0"/>
                <w:sz w:val="22"/>
              </w:rPr>
              <w:t>High</w:t>
            </w:r>
          </w:p>
        </w:tc>
        <w:tc>
          <w:tcPr>
            <w:tcW w:type="dxa" w:w="1949"/>
            <w:vAlign w:val="center"/>
          </w:tcPr>
          <w:p>
            <w:r/>
            <w:r>
              <w:rPr>
                <w:rFonts w:ascii="Figtree" w:hAnsi="Figtree"/>
                <w:b w:val="0"/>
                <w:i w:val="0"/>
                <w:sz w:val="22"/>
              </w:rPr>
              <w:t>Highest</w:t>
            </w:r>
          </w:p>
        </w:tc>
        <w:tc>
          <w:tcPr>
            <w:tcW w:type="dxa" w:w="1949"/>
            <w:vAlign w:val="center"/>
          </w:tcPr>
          <w:p>
            <w:r/>
            <w:r>
              <w:rPr>
                <w:rFonts w:ascii="Figtree" w:hAnsi="Figtree"/>
                <w:b w:val="0"/>
                <w:i w:val="0"/>
                <w:sz w:val="22"/>
              </w:rPr>
              <w:t>Available if required</w:t>
            </w:r>
          </w:p>
        </w:tc>
      </w:tr>
      <w:tr>
        <w:trPr>
          <w:trHeight w:val="454" w:hRule="atLeast"/>
        </w:trPr>
        <w:tc>
          <w:tcPr>
            <w:tcW w:type="dxa" w:w="1949"/>
            <w:vAlign w:val="center"/>
          </w:tcPr>
          <w:p>
            <w:r/>
            <w:r>
              <w:rPr>
                <w:rFonts w:ascii="Figtree" w:hAnsi="Figtree"/>
                <w:b w:val="0"/>
                <w:i w:val="0"/>
                <w:sz w:val="22"/>
              </w:rPr>
              <w:t>Hybrid</w:t>
            </w:r>
          </w:p>
        </w:tc>
        <w:tc>
          <w:tcPr>
            <w:tcW w:type="dxa" w:w="1949"/>
            <w:vAlign w:val="center"/>
          </w:tcPr>
          <w:p>
            <w:r/>
            <w:r>
              <w:rPr>
                <w:rFonts w:ascii="Figtree" w:hAnsi="Figtree"/>
                <w:b w:val="0"/>
                <w:i w:val="0"/>
                <w:sz w:val="22"/>
              </w:rPr>
              <w:t>Split</w:t>
            </w:r>
          </w:p>
        </w:tc>
        <w:tc>
          <w:tcPr>
            <w:tcW w:type="dxa" w:w="1949"/>
            <w:vAlign w:val="center"/>
          </w:tcPr>
          <w:p>
            <w:r/>
            <w:r>
              <w:rPr>
                <w:rFonts w:ascii="Figtree" w:hAnsi="Figtree"/>
                <w:b w:val="0"/>
                <w:i w:val="0"/>
                <w:sz w:val="22"/>
              </w:rPr>
              <w:t>High</w:t>
            </w:r>
          </w:p>
        </w:tc>
        <w:tc>
          <w:tcPr>
            <w:tcW w:type="dxa" w:w="1949"/>
            <w:vAlign w:val="center"/>
          </w:tcPr>
          <w:p>
            <w:r/>
            <w:r>
              <w:rPr>
                <w:rFonts w:ascii="Figtree" w:hAnsi="Figtree"/>
                <w:b w:val="0"/>
                <w:i w:val="0"/>
                <w:sz w:val="22"/>
              </w:rPr>
              <w:t>High</w:t>
            </w:r>
          </w:p>
        </w:tc>
        <w:tc>
          <w:tcPr>
            <w:tcW w:type="dxa" w:w="1949"/>
            <w:vAlign w:val="center"/>
          </w:tcPr>
          <w:p>
            <w:r/>
            <w:r>
              <w:rPr>
                <w:rFonts w:ascii="Figtree" w:hAnsi="Figtree"/>
                <w:b w:val="0"/>
                <w:i w:val="0"/>
                <w:sz w:val="22"/>
              </w:rPr>
              <w:t>Unnecessary complexity</w:t>
            </w:r>
          </w:p>
        </w:tc>
      </w:tr>
    </w:tbl>
    <w:p>
      <w:pPr>
        <w:pStyle w:val="H3"/>
        <w:numPr>
          <w:ilvl w:val="2"/>
          <w:numId w:val="1"/>
        </w:numPr>
      </w:pPr>
      <w:r>
        <w:t>Infrastructure Requirements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Component</w:t>
            </w:r>
          </w:p>
        </w:tc>
        <w:tc>
          <w:tcPr>
            <w:tcW w:type="dxa" w:w="4873"/>
            <w:vAlign w:val="center"/>
            <w:shd w:fill="000099" w:val="clear"/>
          </w:tcPr>
          <w:p>
            <w:r>
              <w:rPr>
                <w:b/>
                <w:color w:val="FFFFFF"/>
              </w:rPr>
            </w:r>
            <w:r>
              <w:rPr>
                <w:rFonts w:ascii="Figtree" w:hAnsi="Figtree"/>
                <w:b/>
                <w:i w:val="0"/>
                <w:color w:val="FFFFFF"/>
                <w:sz w:val="22"/>
              </w:rPr>
              <w:t>Minimum Specification</w:t>
            </w:r>
          </w:p>
        </w:tc>
      </w:tr>
      <w:tr>
        <w:trPr>
          <w:trHeight w:val="454" w:hRule="atLeast"/>
        </w:trPr>
        <w:tc>
          <w:tcPr>
            <w:tcW w:type="dxa" w:w="4873"/>
            <w:vAlign w:val="center"/>
          </w:tcPr>
          <w:p>
            <w:r/>
            <w:r>
              <w:rPr>
                <w:rFonts w:ascii="Figtree" w:hAnsi="Figtree"/>
                <w:b w:val="0"/>
                <w:i w:val="0"/>
                <w:sz w:val="22"/>
              </w:rPr>
              <w:t>Kubernetes cluster</w:t>
            </w:r>
          </w:p>
        </w:tc>
        <w:tc>
          <w:tcPr>
            <w:tcW w:type="dxa" w:w="4873"/>
            <w:vAlign w:val="center"/>
          </w:tcPr>
          <w:p>
            <w:r/>
            <w:r>
              <w:rPr>
                <w:rFonts w:ascii="Figtree" w:hAnsi="Figtree"/>
                <w:b w:val="0"/>
                <w:i w:val="0"/>
                <w:sz w:val="22"/>
              </w:rPr>
              <w:t>3+ worker nodes, 8 vCPU / 32 GB RAM each</w:t>
            </w:r>
          </w:p>
        </w:tc>
      </w:tr>
      <w:tr>
        <w:trPr>
          <w:trHeight w:val="454" w:hRule="atLeast"/>
        </w:trPr>
        <w:tc>
          <w:tcPr>
            <w:tcW w:type="dxa" w:w="4873"/>
            <w:vAlign w:val="center"/>
          </w:tcPr>
          <w:p>
            <w:r/>
            <w:r>
              <w:rPr>
                <w:rFonts w:ascii="Figtree" w:hAnsi="Figtree"/>
                <w:b w:val="0"/>
                <w:i w:val="0"/>
                <w:sz w:val="22"/>
              </w:rPr>
              <w:t>PostgreSQL</w:t>
            </w:r>
          </w:p>
        </w:tc>
        <w:tc>
          <w:tcPr>
            <w:tcW w:type="dxa" w:w="4873"/>
            <w:vAlign w:val="center"/>
          </w:tcPr>
          <w:p>
            <w:r/>
            <w:r>
              <w:rPr>
                <w:rFonts w:ascii="Figtree" w:hAnsi="Figtree"/>
                <w:b w:val="0"/>
                <w:i w:val="0"/>
                <w:sz w:val="22"/>
              </w:rPr>
              <w:t>Multi-AZ, 16 vCPU / 64 GB RAM, 500 GB SSD</w:t>
            </w:r>
          </w:p>
        </w:tc>
      </w:tr>
      <w:tr>
        <w:trPr>
          <w:trHeight w:val="454" w:hRule="atLeast"/>
        </w:trPr>
        <w:tc>
          <w:tcPr>
            <w:tcW w:type="dxa" w:w="4873"/>
            <w:vAlign w:val="center"/>
          </w:tcPr>
          <w:p>
            <w:r/>
            <w:r>
              <w:rPr>
                <w:rFonts w:ascii="Figtree" w:hAnsi="Figtree"/>
                <w:b w:val="0"/>
                <w:i w:val="0"/>
                <w:sz w:val="22"/>
              </w:rPr>
              <w:t>Redis</w:t>
            </w:r>
          </w:p>
        </w:tc>
        <w:tc>
          <w:tcPr>
            <w:tcW w:type="dxa" w:w="4873"/>
            <w:vAlign w:val="center"/>
          </w:tcPr>
          <w:p>
            <w:r/>
            <w:r>
              <w:rPr>
                <w:rFonts w:ascii="Figtree" w:hAnsi="Figtree"/>
                <w:b w:val="0"/>
                <w:i w:val="0"/>
                <w:sz w:val="22"/>
              </w:rPr>
              <w:t>Cluster mode, 2 replicas</w:t>
            </w:r>
          </w:p>
        </w:tc>
      </w:tr>
      <w:tr>
        <w:trPr>
          <w:trHeight w:val="454" w:hRule="atLeast"/>
        </w:trPr>
        <w:tc>
          <w:tcPr>
            <w:tcW w:type="dxa" w:w="4873"/>
            <w:vAlign w:val="center"/>
          </w:tcPr>
          <w:p>
            <w:r/>
            <w:r>
              <w:rPr>
                <w:rFonts w:ascii="Figtree" w:hAnsi="Figtree"/>
                <w:b w:val="0"/>
                <w:i w:val="0"/>
                <w:sz w:val="22"/>
              </w:rPr>
              <w:t>Object storage</w:t>
            </w:r>
          </w:p>
        </w:tc>
        <w:tc>
          <w:tcPr>
            <w:tcW w:type="dxa" w:w="4873"/>
            <w:vAlign w:val="center"/>
          </w:tcPr>
          <w:p>
            <w:r/>
            <w:r>
              <w:rPr>
                <w:rFonts w:ascii="Figtree" w:hAnsi="Figtree"/>
                <w:b w:val="0"/>
                <w:i w:val="0"/>
                <w:sz w:val="22"/>
              </w:rPr>
              <w:t>Encrypted, versioned</w:t>
            </w:r>
          </w:p>
        </w:tc>
      </w:tr>
      <w:tr>
        <w:trPr>
          <w:trHeight w:val="454" w:hRule="atLeast"/>
        </w:trPr>
        <w:tc>
          <w:tcPr>
            <w:tcW w:type="dxa" w:w="4873"/>
            <w:vAlign w:val="center"/>
          </w:tcPr>
          <w:p>
            <w:r/>
            <w:r>
              <w:rPr>
                <w:rFonts w:ascii="Figtree" w:hAnsi="Figtree"/>
                <w:b w:val="0"/>
                <w:i w:val="0"/>
                <w:sz w:val="22"/>
              </w:rPr>
              <w:t>Blockchain nodes</w:t>
            </w:r>
          </w:p>
        </w:tc>
        <w:tc>
          <w:tcPr>
            <w:tcW w:type="dxa" w:w="4873"/>
            <w:vAlign w:val="center"/>
          </w:tcPr>
          <w:p>
            <w:r/>
            <w:r>
              <w:rPr>
                <w:rFonts w:ascii="Figtree" w:hAnsi="Figtree"/>
                <w:b w:val="0"/>
                <w:i w:val="0"/>
                <w:sz w:val="22"/>
              </w:rPr>
              <w:t>4 validator nodes, 4 vCPU / 16 GB RAM each</w:t>
            </w:r>
          </w:p>
        </w:tc>
      </w:tr>
      <w:tr>
        <w:trPr>
          <w:trHeight w:val="454" w:hRule="atLeast"/>
        </w:trPr>
        <w:tc>
          <w:tcPr>
            <w:tcW w:type="dxa" w:w="4873"/>
            <w:vAlign w:val="center"/>
          </w:tcPr>
          <w:p>
            <w:r/>
            <w:r>
              <w:rPr>
                <w:rFonts w:ascii="Figtree" w:hAnsi="Figtree"/>
                <w:b w:val="0"/>
                <w:i w:val="0"/>
                <w:sz w:val="22"/>
              </w:rPr>
              <w:t>Network</w:t>
            </w:r>
          </w:p>
        </w:tc>
        <w:tc>
          <w:tcPr>
            <w:tcW w:type="dxa" w:w="4873"/>
            <w:vAlign w:val="center"/>
          </w:tcPr>
          <w:p>
            <w:r/>
            <w:r>
              <w:rPr>
                <w:rFonts w:ascii="Figtree" w:hAnsi="Figtree"/>
                <w:b w:val="0"/>
                <w:i w:val="0"/>
                <w:sz w:val="22"/>
              </w:rPr>
              <w:t>Private subnets, NAT gateway, VPN tunnel to Emirates NBD</w:t>
            </w:r>
          </w:p>
        </w:tc>
      </w:tr>
    </w:tbl>
    <w:p>
      <w:pPr>
        <w:pStyle w:val="H3"/>
        <w:numPr>
          <w:ilvl w:val="2"/>
          <w:numId w:val="1"/>
        </w:numPr>
      </w:pPr>
      <w:r>
        <w:t>Availability and DR</w:t>
      </w:r>
    </w:p>
    <w:p>
      <w:pPr>
        <w:pStyle w:val="ListParagraph"/>
        <w:numPr>
          <w:ilvl w:val="0"/>
          <w:numId w:val="4"/>
        </w:numPr>
      </w:pPr>
      <w:r>
        <w:rPr>
          <w:rFonts w:ascii="Figtree" w:hAnsi="Figtree"/>
          <w:b w:val="0"/>
          <w:i w:val="0"/>
          <w:sz w:val="22"/>
        </w:rPr>
        <w:t>Multi-AZ deployment within the selected region</w:t>
      </w:r>
    </w:p>
    <w:p>
      <w:pPr>
        <w:pStyle w:val="ListParagraph"/>
        <w:numPr>
          <w:ilvl w:val="0"/>
          <w:numId w:val="4"/>
        </w:numPr>
      </w:pPr>
      <w:r>
        <w:rPr>
          <w:rFonts w:ascii="Figtree" w:hAnsi="Figtree"/>
          <w:b w:val="0"/>
          <w:i w:val="0"/>
          <w:sz w:val="22"/>
        </w:rPr>
        <w:t>Continuous blockchain state replication</w:t>
      </w:r>
    </w:p>
    <w:p>
      <w:pPr>
        <w:pStyle w:val="ListParagraph"/>
        <w:numPr>
          <w:ilvl w:val="0"/>
          <w:numId w:val="4"/>
        </w:numPr>
      </w:pPr>
      <w:r>
        <w:rPr>
          <w:rFonts w:ascii="Figtree" w:hAnsi="Figtree"/>
          <w:b w:val="0"/>
          <w:i w:val="0"/>
          <w:sz w:val="22"/>
        </w:rPr>
        <w:t>Hourly application state snapshots</w:t>
      </w:r>
    </w:p>
    <w:p>
      <w:pPr>
        <w:pStyle w:val="ListParagraph"/>
        <w:numPr>
          <w:ilvl w:val="0"/>
          <w:numId w:val="4"/>
        </w:numPr>
      </w:pPr>
      <w:r>
        <w:rPr>
          <w:rFonts w:ascii="Figtree" w:hAnsi="Figtree"/>
          <w:b w:val="0"/>
          <w:i w:val="0"/>
          <w:sz w:val="22"/>
        </w:rPr>
        <w:t>Automated failover for database and cache layers</w:t>
      </w:r>
    </w:p>
    <w:p>
      <w:pPr>
        <w:pStyle w:val="ListParagraph"/>
        <w:numPr>
          <w:ilvl w:val="0"/>
          <w:numId w:val="4"/>
        </w:numPr>
      </w:pPr>
      <w:r>
        <w:rPr>
          <w:rFonts w:ascii="Figtree" w:hAnsi="Figtree"/>
          <w:b w:val="0"/>
          <w:i w:val="0"/>
          <w:sz w:val="22"/>
        </w:rPr>
        <w:t>DR environment with tested backup and restore procedures</w:t>
      </w:r>
    </w:p>
    <w:p>
      <w:r>
        <w:br w:type="page"/>
      </w:r>
    </w:p>
    <w:p>
      <w:pPr>
        <w:pStyle w:val="H2"/>
        <w:numPr>
          <w:ilvl w:val="1"/>
          <w:numId w:val="1"/>
        </w:numPr>
      </w:pPr>
      <w:r>
        <w:t>Training and Knowledge Transfer</w:t>
      </w:r>
    </w:p>
    <w:p>
      <w:pPr>
        <w:pStyle w:val="H3"/>
        <w:numPr>
          <w:ilvl w:val="2"/>
          <w:numId w:val="1"/>
        </w:numPr>
      </w:pPr>
      <w:r>
        <w:t>Training Strategy</w:t>
      </w:r>
    </w:p>
    <w:p>
      <w:r>
        <w:rPr>
          <w:rFonts w:ascii="Figtree" w:hAnsi="Figtree"/>
          <w:b w:val="0"/>
          <w:i w:val="0"/>
          <w:sz w:val="22"/>
        </w:rPr>
        <w:t>Knowledge transfer is organized into three tracks, each targeting a different audience within Emirates NBD:</w:t>
      </w:r>
    </w:p>
    <w:p>
      <w:pPr>
        <w:pStyle w:val="H3"/>
        <w:numPr>
          <w:ilvl w:val="2"/>
          <w:numId w:val="1"/>
        </w:numPr>
      </w:pPr>
      <w:r>
        <w:t>Administrator Track</w:t>
      </w:r>
    </w:p>
    <w:p>
      <w:r>
        <w:rPr>
          <w:rFonts w:ascii="Figtree" w:hAnsi="Figtree"/>
          <w:b/>
          <w:i w:val="0"/>
          <w:sz w:val="22"/>
        </w:rPr>
        <w:t>Audience:</w:t>
      </w:r>
      <w:r>
        <w:rPr>
          <w:rFonts w:ascii="Figtree" w:hAnsi="Figtree"/>
          <w:b w:val="0"/>
          <w:i w:val="0"/>
          <w:sz w:val="22"/>
        </w:rPr>
        <w:t xml:space="preserve"> Platform administrators, operations managers</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Content:</w:t>
      </w:r>
      <w:r>
        <w:rPr>
          <w:rFonts w:ascii="Figtree" w:hAnsi="Figtree"/>
          <w:b w:val="0"/>
          <w:i w:val="0"/>
          <w:sz w:val="22"/>
        </w:rPr>
        <w:t xml:space="preserve"> Platform configuration, user management, RBAC assignment, compliance module administration, monitoring dashboard interpretation, incident response procedures</w:t>
      </w:r>
    </w:p>
    <w:p>
      <w:pPr>
        <w:pStyle w:val="H3"/>
        <w:numPr>
          <w:ilvl w:val="2"/>
          <w:numId w:val="1"/>
        </w:numPr>
      </w:pPr>
      <w:r>
        <w:t>Developer / Integration Track</w:t>
      </w:r>
    </w:p>
    <w:p>
      <w:r>
        <w:rPr>
          <w:rFonts w:ascii="Figtree" w:hAnsi="Figtree"/>
          <w:b/>
          <w:i w:val="0"/>
          <w:sz w:val="22"/>
        </w:rPr>
        <w:t>Audience:</w:t>
      </w:r>
      <w:r>
        <w:rPr>
          <w:rFonts w:ascii="Figtree" w:hAnsi="Figtree"/>
          <w:b w:val="0"/>
          <w:i w:val="0"/>
          <w:sz w:val="22"/>
        </w:rPr>
        <w:t xml:space="preserve"> Integration engineers, API consumers</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Content:</w:t>
      </w:r>
      <w:r>
        <w:rPr>
          <w:rFonts w:ascii="Figtree" w:hAnsi="Figtree"/>
          <w:b w:val="0"/>
          <w:i w:val="0"/>
          <w:sz w:val="22"/>
        </w:rPr>
        <w:t xml:space="preserve"> REST API v2 usage, SDK integration patterns, webhook configuration, CLI operations, smart contract interaction patterns, test automation</w:t>
      </w:r>
    </w:p>
    <w:p>
      <w:pPr>
        <w:pStyle w:val="H3"/>
        <w:numPr>
          <w:ilvl w:val="2"/>
          <w:numId w:val="1"/>
        </w:numPr>
      </w:pPr>
      <w:r>
        <w:t>Operations Track</w:t>
      </w:r>
    </w:p>
    <w:p>
      <w:r>
        <w:rPr>
          <w:rFonts w:ascii="Figtree" w:hAnsi="Figtree"/>
          <w:b/>
          <w:i w:val="0"/>
          <w:sz w:val="22"/>
        </w:rPr>
        <w:t>Audience:</w:t>
      </w:r>
      <w:r>
        <w:rPr>
          <w:rFonts w:ascii="Figtree" w:hAnsi="Figtree"/>
          <w:b w:val="0"/>
          <w:i w:val="0"/>
          <w:sz w:val="22"/>
        </w:rPr>
        <w:t xml:space="preserve"> Operations staff, support teams</w:t>
      </w:r>
    </w:p>
    <w:p>
      <w:r>
        <w:rPr>
          <w:rFonts w:ascii="Figtree" w:hAnsi="Figtree"/>
          <w:b/>
          <w:i w:val="0"/>
          <w:sz w:val="22"/>
        </w:rPr>
        <w:t>Duration:</w:t>
      </w:r>
      <w:r>
        <w:rPr>
          <w:rFonts w:ascii="Figtree" w:hAnsi="Figtree"/>
          <w:b w:val="0"/>
          <w:i w:val="0"/>
          <w:sz w:val="22"/>
        </w:rPr>
        <w:t xml:space="preserve"> 2 days</w:t>
      </w:r>
    </w:p>
    <w:p>
      <w:r>
        <w:rPr>
          <w:rFonts w:ascii="Figtree" w:hAnsi="Figtree"/>
          <w:b/>
          <w:i w:val="0"/>
          <w:sz w:val="22"/>
        </w:rPr>
        <w:t>Content:</w:t>
      </w:r>
      <w:r>
        <w:rPr>
          <w:rFonts w:ascii="Figtree" w:hAnsi="Figtree"/>
          <w:b w:val="0"/>
          <w:i w:val="0"/>
          <w:sz w:val="22"/>
        </w:rPr>
        <w:t xml:space="preserve"> Day-to-day operations, trade finance workflow management, settlement monitoring, exception handling, reporting and audit evidence extraction</w:t>
      </w:r>
    </w:p>
    <w:p>
      <w:pPr>
        <w:pStyle w:val="H3"/>
        <w:numPr>
          <w:ilvl w:val="2"/>
          <w:numId w:val="1"/>
        </w:numPr>
      </w:pPr>
      <w:r>
        <w:t>Knowledge Transfer Method</w:t>
      </w:r>
    </w:p>
    <w:p>
      <w:pPr>
        <w:pStyle w:val="ListParagraph"/>
        <w:numPr>
          <w:ilvl w:val="0"/>
          <w:numId w:val="4"/>
        </w:numPr>
      </w:pPr>
      <w:r>
        <w:rPr>
          <w:rFonts w:ascii="Figtree" w:hAnsi="Figtree"/>
          <w:b/>
          <w:i w:val="0"/>
          <w:sz w:val="22"/>
        </w:rPr>
        <w:t>Guided labs:</w:t>
      </w:r>
      <w:r>
        <w:rPr>
          <w:rFonts w:ascii="Figtree" w:hAnsi="Figtree"/>
          <w:b w:val="0"/>
          <w:i w:val="0"/>
          <w:sz w:val="22"/>
        </w:rPr>
        <w:t xml:space="preserve"> Hands-on exercises in Emirates NBD's UAT environment</w:t>
      </w:r>
    </w:p>
    <w:p>
      <w:pPr>
        <w:pStyle w:val="ListParagraph"/>
        <w:numPr>
          <w:ilvl w:val="0"/>
          <w:numId w:val="4"/>
        </w:numPr>
      </w:pPr>
      <w:r>
        <w:rPr>
          <w:rFonts w:ascii="Figtree" w:hAnsi="Figtree"/>
          <w:b/>
          <w:i w:val="0"/>
          <w:sz w:val="22"/>
        </w:rPr>
        <w:t>Shadowing:</w:t>
      </w:r>
      <w:r>
        <w:rPr>
          <w:rFonts w:ascii="Figtree" w:hAnsi="Figtree"/>
          <w:b w:val="0"/>
          <w:i w:val="0"/>
          <w:sz w:val="22"/>
        </w:rPr>
        <w:t xml:space="preserve"> SettleMint engineers work alongside Emirates NBD teams during hypercare</w:t>
      </w:r>
    </w:p>
    <w:p>
      <w:pPr>
        <w:pStyle w:val="ListParagraph"/>
        <w:numPr>
          <w:ilvl w:val="0"/>
          <w:numId w:val="4"/>
        </w:numPr>
      </w:pPr>
      <w:r>
        <w:rPr>
          <w:rFonts w:ascii="Figtree" w:hAnsi="Figtree"/>
          <w:b/>
          <w:i w:val="0"/>
          <w:sz w:val="22"/>
        </w:rPr>
        <w:t>Runbooks:</w:t>
      </w:r>
      <w:r>
        <w:rPr>
          <w:rFonts w:ascii="Figtree" w:hAnsi="Figtree"/>
          <w:b w:val="0"/>
          <w:i w:val="0"/>
          <w:sz w:val="22"/>
        </w:rPr>
        <w:t xml:space="preserve"> Documented operational procedures for all routine and exception scenarios</w:t>
      </w:r>
    </w:p>
    <w:p>
      <w:pPr>
        <w:pStyle w:val="ListParagraph"/>
        <w:numPr>
          <w:ilvl w:val="0"/>
          <w:numId w:val="4"/>
        </w:numPr>
      </w:pPr>
      <w:r>
        <w:rPr>
          <w:rFonts w:ascii="Figtree" w:hAnsi="Figtree"/>
          <w:b/>
          <w:i w:val="0"/>
          <w:sz w:val="22"/>
        </w:rPr>
        <w:t>Operational readiness assessment:</w:t>
      </w:r>
      <w:r>
        <w:rPr>
          <w:rFonts w:ascii="Figtree" w:hAnsi="Figtree"/>
          <w:b w:val="0"/>
          <w:i w:val="0"/>
          <w:sz w:val="22"/>
        </w:rPr>
        <w:t xml:space="preserve"> Formal evaluation of Emirates NBD team capability before support transition</w:t>
      </w:r>
    </w:p>
    <w:p>
      <w:r>
        <w:br w:type="page"/>
      </w:r>
    </w:p>
    <w:p>
      <w:pPr>
        <w:pStyle w:val="H2"/>
        <w:numPr>
          <w:ilvl w:val="1"/>
          <w:numId w:val="1"/>
        </w:numPr>
      </w:pPr>
      <w:r>
        <w:t>Support and SLA</w:t>
      </w:r>
    </w:p>
    <w:p>
      <w:pPr>
        <w:pStyle w:val="H3"/>
        <w:numPr>
          <w:ilvl w:val="2"/>
          <w:numId w:val="1"/>
        </w:numPr>
      </w:pPr>
      <w:r>
        <w:t>Recommended: Premium Support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Premium Configuration for Emirates NBD</w:t>
            </w:r>
          </w:p>
        </w:tc>
      </w:tr>
      <w:tr>
        <w:trPr>
          <w:trHeight w:val="454" w:hRule="atLeast"/>
        </w:trPr>
        <w:tc>
          <w:tcPr>
            <w:tcW w:type="dxa" w:w="4873"/>
            <w:vAlign w:val="center"/>
          </w:tcPr>
          <w:p>
            <w:r/>
            <w:r>
              <w:rPr>
                <w:rFonts w:ascii="Figtree" w:hAnsi="Figtree"/>
                <w:b w:val="0"/>
                <w:i w:val="0"/>
                <w:sz w:val="22"/>
              </w:rPr>
              <w:t>Coverage hours</w:t>
            </w:r>
          </w:p>
        </w:tc>
        <w:tc>
          <w:tcPr>
            <w:tcW w:type="dxa" w:w="4873"/>
            <w:vAlign w:val="center"/>
          </w:tcPr>
          <w:p>
            <w:r/>
            <w:r>
              <w:rPr>
                <w:rFonts w:ascii="Figtree" w:hAnsi="Figtree"/>
                <w:b w:val="0"/>
                <w:i w:val="0"/>
                <w:sz w:val="22"/>
              </w:rPr>
              <w:t>16×5 (Sunday–Thursday for UAE alignment)</w:t>
            </w:r>
          </w:p>
        </w:tc>
      </w:tr>
      <w:tr>
        <w:trPr>
          <w:trHeight w:val="454" w:hRule="atLeast"/>
        </w:trPr>
        <w:tc>
          <w:tcPr>
            <w:tcW w:type="dxa" w:w="4873"/>
            <w:vAlign w:val="center"/>
          </w:tcPr>
          <w:p>
            <w:r/>
            <w:r>
              <w:rPr>
                <w:rFonts w:ascii="Figtree" w:hAnsi="Figtree"/>
                <w:b w:val="0"/>
                <w:i w:val="0"/>
                <w:sz w:val="22"/>
              </w:rPr>
              <w:t>P1 response time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 time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P3 response time</w:t>
            </w:r>
          </w:p>
        </w:tc>
        <w:tc>
          <w:tcPr>
            <w:tcW w:type="dxa" w:w="4873"/>
            <w:vAlign w:val="center"/>
          </w:tcPr>
          <w:p>
            <w:r/>
            <w:r>
              <w:rPr>
                <w:rFonts w:ascii="Figtree" w:hAnsi="Figtree"/>
                <w:b w:val="0"/>
                <w:i w:val="0"/>
                <w:sz w:val="22"/>
              </w:rPr>
              <w:t>1 business day</w:t>
            </w:r>
          </w:p>
        </w:tc>
      </w:tr>
      <w:tr>
        <w:trPr>
          <w:trHeight w:val="454" w:hRule="atLeast"/>
        </w:trPr>
        <w:tc>
          <w:tcPr>
            <w:tcW w:type="dxa" w:w="4873"/>
            <w:vAlign w:val="center"/>
          </w:tcPr>
          <w:p>
            <w:r/>
            <w:r>
              <w:rPr>
                <w:rFonts w:ascii="Figtree" w:hAnsi="Figtree"/>
                <w:b w:val="0"/>
                <w:i w:val="0"/>
                <w:sz w:val="22"/>
              </w:rPr>
              <w:t>P4 response time</w:t>
            </w:r>
          </w:p>
        </w:tc>
        <w:tc>
          <w:tcPr>
            <w:tcW w:type="dxa" w:w="4873"/>
            <w:vAlign w:val="center"/>
          </w:tcPr>
          <w:p>
            <w:r/>
            <w:r>
              <w:rPr>
                <w:rFonts w:ascii="Figtree" w:hAnsi="Figtree"/>
                <w:b w:val="0"/>
                <w:i w:val="0"/>
                <w:sz w:val="22"/>
              </w:rPr>
              <w:t>3 business days</w:t>
            </w:r>
          </w:p>
        </w:tc>
      </w:tr>
      <w:tr>
        <w:trPr>
          <w:trHeight w:val="454" w:hRule="atLeast"/>
        </w:trPr>
        <w:tc>
          <w:tcPr>
            <w:tcW w:type="dxa" w:w="4873"/>
            <w:vAlign w:val="center"/>
          </w:tcPr>
          <w:p>
            <w:r/>
            <w:r>
              <w:rPr>
                <w:rFonts w:ascii="Figtree" w:hAnsi="Figtree"/>
                <w:b w:val="0"/>
                <w:i w:val="0"/>
                <w:sz w:val="22"/>
              </w:rPr>
              <w:t>Dedicated support engineer</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Support channels</w:t>
            </w:r>
          </w:p>
        </w:tc>
        <w:tc>
          <w:tcPr>
            <w:tcW w:type="dxa" w:w="4873"/>
            <w:vAlign w:val="center"/>
          </w:tcPr>
          <w:p>
            <w:r/>
            <w:r>
              <w:rPr>
                <w:rFonts w:ascii="Figtree" w:hAnsi="Figtree"/>
                <w:b w:val="0"/>
                <w:i w:val="0"/>
                <w:sz w:val="22"/>
              </w:rPr>
              <w:t>Email, portal, dedicated Slack/Teams, phone escalation</w:t>
            </w:r>
          </w:p>
        </w:tc>
      </w:tr>
      <w:tr>
        <w:trPr>
          <w:trHeight w:val="454" w:hRule="atLeast"/>
        </w:trPr>
        <w:tc>
          <w:tcPr>
            <w:tcW w:type="dxa" w:w="4873"/>
            <w:vAlign w:val="center"/>
          </w:tcPr>
          <w:p>
            <w:r/>
            <w:r>
              <w:rPr>
                <w:rFonts w:ascii="Figtree" w:hAnsi="Figtree"/>
                <w:b w:val="0"/>
                <w:i w:val="0"/>
                <w:sz w:val="22"/>
              </w:rPr>
              <w:t>Named contacts</w:t>
            </w:r>
          </w:p>
        </w:tc>
        <w:tc>
          <w:tcPr>
            <w:tcW w:type="dxa" w:w="4873"/>
            <w:vAlign w:val="center"/>
          </w:tcPr>
          <w:p>
            <w:r/>
            <w:r>
              <w:rPr>
                <w:rFonts w:ascii="Figtree" w:hAnsi="Figtree"/>
                <w:b w:val="0"/>
                <w:i w:val="0"/>
                <w:sz w:val="22"/>
              </w:rPr>
              <w:t>Up to 8 authorized</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99.95% monthly</w:t>
            </w:r>
          </w:p>
        </w:tc>
      </w:tr>
      <w:tr>
        <w:trPr>
          <w:trHeight w:val="454" w:hRule="atLeast"/>
        </w:trPr>
        <w:tc>
          <w:tcPr>
            <w:tcW w:type="dxa" w:w="4873"/>
            <w:vAlign w:val="center"/>
          </w:tcPr>
          <w:p>
            <w:r/>
            <w:r>
              <w:rPr>
                <w:rFonts w:ascii="Figtree" w:hAnsi="Figtree"/>
                <w:b w:val="0"/>
                <w:i w:val="0"/>
                <w:sz w:val="22"/>
              </w:rPr>
              <w:t>Platform updates</w:t>
            </w:r>
          </w:p>
        </w:tc>
        <w:tc>
          <w:tcPr>
            <w:tcW w:type="dxa" w:w="4873"/>
            <w:vAlign w:val="center"/>
          </w:tcPr>
          <w:p>
            <w:r/>
            <w:r>
              <w:rPr>
                <w:rFonts w:ascii="Figtree" w:hAnsi="Figtree"/>
                <w:b w:val="0"/>
                <w:i w:val="0"/>
                <w:sz w:val="22"/>
              </w:rPr>
              <w:t>Monthly release cycle with early access</w:t>
            </w:r>
          </w:p>
        </w:tc>
      </w:tr>
      <w:tr>
        <w:trPr>
          <w:trHeight w:val="454" w:hRule="atLeast"/>
        </w:trPr>
        <w:tc>
          <w:tcPr>
            <w:tcW w:type="dxa" w:w="4873"/>
            <w:vAlign w:val="center"/>
          </w:tcPr>
          <w:p>
            <w:r/>
            <w:r>
              <w:rPr>
                <w:rFonts w:ascii="Figtree" w:hAnsi="Figtree"/>
                <w:b w:val="0"/>
                <w:i w:val="0"/>
                <w:sz w:val="22"/>
              </w:rPr>
              <w:t>Proactive monitoring</w:t>
            </w:r>
          </w:p>
        </w:tc>
        <w:tc>
          <w:tcPr>
            <w:tcW w:type="dxa" w:w="4873"/>
            <w:vAlign w:val="center"/>
          </w:tcPr>
          <w:p>
            <w:r/>
            <w:r>
              <w:rPr>
                <w:rFonts w:ascii="Figtree" w:hAnsi="Figtree"/>
                <w:b w:val="0"/>
                <w:i w:val="0"/>
                <w:sz w:val="22"/>
              </w:rPr>
              <w:t>Enhanced with anomaly detection</w:t>
            </w:r>
          </w:p>
        </w:tc>
      </w:tr>
      <w:tr>
        <w:trPr>
          <w:trHeight w:val="454" w:hRule="atLeast"/>
        </w:trPr>
        <w:tc>
          <w:tcPr>
            <w:tcW w:type="dxa" w:w="4873"/>
            <w:vAlign w:val="center"/>
          </w:tcPr>
          <w:p>
            <w:r/>
            <w:r>
              <w:rPr>
                <w:rFonts w:ascii="Figtree" w:hAnsi="Figtree"/>
                <w:b w:val="0"/>
                <w:i w:val="0"/>
                <w:sz w:val="22"/>
              </w:rPr>
              <w:t>Account management</w:t>
            </w:r>
          </w:p>
        </w:tc>
        <w:tc>
          <w:tcPr>
            <w:tcW w:type="dxa" w:w="4873"/>
            <w:vAlign w:val="center"/>
          </w:tcPr>
          <w:p>
            <w:r/>
            <w:r>
              <w:rPr>
                <w:rFonts w:ascii="Figtree" w:hAnsi="Figtree"/>
                <w:b w:val="0"/>
                <w:i w:val="0"/>
                <w:sz w:val="22"/>
              </w:rPr>
              <w:t>Monthly business review with technical deep-dive</w:t>
            </w:r>
          </w:p>
        </w:tc>
      </w:tr>
    </w:tbl>
    <w:p>
      <w:pPr>
        <w:pStyle w:val="H3"/>
        <w:numPr>
          <w:ilvl w:val="2"/>
          <w:numId w:val="1"/>
        </w:numPr>
      </w:pPr>
      <w:r>
        <w:t>Severity Definitions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Severity</w:t>
            </w:r>
          </w:p>
        </w:tc>
        <w:tc>
          <w:tcPr>
            <w:tcW w:type="dxa" w:w="2436"/>
            <w:vAlign w:val="center"/>
            <w:shd w:fill="000099" w:val="clear"/>
          </w:tcPr>
          <w:p>
            <w:r>
              <w:rPr>
                <w:b/>
                <w:color w:val="FFFFFF"/>
              </w:rPr>
            </w:r>
            <w:r>
              <w:rPr>
                <w:rFonts w:ascii="Figtree" w:hAnsi="Figtree"/>
                <w:b/>
                <w:i w:val="0"/>
                <w:color w:val="FFFFFF"/>
                <w:sz w:val="22"/>
              </w:rPr>
              <w:t>Definition</w:t>
            </w:r>
          </w:p>
        </w:tc>
        <w:tc>
          <w:tcPr>
            <w:tcW w:type="dxa" w:w="2436"/>
            <w:vAlign w:val="center"/>
            <w:shd w:fill="000099" w:val="clear"/>
          </w:tcPr>
          <w:p>
            <w:r>
              <w:rPr>
                <w:b/>
                <w:color w:val="FFFFFF"/>
              </w:rPr>
            </w:r>
            <w:r>
              <w:rPr>
                <w:rFonts w:ascii="Figtree" w:hAnsi="Figtree"/>
                <w:b/>
                <w:i w:val="0"/>
                <w:color w:val="FFFFFF"/>
                <w:sz w:val="22"/>
              </w:rPr>
              <w:t>Response</w:t>
            </w:r>
          </w:p>
        </w:tc>
        <w:tc>
          <w:tcPr>
            <w:tcW w:type="dxa" w:w="2436"/>
            <w:vAlign w:val="center"/>
            <w:shd w:fill="000099" w:val="clear"/>
          </w:tcPr>
          <w:p>
            <w:r>
              <w:rPr>
                <w:b/>
                <w:color w:val="FFFFFF"/>
              </w:rPr>
            </w:r>
            <w:r>
              <w:rPr>
                <w:rFonts w:ascii="Figtree" w:hAnsi="Figtree"/>
                <w:b/>
                <w:i w:val="0"/>
                <w:color w:val="FFFFFF"/>
                <w:sz w:val="22"/>
              </w:rPr>
              <w:t>Resolution Target</w:t>
            </w:r>
          </w:p>
        </w:tc>
      </w:tr>
      <w:tr>
        <w:trPr>
          <w:trHeight w:val="454" w:hRule="atLeast"/>
        </w:trPr>
        <w:tc>
          <w:tcPr>
            <w:tcW w:type="dxa" w:w="2436"/>
            <w:vAlign w:val="center"/>
          </w:tcPr>
          <w:p>
            <w:r/>
            <w:r>
              <w:rPr>
                <w:rFonts w:ascii="Figtree" w:hAnsi="Figtree"/>
                <w:b w:val="0"/>
                <w:i w:val="0"/>
                <w:sz w:val="22"/>
              </w:rPr>
              <w:t>P1 - Critical</w:t>
            </w:r>
          </w:p>
        </w:tc>
        <w:tc>
          <w:tcPr>
            <w:tcW w:type="dxa" w:w="2436"/>
            <w:vAlign w:val="center"/>
          </w:tcPr>
          <w:p>
            <w:r/>
            <w:r>
              <w:rPr>
                <w:rFonts w:ascii="Figtree" w:hAnsi="Figtree"/>
                <w:b w:val="0"/>
                <w:i w:val="0"/>
                <w:sz w:val="22"/>
              </w:rPr>
              <w:t>Production down, no workaround</w:t>
            </w:r>
          </w:p>
        </w:tc>
        <w:tc>
          <w:tcPr>
            <w:tcW w:type="dxa" w:w="2436"/>
            <w:vAlign w:val="center"/>
          </w:tcPr>
          <w:p>
            <w:r/>
            <w:r>
              <w:rPr>
                <w:rFonts w:ascii="Figtree" w:hAnsi="Figtree"/>
                <w:b w:val="0"/>
                <w:i w:val="0"/>
                <w:sz w:val="22"/>
              </w:rPr>
              <w:t>2 hours</w:t>
            </w:r>
          </w:p>
        </w:tc>
        <w:tc>
          <w:tcPr>
            <w:tcW w:type="dxa" w:w="2436"/>
            <w:vAlign w:val="center"/>
          </w:tcPr>
          <w:p>
            <w:r/>
            <w:r>
              <w:rPr>
                <w:rFonts w:ascii="Figtree" w:hAnsi="Figtree"/>
                <w:b w:val="0"/>
                <w:i w:val="0"/>
                <w:sz w:val="22"/>
              </w:rPr>
              <w:t>4 hours</w:t>
            </w:r>
          </w:p>
        </w:tc>
      </w:tr>
      <w:tr>
        <w:trPr>
          <w:trHeight w:val="454" w:hRule="atLeast"/>
        </w:trPr>
        <w:tc>
          <w:tcPr>
            <w:tcW w:type="dxa" w:w="2436"/>
            <w:vAlign w:val="center"/>
          </w:tcPr>
          <w:p>
            <w:r/>
            <w:r>
              <w:rPr>
                <w:rFonts w:ascii="Figtree" w:hAnsi="Figtree"/>
                <w:b w:val="0"/>
                <w:i w:val="0"/>
                <w:sz w:val="22"/>
              </w:rPr>
              <w:t>P2 - High</w:t>
            </w:r>
          </w:p>
        </w:tc>
        <w:tc>
          <w:tcPr>
            <w:tcW w:type="dxa" w:w="2436"/>
            <w:vAlign w:val="center"/>
          </w:tcPr>
          <w:p>
            <w:r/>
            <w:r>
              <w:rPr>
                <w:rFonts w:ascii="Figtree" w:hAnsi="Figtree"/>
                <w:b w:val="0"/>
                <w:i w:val="0"/>
                <w:sz w:val="22"/>
              </w:rPr>
              <w:t>Major functionality impaired</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8 hours</w:t>
            </w:r>
          </w:p>
        </w:tc>
      </w:tr>
      <w:tr>
        <w:trPr>
          <w:trHeight w:val="454" w:hRule="atLeast"/>
        </w:trPr>
        <w:tc>
          <w:tcPr>
            <w:tcW w:type="dxa" w:w="2436"/>
            <w:vAlign w:val="center"/>
          </w:tcPr>
          <w:p>
            <w:r/>
            <w:r>
              <w:rPr>
                <w:rFonts w:ascii="Figtree" w:hAnsi="Figtree"/>
                <w:b w:val="0"/>
                <w:i w:val="0"/>
                <w:sz w:val="22"/>
              </w:rPr>
              <w:t>P3 - Medium</w:t>
            </w:r>
          </w:p>
        </w:tc>
        <w:tc>
          <w:tcPr>
            <w:tcW w:type="dxa" w:w="2436"/>
            <w:vAlign w:val="center"/>
          </w:tcPr>
          <w:p>
            <w:r/>
            <w:r>
              <w:rPr>
                <w:rFonts w:ascii="Figtree" w:hAnsi="Figtree"/>
                <w:b w:val="0"/>
                <w:i w:val="0"/>
                <w:sz w:val="22"/>
              </w:rPr>
              <w:t>Minor functionality impaired</w:t>
            </w:r>
          </w:p>
        </w:tc>
        <w:tc>
          <w:tcPr>
            <w:tcW w:type="dxa" w:w="2436"/>
            <w:vAlign w:val="center"/>
          </w:tcPr>
          <w:p>
            <w:r/>
            <w:r>
              <w:rPr>
                <w:rFonts w:ascii="Figtree" w:hAnsi="Figtree"/>
                <w:b w:val="0"/>
                <w:i w:val="0"/>
                <w:sz w:val="22"/>
              </w:rPr>
              <w:t>1 business day</w:t>
            </w:r>
          </w:p>
        </w:tc>
        <w:tc>
          <w:tcPr>
            <w:tcW w:type="dxa" w:w="2436"/>
            <w:vAlign w:val="center"/>
          </w:tcPr>
          <w:p>
            <w:r/>
            <w:r>
              <w:rPr>
                <w:rFonts w:ascii="Figtree" w:hAnsi="Figtree"/>
                <w:b w:val="0"/>
                <w:i w:val="0"/>
                <w:sz w:val="22"/>
              </w:rPr>
              <w:t>5 business days</w:t>
            </w:r>
          </w:p>
        </w:tc>
      </w:tr>
      <w:tr>
        <w:trPr>
          <w:trHeight w:val="454" w:hRule="atLeast"/>
        </w:trPr>
        <w:tc>
          <w:tcPr>
            <w:tcW w:type="dxa" w:w="2436"/>
            <w:vAlign w:val="center"/>
          </w:tcPr>
          <w:p>
            <w:r/>
            <w:r>
              <w:rPr>
                <w:rFonts w:ascii="Figtree" w:hAnsi="Figtree"/>
                <w:b w:val="0"/>
                <w:i w:val="0"/>
                <w:sz w:val="22"/>
              </w:rPr>
              <w:t>P4 - Low</w:t>
            </w:r>
          </w:p>
        </w:tc>
        <w:tc>
          <w:tcPr>
            <w:tcW w:type="dxa" w:w="2436"/>
            <w:vAlign w:val="center"/>
          </w:tcPr>
          <w:p>
            <w:r/>
            <w:r>
              <w:rPr>
                <w:rFonts w:ascii="Figtree" w:hAnsi="Figtree"/>
                <w:b w:val="0"/>
                <w:i w:val="0"/>
                <w:sz w:val="22"/>
              </w:rPr>
              <w:t>Enhancement request, documentation</w:t>
            </w:r>
          </w:p>
        </w:tc>
        <w:tc>
          <w:tcPr>
            <w:tcW w:type="dxa" w:w="2436"/>
            <w:vAlign w:val="center"/>
          </w:tcPr>
          <w:p>
            <w:r/>
            <w:r>
              <w:rPr>
                <w:rFonts w:ascii="Figtree" w:hAnsi="Figtree"/>
                <w:b w:val="0"/>
                <w:i w:val="0"/>
                <w:sz w:val="22"/>
              </w:rPr>
              <w:t>3 business days</w:t>
            </w:r>
          </w:p>
        </w:tc>
        <w:tc>
          <w:tcPr>
            <w:tcW w:type="dxa" w:w="2436"/>
            <w:vAlign w:val="center"/>
          </w:tcPr>
          <w:p>
            <w:r/>
            <w:r>
              <w:rPr>
                <w:rFonts w:ascii="Figtree" w:hAnsi="Figtree"/>
                <w:b w:val="0"/>
                <w:i w:val="0"/>
                <w:sz w:val="22"/>
              </w:rPr>
              <w:t>Next release cycle</w:t>
            </w:r>
          </w:p>
        </w:tc>
      </w:tr>
    </w:tbl>
    <w:p>
      <w:pPr>
        <w:pStyle w:val="H3"/>
        <w:numPr>
          <w:ilvl w:val="2"/>
          <w:numId w:val="1"/>
        </w:numPr>
      </w:pPr>
      <w:r>
        <w:t>Escalation Path</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Level</w:t>
            </w:r>
          </w:p>
        </w:tc>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Timeframe</w:t>
            </w:r>
          </w:p>
        </w:tc>
      </w:tr>
      <w:tr>
        <w:trPr>
          <w:trHeight w:val="454" w:hRule="atLeast"/>
        </w:trPr>
        <w:tc>
          <w:tcPr>
            <w:tcW w:type="dxa" w:w="3249"/>
            <w:vAlign w:val="center"/>
          </w:tcPr>
          <w:p>
            <w:r/>
            <w:r>
              <w:rPr>
                <w:rFonts w:ascii="Figtree" w:hAnsi="Figtree"/>
                <w:b w:val="0"/>
                <w:i w:val="0"/>
                <w:sz w:val="22"/>
              </w:rPr>
              <w:t>L1</w:t>
            </w:r>
          </w:p>
        </w:tc>
        <w:tc>
          <w:tcPr>
            <w:tcW w:type="dxa" w:w="3249"/>
            <w:vAlign w:val="center"/>
          </w:tcPr>
          <w:p>
            <w:r/>
            <w:r>
              <w:rPr>
                <w:rFonts w:ascii="Figtree" w:hAnsi="Figtree"/>
                <w:b w:val="0"/>
                <w:i w:val="0"/>
                <w:sz w:val="22"/>
              </w:rPr>
              <w:t>Dedicated support engineer</w:t>
            </w:r>
          </w:p>
        </w:tc>
        <w:tc>
          <w:tcPr>
            <w:tcW w:type="dxa" w:w="3249"/>
            <w:vAlign w:val="center"/>
          </w:tcPr>
          <w:p>
            <w:r/>
            <w:r>
              <w:rPr>
                <w:rFonts w:ascii="Figtree" w:hAnsi="Figtree"/>
                <w:b w:val="0"/>
                <w:i w:val="0"/>
                <w:sz w:val="22"/>
              </w:rPr>
              <w:t>Immediate</w:t>
            </w:r>
          </w:p>
        </w:tc>
      </w:tr>
      <w:tr>
        <w:trPr>
          <w:trHeight w:val="454" w:hRule="atLeast"/>
        </w:trPr>
        <w:tc>
          <w:tcPr>
            <w:tcW w:type="dxa" w:w="3249"/>
            <w:vAlign w:val="center"/>
          </w:tcPr>
          <w:p>
            <w:r/>
            <w:r>
              <w:rPr>
                <w:rFonts w:ascii="Figtree" w:hAnsi="Figtree"/>
                <w:b w:val="0"/>
                <w:i w:val="0"/>
                <w:sz w:val="22"/>
              </w:rPr>
              <w:t>L2</w:t>
            </w:r>
          </w:p>
        </w:tc>
        <w:tc>
          <w:tcPr>
            <w:tcW w:type="dxa" w:w="3249"/>
            <w:vAlign w:val="center"/>
          </w:tcPr>
          <w:p>
            <w:r/>
            <w:r>
              <w:rPr>
                <w:rFonts w:ascii="Figtree" w:hAnsi="Figtree"/>
                <w:b w:val="0"/>
                <w:i w:val="0"/>
                <w:sz w:val="22"/>
              </w:rPr>
              <w:t>Senior platform engineer</w:t>
            </w:r>
          </w:p>
        </w:tc>
        <w:tc>
          <w:tcPr>
            <w:tcW w:type="dxa" w:w="3249"/>
            <w:vAlign w:val="center"/>
          </w:tcPr>
          <w:p>
            <w:r/>
            <w:r>
              <w:rPr>
                <w:rFonts w:ascii="Figtree" w:hAnsi="Figtree"/>
                <w:b w:val="0"/>
                <w:i w:val="0"/>
                <w:sz w:val="22"/>
              </w:rPr>
              <w:t>P1: 1 hour, P2: 2 hours</w:t>
            </w:r>
          </w:p>
        </w:tc>
      </w:tr>
      <w:tr>
        <w:trPr>
          <w:trHeight w:val="454" w:hRule="atLeast"/>
        </w:trPr>
        <w:tc>
          <w:tcPr>
            <w:tcW w:type="dxa" w:w="3249"/>
            <w:vAlign w:val="center"/>
          </w:tcPr>
          <w:p>
            <w:r/>
            <w:r>
              <w:rPr>
                <w:rFonts w:ascii="Figtree" w:hAnsi="Figtree"/>
                <w:b w:val="0"/>
                <w:i w:val="0"/>
                <w:sz w:val="22"/>
              </w:rPr>
              <w:t>L3</w:t>
            </w:r>
          </w:p>
        </w:tc>
        <w:tc>
          <w:tcPr>
            <w:tcW w:type="dxa" w:w="3249"/>
            <w:vAlign w:val="center"/>
          </w:tcPr>
          <w:p>
            <w:r/>
            <w:r>
              <w:rPr>
                <w:rFonts w:ascii="Figtree" w:hAnsi="Figtree"/>
                <w:b w:val="0"/>
                <w:i w:val="0"/>
                <w:sz w:val="22"/>
              </w:rPr>
              <w:t>CTO / Engineering leadership</w:t>
            </w:r>
          </w:p>
        </w:tc>
        <w:tc>
          <w:tcPr>
            <w:tcW w:type="dxa" w:w="3249"/>
            <w:vAlign w:val="center"/>
          </w:tcPr>
          <w:p>
            <w:r/>
            <w:r>
              <w:rPr>
                <w:rFonts w:ascii="Figtree" w:hAnsi="Figtree"/>
                <w:b w:val="0"/>
                <w:i w:val="0"/>
                <w:sz w:val="22"/>
              </w:rPr>
              <w:t>P1: 2 hours</w:t>
            </w:r>
          </w:p>
        </w:tc>
      </w:tr>
    </w:tbl>
    <w:p>
      <w:r>
        <w:br w:type="page"/>
      </w:r>
    </w:p>
    <w:p>
      <w:pPr>
        <w:pStyle w:val="H2"/>
        <w:numPr>
          <w:ilvl w:val="1"/>
          <w:numId w:val="1"/>
        </w:numPr>
      </w:pPr>
      <w:r>
        <w:t>Risk Management</w:t>
      </w:r>
    </w:p>
    <w:p>
      <w:pPr>
        <w:pStyle w:val="H3"/>
        <w:numPr>
          <w:ilvl w:val="2"/>
          <w:numId w:val="1"/>
        </w:numPr>
      </w:pPr>
      <w:r>
        <w:t>Risk Management Approach</w:t>
      </w:r>
    </w:p>
    <w:p>
      <w:r>
        <w:rPr>
          <w:rFonts w:ascii="Figtree" w:hAnsi="Figtree"/>
          <w:b w:val="0"/>
          <w:i w:val="0"/>
          <w:sz w:val="22"/>
        </w:rPr>
        <w:t>Risks are identified, assessed, mitigated, and monitored throughout the implementation lifecycle. The RAID register is established in Phase 1 and reviewed at every gate review and steering committee meeting.</w:t>
      </w:r>
    </w:p>
    <w:p>
      <w:pPr>
        <w:pStyle w:val="H3"/>
        <w:numPr>
          <w:ilvl w:val="2"/>
          <w:numId w:val="1"/>
        </w:numPr>
      </w:pPr>
      <w:r>
        <w:t>Risk Register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rHeight w:val="624" w:hRule="atLeast"/>
        </w:trPr>
        <w:tc>
          <w:tcPr>
            <w:tcW w:type="dxa" w:w="1624"/>
            <w:vAlign w:val="center"/>
            <w:shd w:fill="000099" w:val="clear"/>
          </w:tcPr>
          <w:p>
            <w:r>
              <w:rPr>
                <w:b/>
                <w:color w:val="FFFFFF"/>
              </w:rPr>
            </w:r>
            <w:r>
              <w:rPr>
                <w:rFonts w:ascii="Figtree" w:hAnsi="Figtree"/>
                <w:b/>
                <w:i w:val="0"/>
                <w:color w:val="FFFFFF"/>
                <w:sz w:val="22"/>
              </w:rPr>
              <w:t>ID</w:t>
            </w:r>
          </w:p>
        </w:tc>
        <w:tc>
          <w:tcPr>
            <w:tcW w:type="dxa" w:w="1624"/>
            <w:vAlign w:val="center"/>
            <w:shd w:fill="000099" w:val="clear"/>
          </w:tcPr>
          <w:p>
            <w:r>
              <w:rPr>
                <w:b/>
                <w:color w:val="FFFFFF"/>
              </w:rPr>
            </w:r>
            <w:r>
              <w:rPr>
                <w:rFonts w:ascii="Figtree" w:hAnsi="Figtree"/>
                <w:b/>
                <w:i w:val="0"/>
                <w:color w:val="FFFFFF"/>
                <w:sz w:val="22"/>
              </w:rPr>
              <w:t>Risk</w:t>
            </w:r>
          </w:p>
        </w:tc>
        <w:tc>
          <w:tcPr>
            <w:tcW w:type="dxa" w:w="1624"/>
            <w:vAlign w:val="center"/>
            <w:shd w:fill="000099" w:val="clear"/>
          </w:tcPr>
          <w:p>
            <w:r>
              <w:rPr>
                <w:b/>
                <w:color w:val="FFFFFF"/>
              </w:rPr>
            </w:r>
            <w:r>
              <w:rPr>
                <w:rFonts w:ascii="Figtree" w:hAnsi="Figtree"/>
                <w:b/>
                <w:i w:val="0"/>
                <w:color w:val="FFFFFF"/>
                <w:sz w:val="22"/>
              </w:rPr>
              <w:t>Likelihood</w:t>
            </w:r>
          </w:p>
        </w:tc>
        <w:tc>
          <w:tcPr>
            <w:tcW w:type="dxa" w:w="1624"/>
            <w:vAlign w:val="center"/>
            <w:shd w:fill="000099" w:val="clear"/>
          </w:tcPr>
          <w:p>
            <w:r>
              <w:rPr>
                <w:b/>
                <w:color w:val="FFFFFF"/>
              </w:rPr>
            </w:r>
            <w:r>
              <w:rPr>
                <w:rFonts w:ascii="Figtree" w:hAnsi="Figtree"/>
                <w:b/>
                <w:i w:val="0"/>
                <w:color w:val="FFFFFF"/>
                <w:sz w:val="22"/>
              </w:rPr>
              <w:t>Impact</w:t>
            </w:r>
          </w:p>
        </w:tc>
        <w:tc>
          <w:tcPr>
            <w:tcW w:type="dxa" w:w="1624"/>
            <w:vAlign w:val="center"/>
            <w:shd w:fill="000099" w:val="clear"/>
          </w:tcPr>
          <w:p>
            <w:r>
              <w:rPr>
                <w:b/>
                <w:color w:val="FFFFFF"/>
              </w:rPr>
            </w:r>
            <w:r>
              <w:rPr>
                <w:rFonts w:ascii="Figtree" w:hAnsi="Figtree"/>
                <w:b/>
                <w:i w:val="0"/>
                <w:color w:val="FFFFFF"/>
                <w:sz w:val="22"/>
              </w:rPr>
              <w:t>Mitigation</w:t>
            </w:r>
          </w:p>
        </w:tc>
        <w:tc>
          <w:tcPr>
            <w:tcW w:type="dxa" w:w="1624"/>
            <w:vAlign w:val="center"/>
            <w:shd w:fill="000099" w:val="clear"/>
          </w:tcPr>
          <w:p>
            <w:r>
              <w:rPr>
                <w:b/>
                <w:color w:val="FFFFFF"/>
              </w:rPr>
            </w:r>
            <w:r>
              <w:rPr>
                <w:rFonts w:ascii="Figtree" w:hAnsi="Figtree"/>
                <w:b/>
                <w:i w:val="0"/>
                <w:color w:val="FFFFFF"/>
                <w:sz w:val="22"/>
              </w:rPr>
              <w:t>Owner</w:t>
            </w:r>
          </w:p>
        </w:tc>
      </w:tr>
      <w:tr>
        <w:trPr>
          <w:trHeight w:val="454" w:hRule="atLeast"/>
        </w:trPr>
        <w:tc>
          <w:tcPr>
            <w:tcW w:type="dxa" w:w="1624"/>
            <w:vAlign w:val="center"/>
          </w:tcPr>
          <w:p>
            <w:r/>
            <w:r>
              <w:rPr>
                <w:rFonts w:ascii="Figtree" w:hAnsi="Figtree"/>
                <w:b w:val="0"/>
                <w:i w:val="0"/>
                <w:sz w:val="22"/>
              </w:rPr>
              <w:t>R1</w:t>
            </w:r>
          </w:p>
        </w:tc>
        <w:tc>
          <w:tcPr>
            <w:tcW w:type="dxa" w:w="1624"/>
            <w:vAlign w:val="center"/>
          </w:tcPr>
          <w:p>
            <w:r/>
            <w:r>
              <w:rPr>
                <w:rFonts w:ascii="Figtree" w:hAnsi="Figtree"/>
                <w:b w:val="0"/>
                <w:i w:val="0"/>
                <w:sz w:val="22"/>
              </w:rPr>
              <w:t>Regulatory changes during implementation</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Configurable compliance modules; quarterly regulatory review sessions</w:t>
            </w:r>
          </w:p>
        </w:tc>
        <w:tc>
          <w:tcPr>
            <w:tcW w:type="dxa" w:w="1624"/>
            <w:vAlign w:val="center"/>
          </w:tcPr>
          <w:p>
            <w:r/>
            <w:r>
              <w:rPr>
                <w:rFonts w:ascii="Figtree" w:hAnsi="Figtree"/>
                <w:b w:val="0"/>
                <w:i w:val="0"/>
                <w:sz w:val="22"/>
              </w:rPr>
              <w:t>Joint</w:t>
            </w:r>
          </w:p>
        </w:tc>
      </w:tr>
      <w:tr>
        <w:trPr>
          <w:trHeight w:val="454" w:hRule="atLeast"/>
        </w:trPr>
        <w:tc>
          <w:tcPr>
            <w:tcW w:type="dxa" w:w="1624"/>
            <w:vAlign w:val="center"/>
          </w:tcPr>
          <w:p>
            <w:r/>
            <w:r>
              <w:rPr>
                <w:rFonts w:ascii="Figtree" w:hAnsi="Figtree"/>
                <w:b w:val="0"/>
                <w:i w:val="0"/>
                <w:sz w:val="22"/>
              </w:rPr>
              <w:t>R2</w:t>
            </w:r>
          </w:p>
        </w:tc>
        <w:tc>
          <w:tcPr>
            <w:tcW w:type="dxa" w:w="1624"/>
            <w:vAlign w:val="center"/>
          </w:tcPr>
          <w:p>
            <w:r/>
            <w:r>
              <w:rPr>
                <w:rFonts w:ascii="Figtree" w:hAnsi="Figtree"/>
                <w:b w:val="0"/>
                <w:i w:val="0"/>
                <w:sz w:val="22"/>
              </w:rPr>
              <w:t>Core banking API availability delay</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Early API provisioning (Phase 2); mock integration for parallel progress</w:t>
            </w:r>
          </w:p>
        </w:tc>
        <w:tc>
          <w:tcPr>
            <w:tcW w:type="dxa" w:w="1624"/>
            <w:vAlign w:val="center"/>
          </w:tcPr>
          <w:p>
            <w:r/>
            <w:r>
              <w:rPr>
                <w:rFonts w:ascii="Figtree" w:hAnsi="Figtree"/>
                <w:b w:val="0"/>
                <w:i w:val="0"/>
                <w:sz w:val="22"/>
              </w:rPr>
              <w:t>Emirates NBD</w:t>
            </w:r>
          </w:p>
        </w:tc>
      </w:tr>
      <w:tr>
        <w:trPr>
          <w:trHeight w:val="454" w:hRule="atLeast"/>
        </w:trPr>
        <w:tc>
          <w:tcPr>
            <w:tcW w:type="dxa" w:w="1624"/>
            <w:vAlign w:val="center"/>
          </w:tcPr>
          <w:p>
            <w:r/>
            <w:r>
              <w:rPr>
                <w:rFonts w:ascii="Figtree" w:hAnsi="Figtree"/>
                <w:b w:val="0"/>
                <w:i w:val="0"/>
                <w:sz w:val="22"/>
              </w:rPr>
              <w:t>R3</w:t>
            </w:r>
          </w:p>
        </w:tc>
        <w:tc>
          <w:tcPr>
            <w:tcW w:type="dxa" w:w="1624"/>
            <w:vAlign w:val="center"/>
          </w:tcPr>
          <w:p>
            <w:r/>
            <w:r>
              <w:rPr>
                <w:rFonts w:ascii="Figtree" w:hAnsi="Figtree"/>
                <w:b w:val="0"/>
                <w:i w:val="0"/>
                <w:sz w:val="22"/>
              </w:rPr>
              <w:t>Trade finance back-office integration complexity</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Discovery deep-dive in Phase 1; integration specialist allocation</w:t>
            </w:r>
          </w:p>
        </w:tc>
        <w:tc>
          <w:tcPr>
            <w:tcW w:type="dxa" w:w="1624"/>
            <w:vAlign w:val="center"/>
          </w:tcPr>
          <w:p>
            <w:r/>
            <w:r>
              <w:rPr>
                <w:rFonts w:ascii="Figtree" w:hAnsi="Figtree"/>
                <w:b w:val="0"/>
                <w:i w:val="0"/>
                <w:sz w:val="22"/>
              </w:rPr>
              <w:t>SettleMint</w:t>
            </w:r>
          </w:p>
        </w:tc>
      </w:tr>
      <w:tr>
        <w:trPr>
          <w:trHeight w:val="454" w:hRule="atLeast"/>
        </w:trPr>
        <w:tc>
          <w:tcPr>
            <w:tcW w:type="dxa" w:w="1624"/>
            <w:vAlign w:val="center"/>
          </w:tcPr>
          <w:p>
            <w:r/>
            <w:r>
              <w:rPr>
                <w:rFonts w:ascii="Figtree" w:hAnsi="Figtree"/>
                <w:b w:val="0"/>
                <w:i w:val="0"/>
                <w:sz w:val="22"/>
              </w:rPr>
              <w:t>R4</w:t>
            </w:r>
          </w:p>
        </w:tc>
        <w:tc>
          <w:tcPr>
            <w:tcW w:type="dxa" w:w="1624"/>
            <w:vAlign w:val="center"/>
          </w:tcPr>
          <w:p>
            <w:r/>
            <w:r>
              <w:rPr>
                <w:rFonts w:ascii="Figtree" w:hAnsi="Figtree"/>
                <w:b w:val="0"/>
                <w:i w:val="0"/>
                <w:sz w:val="22"/>
              </w:rPr>
              <w:t>Custody provider onboarding delay</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Early engagement (Phase 1); fallback to platform signer for testing</w:t>
            </w:r>
          </w:p>
        </w:tc>
        <w:tc>
          <w:tcPr>
            <w:tcW w:type="dxa" w:w="1624"/>
            <w:vAlign w:val="center"/>
          </w:tcPr>
          <w:p>
            <w:r/>
            <w:r>
              <w:rPr>
                <w:rFonts w:ascii="Figtree" w:hAnsi="Figtree"/>
                <w:b w:val="0"/>
                <w:i w:val="0"/>
                <w:sz w:val="22"/>
              </w:rPr>
              <w:t>Joint</w:t>
            </w:r>
          </w:p>
        </w:tc>
      </w:tr>
      <w:tr>
        <w:trPr>
          <w:trHeight w:val="454" w:hRule="atLeast"/>
        </w:trPr>
        <w:tc>
          <w:tcPr>
            <w:tcW w:type="dxa" w:w="1624"/>
            <w:vAlign w:val="center"/>
          </w:tcPr>
          <w:p>
            <w:r/>
            <w:r>
              <w:rPr>
                <w:rFonts w:ascii="Figtree" w:hAnsi="Figtree"/>
                <w:b w:val="0"/>
                <w:i w:val="0"/>
                <w:sz w:val="22"/>
              </w:rPr>
              <w:t>R5</w:t>
            </w:r>
          </w:p>
        </w:tc>
        <w:tc>
          <w:tcPr>
            <w:tcW w:type="dxa" w:w="1624"/>
            <w:vAlign w:val="center"/>
          </w:tcPr>
          <w:p>
            <w:r/>
            <w:r>
              <w:rPr>
                <w:rFonts w:ascii="Figtree" w:hAnsi="Figtree"/>
                <w:b w:val="0"/>
                <w:i w:val="0"/>
                <w:sz w:val="22"/>
              </w:rPr>
              <w:t>Security review timeline extension</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Pre-engagement with Emirates NBD InfoSec; incremental security testing</w:t>
            </w:r>
          </w:p>
        </w:tc>
        <w:tc>
          <w:tcPr>
            <w:tcW w:type="dxa" w:w="1624"/>
            <w:vAlign w:val="center"/>
          </w:tcPr>
          <w:p>
            <w:r/>
            <w:r>
              <w:rPr>
                <w:rFonts w:ascii="Figtree" w:hAnsi="Figtree"/>
                <w:b w:val="0"/>
                <w:i w:val="0"/>
                <w:sz w:val="22"/>
              </w:rPr>
              <w:t>Joint</w:t>
            </w:r>
          </w:p>
        </w:tc>
      </w:tr>
      <w:tr>
        <w:trPr>
          <w:trHeight w:val="454" w:hRule="atLeast"/>
        </w:trPr>
        <w:tc>
          <w:tcPr>
            <w:tcW w:type="dxa" w:w="1624"/>
            <w:vAlign w:val="center"/>
          </w:tcPr>
          <w:p>
            <w:r/>
            <w:r>
              <w:rPr>
                <w:rFonts w:ascii="Figtree" w:hAnsi="Figtree"/>
                <w:b w:val="0"/>
                <w:i w:val="0"/>
                <w:sz w:val="22"/>
              </w:rPr>
              <w:t>R6</w:t>
            </w:r>
          </w:p>
        </w:tc>
        <w:tc>
          <w:tcPr>
            <w:tcW w:type="dxa" w:w="1624"/>
            <w:vAlign w:val="center"/>
          </w:tcPr>
          <w:p>
            <w:r/>
            <w:r>
              <w:rPr>
                <w:rFonts w:ascii="Figtree" w:hAnsi="Figtree"/>
                <w:b w:val="0"/>
                <w:i w:val="0"/>
                <w:sz w:val="22"/>
              </w:rPr>
              <w:t>UAE infrastructure availability</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Multi-AZ deployment; pre-provisioned capacity</w:t>
            </w:r>
          </w:p>
        </w:tc>
        <w:tc>
          <w:tcPr>
            <w:tcW w:type="dxa" w:w="1624"/>
            <w:vAlign w:val="center"/>
          </w:tcPr>
          <w:p>
            <w:r/>
            <w:r>
              <w:rPr>
                <w:rFonts w:ascii="Figtree" w:hAnsi="Figtree"/>
                <w:b w:val="0"/>
                <w:i w:val="0"/>
                <w:sz w:val="22"/>
              </w:rPr>
              <w:t>SettleMint</w:t>
            </w:r>
          </w:p>
        </w:tc>
      </w:tr>
      <w:tr>
        <w:trPr>
          <w:trHeight w:val="454" w:hRule="atLeast"/>
        </w:trPr>
        <w:tc>
          <w:tcPr>
            <w:tcW w:type="dxa" w:w="1624"/>
            <w:vAlign w:val="center"/>
          </w:tcPr>
          <w:p>
            <w:r/>
            <w:r>
              <w:rPr>
                <w:rFonts w:ascii="Figtree" w:hAnsi="Figtree"/>
                <w:b w:val="0"/>
                <w:i w:val="0"/>
                <w:sz w:val="22"/>
              </w:rPr>
              <w:t>R7</w:t>
            </w:r>
          </w:p>
        </w:tc>
        <w:tc>
          <w:tcPr>
            <w:tcW w:type="dxa" w:w="1624"/>
            <w:vAlign w:val="center"/>
          </w:tcPr>
          <w:p>
            <w:r/>
            <w:r>
              <w:rPr>
                <w:rFonts w:ascii="Figtree" w:hAnsi="Figtree"/>
                <w:b w:val="0"/>
                <w:i w:val="0"/>
                <w:sz w:val="22"/>
              </w:rPr>
              <w:t>Client resource availability</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Effort estimates provided upfront; escalation to programme sponsor</w:t>
            </w:r>
          </w:p>
        </w:tc>
        <w:tc>
          <w:tcPr>
            <w:tcW w:type="dxa" w:w="1624"/>
            <w:vAlign w:val="center"/>
          </w:tcPr>
          <w:p>
            <w:r/>
            <w:r>
              <w:rPr>
                <w:rFonts w:ascii="Figtree" w:hAnsi="Figtree"/>
                <w:b w:val="0"/>
                <w:i w:val="0"/>
                <w:sz w:val="22"/>
              </w:rPr>
              <w:t>Emirates NBD</w:t>
            </w:r>
          </w:p>
        </w:tc>
      </w:tr>
      <w:tr>
        <w:trPr>
          <w:trHeight w:val="454" w:hRule="atLeast"/>
        </w:trPr>
        <w:tc>
          <w:tcPr>
            <w:tcW w:type="dxa" w:w="1624"/>
            <w:vAlign w:val="center"/>
          </w:tcPr>
          <w:p>
            <w:r/>
            <w:r>
              <w:rPr>
                <w:rFonts w:ascii="Figtree" w:hAnsi="Figtree"/>
                <w:b w:val="0"/>
                <w:i w:val="0"/>
                <w:sz w:val="22"/>
              </w:rPr>
              <w:t>R8</w:t>
            </w:r>
          </w:p>
        </w:tc>
        <w:tc>
          <w:tcPr>
            <w:tcW w:type="dxa" w:w="1624"/>
            <w:vAlign w:val="center"/>
          </w:tcPr>
          <w:p>
            <w:r/>
            <w:r>
              <w:rPr>
                <w:rFonts w:ascii="Figtree" w:hAnsi="Figtree"/>
                <w:b w:val="0"/>
                <w:i w:val="0"/>
                <w:sz w:val="22"/>
              </w:rPr>
              <w:t>SWIFT ISO 20022 native support timing</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Middleware layer available now; native support target Q3 2026</w:t>
            </w:r>
          </w:p>
        </w:tc>
        <w:tc>
          <w:tcPr>
            <w:tcW w:type="dxa" w:w="1624"/>
            <w:vAlign w:val="center"/>
          </w:tcPr>
          <w:p>
            <w:r/>
            <w:r>
              <w:rPr>
                <w:rFonts w:ascii="Figtree" w:hAnsi="Figtree"/>
                <w:b w:val="0"/>
                <w:i w:val="0"/>
                <w:sz w:val="22"/>
              </w:rPr>
              <w:t>SettleMint</w:t>
            </w:r>
          </w:p>
        </w:tc>
      </w:tr>
    </w:tbl>
    <w:p>
      <w:r>
        <w:br w:type="page"/>
      </w:r>
    </w:p>
    <w:p>
      <w:pPr>
        <w:pStyle w:val="H2"/>
        <w:numPr>
          <w:ilvl w:val="1"/>
          <w:numId w:val="1"/>
        </w:numPr>
      </w:pPr>
      <w:r>
        <w:t>Current Coverage, Dependencies, and Qualified Gaps</w:t>
      </w:r>
    </w:p>
    <w:p>
      <w:pPr>
        <w:pStyle w:val="H3"/>
        <w:numPr>
          <w:ilvl w:val="2"/>
          <w:numId w:val="1"/>
        </w:numPr>
      </w:pPr>
      <w:r>
        <w:t>Dependency Register</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Dependency</w:t>
            </w:r>
          </w:p>
        </w:tc>
        <w:tc>
          <w:tcPr>
            <w:tcW w:type="dxa" w:w="3249"/>
            <w:vAlign w:val="center"/>
            <w:shd w:fill="000099" w:val="clear"/>
          </w:tcPr>
          <w:p>
            <w:r>
              <w:rPr>
                <w:b/>
                <w:color w:val="FFFFFF"/>
              </w:rPr>
            </w:r>
            <w:r>
              <w:rPr>
                <w:rFonts w:ascii="Figtree" w:hAnsi="Figtree"/>
                <w:b/>
                <w:i w:val="0"/>
                <w:color w:val="FFFFFF"/>
                <w:sz w:val="22"/>
              </w:rPr>
              <w:t>Owner</w:t>
            </w:r>
          </w:p>
        </w:tc>
        <w:tc>
          <w:tcPr>
            <w:tcW w:type="dxa" w:w="3249"/>
            <w:vAlign w:val="center"/>
            <w:shd w:fill="000099" w:val="clear"/>
          </w:tcPr>
          <w:p>
            <w:r>
              <w:rPr>
                <w:b/>
                <w:color w:val="FFFFFF"/>
              </w:rPr>
            </w:r>
            <w:r>
              <w:rPr>
                <w:rFonts w:ascii="Figtree" w:hAnsi="Figtree"/>
                <w:b/>
                <w:i w:val="0"/>
                <w:color w:val="FFFFFF"/>
                <w:sz w:val="22"/>
              </w:rPr>
              <w:t>Risk if Delayed</w:t>
            </w:r>
          </w:p>
        </w:tc>
      </w:tr>
      <w:tr>
        <w:trPr>
          <w:trHeight w:val="454" w:hRule="atLeast"/>
        </w:trPr>
        <w:tc>
          <w:tcPr>
            <w:tcW w:type="dxa" w:w="3249"/>
            <w:vAlign w:val="center"/>
          </w:tcPr>
          <w:p>
            <w:r/>
            <w:r>
              <w:rPr>
                <w:rFonts w:ascii="Figtree" w:hAnsi="Figtree"/>
                <w:b w:val="0"/>
                <w:i w:val="0"/>
                <w:sz w:val="22"/>
              </w:rPr>
              <w:t>Core banking API access</w:t>
            </w:r>
          </w:p>
        </w:tc>
        <w:tc>
          <w:tcPr>
            <w:tcW w:type="dxa" w:w="3249"/>
            <w:vAlign w:val="center"/>
          </w:tcPr>
          <w:p>
            <w:r/>
            <w:r>
              <w:rPr>
                <w:rFonts w:ascii="Figtree" w:hAnsi="Figtree"/>
                <w:b w:val="0"/>
                <w:i w:val="0"/>
                <w:sz w:val="22"/>
              </w:rPr>
              <w:t>Emirates NBD</w:t>
            </w:r>
          </w:p>
        </w:tc>
        <w:tc>
          <w:tcPr>
            <w:tcW w:type="dxa" w:w="3249"/>
            <w:vAlign w:val="center"/>
          </w:tcPr>
          <w:p>
            <w:r/>
            <w:r>
              <w:rPr>
                <w:rFonts w:ascii="Figtree" w:hAnsi="Figtree"/>
                <w:b w:val="0"/>
                <w:i w:val="0"/>
                <w:sz w:val="22"/>
              </w:rPr>
              <w:t>Integration testing delayed</w:t>
            </w:r>
          </w:p>
        </w:tc>
      </w:tr>
      <w:tr>
        <w:trPr>
          <w:trHeight w:val="454" w:hRule="atLeast"/>
        </w:trPr>
        <w:tc>
          <w:tcPr>
            <w:tcW w:type="dxa" w:w="3249"/>
            <w:vAlign w:val="center"/>
          </w:tcPr>
          <w:p>
            <w:r/>
            <w:r>
              <w:rPr>
                <w:rFonts w:ascii="Figtree" w:hAnsi="Figtree"/>
                <w:b w:val="0"/>
                <w:i w:val="0"/>
                <w:sz w:val="22"/>
              </w:rPr>
              <w:t>Trade finance system access</w:t>
            </w:r>
          </w:p>
        </w:tc>
        <w:tc>
          <w:tcPr>
            <w:tcW w:type="dxa" w:w="3249"/>
            <w:vAlign w:val="center"/>
          </w:tcPr>
          <w:p>
            <w:r/>
            <w:r>
              <w:rPr>
                <w:rFonts w:ascii="Figtree" w:hAnsi="Figtree"/>
                <w:b w:val="0"/>
                <w:i w:val="0"/>
                <w:sz w:val="22"/>
              </w:rPr>
              <w:t>Emirates NBD</w:t>
            </w:r>
          </w:p>
        </w:tc>
        <w:tc>
          <w:tcPr>
            <w:tcW w:type="dxa" w:w="3249"/>
            <w:vAlign w:val="center"/>
          </w:tcPr>
          <w:p>
            <w:r/>
            <w:r>
              <w:rPr>
                <w:rFonts w:ascii="Figtree" w:hAnsi="Figtree"/>
                <w:b w:val="0"/>
                <w:i w:val="0"/>
                <w:sz w:val="22"/>
              </w:rPr>
              <w:t>Workflow configuration delayed</w:t>
            </w:r>
          </w:p>
        </w:tc>
      </w:tr>
      <w:tr>
        <w:trPr>
          <w:trHeight w:val="454" w:hRule="atLeast"/>
        </w:trPr>
        <w:tc>
          <w:tcPr>
            <w:tcW w:type="dxa" w:w="3249"/>
            <w:vAlign w:val="center"/>
          </w:tcPr>
          <w:p>
            <w:r/>
            <w:r>
              <w:rPr>
                <w:rFonts w:ascii="Figtree" w:hAnsi="Figtree"/>
                <w:b w:val="0"/>
                <w:i w:val="0"/>
                <w:sz w:val="22"/>
              </w:rPr>
              <w:t>KYC/AML system integration credentials</w:t>
            </w:r>
          </w:p>
        </w:tc>
        <w:tc>
          <w:tcPr>
            <w:tcW w:type="dxa" w:w="3249"/>
            <w:vAlign w:val="center"/>
          </w:tcPr>
          <w:p>
            <w:r/>
            <w:r>
              <w:rPr>
                <w:rFonts w:ascii="Figtree" w:hAnsi="Figtree"/>
                <w:b w:val="0"/>
                <w:i w:val="0"/>
                <w:sz w:val="22"/>
              </w:rPr>
              <w:t>Emirates NBD</w:t>
            </w:r>
          </w:p>
        </w:tc>
        <w:tc>
          <w:tcPr>
            <w:tcW w:type="dxa" w:w="3249"/>
            <w:vAlign w:val="center"/>
          </w:tcPr>
          <w:p>
            <w:r/>
            <w:r>
              <w:rPr>
                <w:rFonts w:ascii="Figtree" w:hAnsi="Figtree"/>
                <w:b w:val="0"/>
                <w:i w:val="0"/>
                <w:sz w:val="22"/>
              </w:rPr>
              <w:t>Identity pipeline delayed</w:t>
            </w:r>
          </w:p>
        </w:tc>
      </w:tr>
      <w:tr>
        <w:trPr>
          <w:trHeight w:val="454" w:hRule="atLeast"/>
        </w:trPr>
        <w:tc>
          <w:tcPr>
            <w:tcW w:type="dxa" w:w="3249"/>
            <w:vAlign w:val="center"/>
          </w:tcPr>
          <w:p>
            <w:r/>
            <w:r>
              <w:rPr>
                <w:rFonts w:ascii="Figtree" w:hAnsi="Figtree"/>
                <w:b w:val="0"/>
                <w:i w:val="0"/>
                <w:sz w:val="22"/>
              </w:rPr>
              <w:t>Custody provider account setup</w:t>
            </w:r>
          </w:p>
        </w:tc>
        <w:tc>
          <w:tcPr>
            <w:tcW w:type="dxa" w:w="3249"/>
            <w:vAlign w:val="center"/>
          </w:tcPr>
          <w:p>
            <w:r/>
            <w:r>
              <w:rPr>
                <w:rFonts w:ascii="Figtree" w:hAnsi="Figtree"/>
                <w:b w:val="0"/>
                <w:i w:val="0"/>
                <w:sz w:val="22"/>
              </w:rPr>
              <w:t>Joint</w:t>
            </w:r>
          </w:p>
        </w:tc>
        <w:tc>
          <w:tcPr>
            <w:tcW w:type="dxa" w:w="3249"/>
            <w:vAlign w:val="center"/>
          </w:tcPr>
          <w:p>
            <w:r/>
            <w:r>
              <w:rPr>
                <w:rFonts w:ascii="Figtree" w:hAnsi="Figtree"/>
                <w:b w:val="0"/>
                <w:i w:val="0"/>
                <w:sz w:val="22"/>
              </w:rPr>
              <w:t>Key management delayed</w:t>
            </w:r>
          </w:p>
        </w:tc>
      </w:tr>
      <w:tr>
        <w:trPr>
          <w:trHeight w:val="454" w:hRule="atLeast"/>
        </w:trPr>
        <w:tc>
          <w:tcPr>
            <w:tcW w:type="dxa" w:w="3249"/>
            <w:vAlign w:val="center"/>
          </w:tcPr>
          <w:p>
            <w:r/>
            <w:r>
              <w:rPr>
                <w:rFonts w:ascii="Figtree" w:hAnsi="Figtree"/>
                <w:b w:val="0"/>
                <w:i w:val="0"/>
                <w:sz w:val="22"/>
              </w:rPr>
              <w:t>UAE cloud infrastructure provisioning</w:t>
            </w:r>
          </w:p>
        </w:tc>
        <w:tc>
          <w:tcPr>
            <w:tcW w:type="dxa" w:w="3249"/>
            <w:vAlign w:val="center"/>
          </w:tcPr>
          <w:p>
            <w:r/>
            <w:r>
              <w:rPr>
                <w:rFonts w:ascii="Figtree" w:hAnsi="Figtree"/>
                <w:b w:val="0"/>
                <w:i w:val="0"/>
                <w:sz w:val="22"/>
              </w:rPr>
              <w:t>SettleMint</w:t>
            </w:r>
          </w:p>
        </w:tc>
        <w:tc>
          <w:tcPr>
            <w:tcW w:type="dxa" w:w="3249"/>
            <w:vAlign w:val="center"/>
          </w:tcPr>
          <w:p>
            <w:r/>
            <w:r>
              <w:rPr>
                <w:rFonts w:ascii="Figtree" w:hAnsi="Figtree"/>
                <w:b w:val="0"/>
                <w:i w:val="0"/>
                <w:sz w:val="22"/>
              </w:rPr>
              <w:t>Environment setup delayed</w:t>
            </w:r>
          </w:p>
        </w:tc>
      </w:tr>
      <w:tr>
        <w:trPr>
          <w:trHeight w:val="454" w:hRule="atLeast"/>
        </w:trPr>
        <w:tc>
          <w:tcPr>
            <w:tcW w:type="dxa" w:w="3249"/>
            <w:vAlign w:val="center"/>
          </w:tcPr>
          <w:p>
            <w:r/>
            <w:r>
              <w:rPr>
                <w:rFonts w:ascii="Figtree" w:hAnsi="Figtree"/>
                <w:b w:val="0"/>
                <w:i w:val="0"/>
                <w:sz w:val="22"/>
              </w:rPr>
              <w:t>CBUAE regulatory guidance on tokenized deposits</w:t>
            </w:r>
          </w:p>
        </w:tc>
        <w:tc>
          <w:tcPr>
            <w:tcW w:type="dxa" w:w="3249"/>
            <w:vAlign w:val="center"/>
          </w:tcPr>
          <w:p>
            <w:r/>
            <w:r>
              <w:rPr>
                <w:rFonts w:ascii="Figtree" w:hAnsi="Figtree"/>
                <w:b w:val="0"/>
                <w:i w:val="0"/>
                <w:sz w:val="22"/>
              </w:rPr>
              <w:t>Emirates NBD</w:t>
            </w:r>
          </w:p>
        </w:tc>
        <w:tc>
          <w:tcPr>
            <w:tcW w:type="dxa" w:w="3249"/>
            <w:vAlign w:val="center"/>
          </w:tcPr>
          <w:p>
            <w:r/>
            <w:r>
              <w:rPr>
                <w:rFonts w:ascii="Figtree" w:hAnsi="Figtree"/>
                <w:b w:val="0"/>
                <w:i w:val="0"/>
                <w:sz w:val="22"/>
              </w:rPr>
              <w:t>Compliance configuration may need revision</w:t>
            </w:r>
          </w:p>
        </w:tc>
      </w:tr>
    </w:tbl>
    <w:p>
      <w:pPr>
        <w:pStyle w:val="H3"/>
        <w:numPr>
          <w:ilvl w:val="2"/>
          <w:numId w:val="1"/>
        </w:numPr>
      </w:pPr>
      <w:r>
        <w:t>Qualified Gaps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Gap</w:t>
            </w:r>
          </w:p>
        </w:tc>
        <w:tc>
          <w:tcPr>
            <w:tcW w:type="dxa" w:w="2436"/>
            <w:vAlign w:val="center"/>
            <w:shd w:fill="000099" w:val="clear"/>
          </w:tcPr>
          <w:p>
            <w:r>
              <w:rPr>
                <w:b/>
                <w:color w:val="FFFFFF"/>
              </w:rPr>
            </w:r>
            <w:r>
              <w:rPr>
                <w:rFonts w:ascii="Figtree" w:hAnsi="Figtree"/>
                <w:b/>
                <w:i w:val="0"/>
                <w:color w:val="FFFFFF"/>
                <w:sz w:val="22"/>
              </w:rPr>
              <w:t>Current State</w:t>
            </w:r>
          </w:p>
        </w:tc>
        <w:tc>
          <w:tcPr>
            <w:tcW w:type="dxa" w:w="2436"/>
            <w:vAlign w:val="center"/>
            <w:shd w:fill="000099" w:val="clear"/>
          </w:tcPr>
          <w:p>
            <w:r>
              <w:rPr>
                <w:b/>
                <w:color w:val="FFFFFF"/>
              </w:rPr>
            </w:r>
            <w:r>
              <w:rPr>
                <w:rFonts w:ascii="Figtree" w:hAnsi="Figtree"/>
                <w:b/>
                <w:i w:val="0"/>
                <w:color w:val="FFFFFF"/>
                <w:sz w:val="22"/>
              </w:rPr>
              <w:t>Mitigation</w:t>
            </w:r>
          </w:p>
        </w:tc>
        <w:tc>
          <w:tcPr>
            <w:tcW w:type="dxa" w:w="2436"/>
            <w:vAlign w:val="center"/>
            <w:shd w:fill="000099" w:val="clear"/>
          </w:tcPr>
          <w:p>
            <w:r>
              <w:rPr>
                <w:b/>
                <w:color w:val="FFFFFF"/>
              </w:rPr>
            </w:r>
            <w:r>
              <w:rPr>
                <w:rFonts w:ascii="Figtree" w:hAnsi="Figtree"/>
                <w:b/>
                <w:i w:val="0"/>
                <w:color w:val="FFFFFF"/>
                <w:sz w:val="22"/>
              </w:rPr>
              <w:t>Timeline</w:t>
            </w:r>
          </w:p>
        </w:tc>
      </w:tr>
      <w:tr>
        <w:trPr>
          <w:trHeight w:val="454" w:hRule="atLeast"/>
        </w:trPr>
        <w:tc>
          <w:tcPr>
            <w:tcW w:type="dxa" w:w="2436"/>
            <w:vAlign w:val="center"/>
          </w:tcPr>
          <w:p>
            <w:r/>
            <w:r>
              <w:rPr>
                <w:rFonts w:ascii="Figtree" w:hAnsi="Figtree"/>
                <w:b w:val="0"/>
                <w:i w:val="0"/>
                <w:sz w:val="22"/>
              </w:rPr>
              <w:t>SWIFT ISO 20022 native support</w:t>
            </w:r>
          </w:p>
        </w:tc>
        <w:tc>
          <w:tcPr>
            <w:tcW w:type="dxa" w:w="2436"/>
            <w:vAlign w:val="center"/>
          </w:tcPr>
          <w:p>
            <w:r/>
            <w:r>
              <w:rPr>
                <w:rFonts w:ascii="Figtree" w:hAnsi="Figtree"/>
                <w:b w:val="0"/>
                <w:i w:val="0"/>
                <w:sz w:val="22"/>
              </w:rPr>
              <w:t>Middleware translation layer available</w:t>
            </w:r>
          </w:p>
        </w:tc>
        <w:tc>
          <w:tcPr>
            <w:tcW w:type="dxa" w:w="2436"/>
            <w:vAlign w:val="center"/>
          </w:tcPr>
          <w:p>
            <w:r/>
            <w:r>
              <w:rPr>
                <w:rFonts w:ascii="Figtree" w:hAnsi="Figtree"/>
                <w:b w:val="0"/>
                <w:i w:val="0"/>
                <w:sz w:val="22"/>
              </w:rPr>
              <w:t>Two existing clients have deployed the middleware successfully</w:t>
            </w:r>
          </w:p>
        </w:tc>
        <w:tc>
          <w:tcPr>
            <w:tcW w:type="dxa" w:w="2436"/>
            <w:vAlign w:val="center"/>
          </w:tcPr>
          <w:p>
            <w:r/>
            <w:r>
              <w:rPr>
                <w:rFonts w:ascii="Figtree" w:hAnsi="Figtree"/>
                <w:b w:val="0"/>
                <w:i w:val="0"/>
                <w:sz w:val="22"/>
              </w:rPr>
              <w:t>Native support target Q3 2026</w:t>
            </w:r>
          </w:p>
        </w:tc>
      </w:tr>
      <w:tr>
        <w:trPr>
          <w:trHeight w:val="454" w:hRule="atLeast"/>
        </w:trPr>
        <w:tc>
          <w:tcPr>
            <w:tcW w:type="dxa" w:w="2436"/>
            <w:vAlign w:val="center"/>
          </w:tcPr>
          <w:p>
            <w:r/>
            <w:r>
              <w:rPr>
                <w:rFonts w:ascii="Figtree" w:hAnsi="Figtree"/>
                <w:b w:val="0"/>
                <w:i w:val="0"/>
                <w:sz w:val="22"/>
              </w:rPr>
              <w:t>CBUAE-specific reporting templates</w:t>
            </w:r>
          </w:p>
        </w:tc>
        <w:tc>
          <w:tcPr>
            <w:tcW w:type="dxa" w:w="2436"/>
            <w:vAlign w:val="center"/>
          </w:tcPr>
          <w:p>
            <w:r/>
            <w:r>
              <w:rPr>
                <w:rFonts w:ascii="Figtree" w:hAnsi="Figtree"/>
                <w:b w:val="0"/>
                <w:i w:val="0"/>
                <w:sz w:val="22"/>
              </w:rPr>
              <w:t>Configurable reporting engine available</w:t>
            </w:r>
          </w:p>
        </w:tc>
        <w:tc>
          <w:tcPr>
            <w:tcW w:type="dxa" w:w="2436"/>
            <w:vAlign w:val="center"/>
          </w:tcPr>
          <w:p>
            <w:r/>
            <w:r>
              <w:rPr>
                <w:rFonts w:ascii="Figtree" w:hAnsi="Figtree"/>
                <w:b w:val="0"/>
                <w:i w:val="0"/>
                <w:sz w:val="22"/>
              </w:rPr>
              <w:t>Templates created during Phase 3 based on Emirates NBD requirements</w:t>
            </w:r>
          </w:p>
        </w:tc>
        <w:tc>
          <w:tcPr>
            <w:tcW w:type="dxa" w:w="2436"/>
            <w:vAlign w:val="center"/>
          </w:tcPr>
          <w:p>
            <w:r/>
            <w:r>
              <w:rPr>
                <w:rFonts w:ascii="Figtree" w:hAnsi="Figtree"/>
                <w:b w:val="0"/>
                <w:i w:val="0"/>
                <w:sz w:val="22"/>
              </w:rPr>
              <w:t>Delivered during implementation</w:t>
            </w:r>
          </w:p>
        </w:tc>
      </w:tr>
      <w:tr>
        <w:trPr>
          <w:trHeight w:val="454" w:hRule="atLeast"/>
        </w:trPr>
        <w:tc>
          <w:tcPr>
            <w:tcW w:type="dxa" w:w="2436"/>
            <w:vAlign w:val="center"/>
          </w:tcPr>
          <w:p>
            <w:r/>
            <w:r>
              <w:rPr>
                <w:rFonts w:ascii="Figtree" w:hAnsi="Figtree"/>
                <w:b w:val="0"/>
                <w:i w:val="0"/>
                <w:sz w:val="22"/>
              </w:rPr>
              <w:t>Trade finance document verification</w:t>
            </w:r>
          </w:p>
        </w:tc>
        <w:tc>
          <w:tcPr>
            <w:tcW w:type="dxa" w:w="2436"/>
            <w:vAlign w:val="center"/>
          </w:tcPr>
          <w:p>
            <w:r/>
            <w:r>
              <w:rPr>
                <w:rFonts w:ascii="Figtree" w:hAnsi="Figtree"/>
                <w:b w:val="0"/>
                <w:i w:val="0"/>
                <w:sz w:val="22"/>
              </w:rPr>
              <w:t>Platform provides workflow and approval infrastructure</w:t>
            </w:r>
          </w:p>
        </w:tc>
        <w:tc>
          <w:tcPr>
            <w:tcW w:type="dxa" w:w="2436"/>
            <w:vAlign w:val="center"/>
          </w:tcPr>
          <w:p>
            <w:r/>
            <w:r>
              <w:rPr>
                <w:rFonts w:ascii="Figtree" w:hAnsi="Figtree"/>
                <w:b w:val="0"/>
                <w:i w:val="0"/>
                <w:sz w:val="22"/>
              </w:rPr>
              <w:t>Document content verification requires integration with Emirates NBD's existing document management</w:t>
            </w:r>
          </w:p>
        </w:tc>
        <w:tc>
          <w:tcPr>
            <w:tcW w:type="dxa" w:w="2436"/>
            <w:vAlign w:val="center"/>
          </w:tcPr>
          <w:p>
            <w:r/>
            <w:r>
              <w:rPr>
                <w:rFonts w:ascii="Figtree" w:hAnsi="Figtree"/>
                <w:b w:val="0"/>
                <w:i w:val="0"/>
                <w:sz w:val="22"/>
              </w:rPr>
              <w:t>Delivered during Phase 4 integration</w:t>
            </w:r>
          </w:p>
        </w:tc>
      </w:tr>
    </w:tbl>
    <w:p>
      <w:r>
        <w:br w:type="page"/>
      </w:r>
    </w:p>
    <w:p>
      <w:pPr>
        <w:pStyle w:val="H2"/>
        <w:numPr>
          <w:ilvl w:val="1"/>
          <w:numId w:val="1"/>
        </w:numPr>
      </w:pPr>
      <w:r>
        <w:t>Compliance Matrix</w:t>
      </w:r>
    </w:p>
    <w:p>
      <w:pPr>
        <w:pStyle w:val="H3"/>
        <w:numPr>
          <w:ilvl w:val="2"/>
          <w:numId w:val="1"/>
        </w:numPr>
      </w:pPr>
      <w:r>
        <w:t>Status Legend</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Code</w:t>
            </w:r>
          </w:p>
        </w:tc>
        <w:tc>
          <w:tcPr>
            <w:tcW w:type="dxa" w:w="4873"/>
            <w:vAlign w:val="center"/>
            <w:shd w:fill="000099" w:val="clear"/>
          </w:tcPr>
          <w:p>
            <w:r>
              <w:rPr>
                <w:b/>
                <w:color w:val="FFFFFF"/>
              </w:rPr>
            </w:r>
            <w:r>
              <w:rPr>
                <w:rFonts w:ascii="Figtree" w:hAnsi="Figtree"/>
                <w:b/>
                <w:i w:val="0"/>
                <w:color w:val="FFFFFF"/>
                <w:sz w:val="22"/>
              </w:rPr>
              <w:t>Meaning</w:t>
            </w:r>
          </w:p>
        </w:tc>
      </w:tr>
      <w:tr>
        <w:trPr>
          <w:trHeight w:val="454" w:hRule="atLeast"/>
        </w:trPr>
        <w:tc>
          <w:tcPr>
            <w:tcW w:type="dxa" w:w="4873"/>
            <w:vAlign w:val="center"/>
          </w:tcPr>
          <w:p>
            <w:r/>
            <w:r>
              <w:rPr>
                <w:rFonts w:ascii="Figtree" w:hAnsi="Figtree"/>
                <w:b w:val="0"/>
                <w:i w:val="0"/>
                <w:sz w:val="22"/>
              </w:rPr>
              <w:t>Full</w:t>
            </w:r>
          </w:p>
        </w:tc>
        <w:tc>
          <w:tcPr>
            <w:tcW w:type="dxa" w:w="4873"/>
            <w:vAlign w:val="center"/>
          </w:tcPr>
          <w:p>
            <w:r/>
            <w:r>
              <w:rPr>
                <w:rFonts w:ascii="Figtree" w:hAnsi="Figtree"/>
                <w:b w:val="0"/>
                <w:i w:val="0"/>
                <w:sz w:val="22"/>
              </w:rPr>
              <w:t>Capability available in production today</w:t>
            </w:r>
          </w:p>
        </w:tc>
      </w:tr>
      <w:tr>
        <w:trPr>
          <w:trHeight w:val="454" w:hRule="atLeast"/>
        </w:trPr>
        <w:tc>
          <w:tcPr>
            <w:tcW w:type="dxa" w:w="4873"/>
            <w:vAlign w:val="center"/>
          </w:tcPr>
          <w:p>
            <w:r/>
            <w:r>
              <w:rPr>
                <w:rFonts w:ascii="Figtree" w:hAnsi="Figtree"/>
                <w:b w:val="0"/>
                <w:i w:val="0"/>
                <w:sz w:val="22"/>
              </w:rPr>
              <w:t>Partial</w:t>
            </w:r>
          </w:p>
        </w:tc>
        <w:tc>
          <w:tcPr>
            <w:tcW w:type="dxa" w:w="4873"/>
            <w:vAlign w:val="center"/>
          </w:tcPr>
          <w:p>
            <w:r/>
            <w:r>
              <w:rPr>
                <w:rFonts w:ascii="Figtree" w:hAnsi="Figtree"/>
                <w:b w:val="0"/>
                <w:i w:val="0"/>
                <w:sz w:val="22"/>
              </w:rPr>
              <w:t>Capability partially available; gap and mitigation described</w:t>
            </w:r>
          </w:p>
        </w:tc>
      </w:tr>
      <w:tr>
        <w:trPr>
          <w:trHeight w:val="454" w:hRule="atLeast"/>
        </w:trPr>
        <w:tc>
          <w:tcPr>
            <w:tcW w:type="dxa" w:w="4873"/>
            <w:vAlign w:val="center"/>
          </w:tcPr>
          <w:p>
            <w:r/>
            <w:r>
              <w:rPr>
                <w:rFonts w:ascii="Figtree" w:hAnsi="Figtree"/>
                <w:b w:val="0"/>
                <w:i w:val="0"/>
                <w:sz w:val="22"/>
              </w:rPr>
              <w:t>Configurable</w:t>
            </w:r>
          </w:p>
        </w:tc>
        <w:tc>
          <w:tcPr>
            <w:tcW w:type="dxa" w:w="4873"/>
            <w:vAlign w:val="center"/>
          </w:tcPr>
          <w:p>
            <w:r/>
            <w:r>
              <w:rPr>
                <w:rFonts w:ascii="Figtree" w:hAnsi="Figtree"/>
                <w:b w:val="0"/>
                <w:i w:val="0"/>
                <w:sz w:val="22"/>
              </w:rPr>
              <w:t>Available through platform configuration during implementation</w:t>
            </w:r>
          </w:p>
        </w:tc>
      </w:tr>
      <w:tr>
        <w:trPr>
          <w:trHeight w:val="454" w:hRule="atLeast"/>
        </w:trPr>
        <w:tc>
          <w:tcPr>
            <w:tcW w:type="dxa" w:w="4873"/>
            <w:vAlign w:val="center"/>
          </w:tcPr>
          <w:p>
            <w:r/>
            <w:r>
              <w:rPr>
                <w:rFonts w:ascii="Figtree" w:hAnsi="Figtree"/>
                <w:b w:val="0"/>
                <w:i w:val="0"/>
                <w:sz w:val="22"/>
              </w:rPr>
              <w:t>Assumption</w:t>
            </w:r>
          </w:p>
        </w:tc>
        <w:tc>
          <w:tcPr>
            <w:tcW w:type="dxa" w:w="4873"/>
            <w:vAlign w:val="center"/>
          </w:tcPr>
          <w:p>
            <w:r/>
            <w:r>
              <w:rPr>
                <w:rFonts w:ascii="Figtree" w:hAnsi="Figtree"/>
                <w:b w:val="0"/>
                <w:i w:val="0"/>
                <w:sz w:val="22"/>
              </w:rPr>
              <w:t>Response assumes a condition that requires validation</w:t>
            </w:r>
          </w:p>
        </w:tc>
      </w:tr>
    </w:tbl>
    <w:p>
      <w:pPr>
        <w:pStyle w:val="H3"/>
        <w:numPr>
          <w:ilvl w:val="2"/>
          <w:numId w:val="1"/>
        </w:numPr>
      </w:pPr>
      <w:r>
        <w:t>Detailed Matrix</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Req ID</w:t>
            </w:r>
          </w:p>
        </w:tc>
        <w:tc>
          <w:tcPr>
            <w:tcW w:type="dxa" w:w="1949"/>
            <w:vAlign w:val="center"/>
            <w:shd w:fill="000099" w:val="clear"/>
          </w:tcPr>
          <w:p>
            <w:r>
              <w:rPr>
                <w:b/>
                <w:color w:val="FFFFFF"/>
              </w:rPr>
            </w:r>
            <w:r>
              <w:rPr>
                <w:rFonts w:ascii="Figtree" w:hAnsi="Figtree"/>
                <w:b/>
                <w:i w:val="0"/>
                <w:color w:val="FFFFFF"/>
                <w:sz w:val="22"/>
              </w:rPr>
              <w:t>Requirement Summary</w:t>
            </w:r>
          </w:p>
        </w:tc>
        <w:tc>
          <w:tcPr>
            <w:tcW w:type="dxa" w:w="1949"/>
            <w:vAlign w:val="center"/>
            <w:shd w:fill="000099" w:val="clear"/>
          </w:tcPr>
          <w:p>
            <w:r>
              <w:rPr>
                <w:b/>
                <w:color w:val="FFFFFF"/>
              </w:rPr>
            </w:r>
            <w:r>
              <w:rPr>
                <w:rFonts w:ascii="Figtree" w:hAnsi="Figtree"/>
                <w:b/>
                <w:i w:val="0"/>
                <w:color w:val="FFFFFF"/>
                <w:sz w:val="22"/>
              </w:rPr>
              <w:t>Status</w:t>
            </w:r>
          </w:p>
        </w:tc>
        <w:tc>
          <w:tcPr>
            <w:tcW w:type="dxa" w:w="1949"/>
            <w:vAlign w:val="center"/>
            <w:shd w:fill="000099" w:val="clear"/>
          </w:tcPr>
          <w:p>
            <w:r>
              <w:rPr>
                <w:b/>
                <w:color w:val="FFFFFF"/>
              </w:rPr>
            </w:r>
            <w:r>
              <w:rPr>
                <w:rFonts w:ascii="Figtree" w:hAnsi="Figtree"/>
                <w:b/>
                <w:i w:val="0"/>
                <w:color w:val="FFFFFF"/>
                <w:sz w:val="22"/>
              </w:rPr>
              <w:t>DALP Response</w:t>
            </w:r>
          </w:p>
        </w:tc>
        <w:tc>
          <w:tcPr>
            <w:tcW w:type="dxa" w:w="1949"/>
            <w:vAlign w:val="center"/>
            <w:shd w:fill="000099" w:val="clear"/>
          </w:tcPr>
          <w:p>
            <w:r>
              <w:rPr>
                <w:b/>
                <w:color w:val="FFFFFF"/>
              </w:rPr>
            </w:r>
            <w:r>
              <w:rPr>
                <w:rFonts w:ascii="Figtree" w:hAnsi="Figtree"/>
                <w:b/>
                <w:i w:val="0"/>
                <w:color w:val="FFFFFF"/>
                <w:sz w:val="22"/>
              </w:rPr>
              <w:t>Evidence / Notes</w:t>
            </w:r>
          </w:p>
        </w:tc>
      </w:tr>
      <w:tr>
        <w:trPr>
          <w:trHeight w:val="454" w:hRule="atLeast"/>
        </w:trPr>
        <w:tc>
          <w:tcPr>
            <w:tcW w:type="dxa" w:w="1949"/>
            <w:vAlign w:val="center"/>
          </w:tcPr>
          <w:p>
            <w:r/>
            <w:r>
              <w:rPr>
                <w:rFonts w:ascii="Figtree" w:hAnsi="Figtree"/>
                <w:b w:val="0"/>
                <w:i w:val="0"/>
                <w:sz w:val="22"/>
              </w:rPr>
              <w:t>REQ-01</w:t>
            </w:r>
          </w:p>
        </w:tc>
        <w:tc>
          <w:tcPr>
            <w:tcW w:type="dxa" w:w="1949"/>
            <w:vAlign w:val="center"/>
          </w:tcPr>
          <w:p>
            <w:r/>
            <w:r>
              <w:rPr>
                <w:rFonts w:ascii="Figtree" w:hAnsi="Figtree"/>
                <w:b w:val="0"/>
                <w:i w:val="0"/>
                <w:sz w:val="22"/>
              </w:rPr>
              <w:t>Segregated dev, test, UAT, DR, production environments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Independent DALP instances per environment, Kubernetes-based isolation</w:t>
            </w:r>
          </w:p>
        </w:tc>
        <w:tc>
          <w:tcPr>
            <w:tcW w:type="dxa" w:w="1949"/>
            <w:vAlign w:val="center"/>
          </w:tcPr>
          <w:p>
            <w:r/>
            <w:r>
              <w:rPr>
                <w:rFonts w:ascii="Figtree" w:hAnsi="Figtree"/>
                <w:b w:val="0"/>
                <w:i w:val="0"/>
                <w:sz w:val="22"/>
              </w:rPr>
              <w:t>Architecture section; all reference deployments use multi-environment</w:t>
            </w:r>
          </w:p>
        </w:tc>
      </w:tr>
      <w:tr>
        <w:trPr>
          <w:trHeight w:val="454" w:hRule="atLeast"/>
        </w:trPr>
        <w:tc>
          <w:tcPr>
            <w:tcW w:type="dxa" w:w="1949"/>
            <w:vAlign w:val="center"/>
          </w:tcPr>
          <w:p>
            <w:r/>
            <w:r>
              <w:rPr>
                <w:rFonts w:ascii="Figtree" w:hAnsi="Figtree"/>
                <w:b w:val="0"/>
                <w:i w:val="0"/>
                <w:sz w:val="22"/>
              </w:rPr>
              <w:t>REQ-02</w:t>
            </w:r>
          </w:p>
        </w:tc>
        <w:tc>
          <w:tcPr>
            <w:tcW w:type="dxa" w:w="1949"/>
            <w:vAlign w:val="center"/>
          </w:tcPr>
          <w:p>
            <w:r/>
            <w:r>
              <w:rPr>
                <w:rFonts w:ascii="Figtree" w:hAnsi="Figtree"/>
                <w:b w:val="0"/>
                <w:i w:val="0"/>
                <w:sz w:val="22"/>
              </w:rPr>
              <w:t>API-first interfaces, eventing, version governance</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DAPI REST v2 (OpenAPI 3.1), webhooks, SDK, CLI (301 commands), SSE streaming</w:t>
            </w:r>
          </w:p>
        </w:tc>
        <w:tc>
          <w:tcPr>
            <w:tcW w:type="dxa" w:w="1949"/>
            <w:vAlign w:val="center"/>
          </w:tcPr>
          <w:p>
            <w:r/>
            <w:r>
              <w:rPr>
                <w:rFonts w:ascii="Figtree" w:hAnsi="Figtree"/>
                <w:b w:val="0"/>
                <w:i w:val="0"/>
                <w:sz w:val="22"/>
              </w:rPr>
              <w:t>Integration Architecture section</w:t>
            </w:r>
          </w:p>
        </w:tc>
      </w:tr>
      <w:tr>
        <w:trPr>
          <w:trHeight w:val="454" w:hRule="atLeast"/>
        </w:trPr>
        <w:tc>
          <w:tcPr>
            <w:tcW w:type="dxa" w:w="1949"/>
            <w:vAlign w:val="center"/>
          </w:tcPr>
          <w:p>
            <w:r/>
            <w:r>
              <w:rPr>
                <w:rFonts w:ascii="Figtree" w:hAnsi="Figtree"/>
                <w:b w:val="0"/>
                <w:i w:val="0"/>
                <w:sz w:val="22"/>
              </w:rPr>
              <w:t>REQ-03</w:t>
            </w:r>
          </w:p>
        </w:tc>
        <w:tc>
          <w:tcPr>
            <w:tcW w:type="dxa" w:w="1949"/>
            <w:vAlign w:val="center"/>
          </w:tcPr>
          <w:p>
            <w:r/>
            <w:r>
              <w:rPr>
                <w:rFonts w:ascii="Figtree" w:hAnsi="Figtree"/>
                <w:b w:val="0"/>
                <w:i w:val="0"/>
                <w:sz w:val="22"/>
              </w:rPr>
              <w:t>RBAC, segregation of duties, maker-checker, audit logs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9 permission levels, maker-checker native, immutable audit trail</w:t>
            </w:r>
          </w:p>
        </w:tc>
        <w:tc>
          <w:tcPr>
            <w:tcW w:type="dxa" w:w="1949"/>
            <w:vAlign w:val="center"/>
          </w:tcPr>
          <w:p>
            <w:r/>
            <w:r>
              <w:rPr>
                <w:rFonts w:ascii="Figtree" w:hAnsi="Figtree"/>
                <w:b w:val="0"/>
                <w:i w:val="0"/>
                <w:sz w:val="22"/>
              </w:rPr>
              <w:t>Security section; Identity section</w:t>
            </w:r>
          </w:p>
        </w:tc>
      </w:tr>
      <w:tr>
        <w:trPr>
          <w:trHeight w:val="454" w:hRule="atLeast"/>
        </w:trPr>
        <w:tc>
          <w:tcPr>
            <w:tcW w:type="dxa" w:w="1949"/>
            <w:vAlign w:val="center"/>
          </w:tcPr>
          <w:p>
            <w:r/>
            <w:r>
              <w:rPr>
                <w:rFonts w:ascii="Figtree" w:hAnsi="Figtree"/>
                <w:b w:val="0"/>
                <w:i w:val="0"/>
                <w:sz w:val="22"/>
              </w:rPr>
              <w:t>REQ-04</w:t>
            </w:r>
          </w:p>
        </w:tc>
        <w:tc>
          <w:tcPr>
            <w:tcW w:type="dxa" w:w="1949"/>
            <w:vAlign w:val="center"/>
          </w:tcPr>
          <w:p>
            <w:r/>
            <w:r>
              <w:rPr>
                <w:rFonts w:ascii="Figtree" w:hAnsi="Figtree"/>
                <w:b w:val="0"/>
                <w:i w:val="0"/>
                <w:sz w:val="22"/>
              </w:rPr>
              <w:t>Configurable lifecycle, policy controls, limits, reconciliation</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DALPAsset configurable features and compliance modules, runtime reconfiguration</w:t>
            </w:r>
          </w:p>
        </w:tc>
        <w:tc>
          <w:tcPr>
            <w:tcW w:type="dxa" w:w="1949"/>
            <w:vAlign w:val="center"/>
          </w:tcPr>
          <w:p>
            <w:r/>
            <w:r>
              <w:rPr>
                <w:rFonts w:ascii="Figtree" w:hAnsi="Figtree"/>
                <w:b w:val="0"/>
                <w:i w:val="0"/>
                <w:sz w:val="22"/>
              </w:rPr>
              <w:t>Proposed Solution section</w:t>
            </w:r>
          </w:p>
        </w:tc>
      </w:tr>
      <w:tr>
        <w:trPr>
          <w:trHeight w:val="454" w:hRule="atLeast"/>
        </w:trPr>
        <w:tc>
          <w:tcPr>
            <w:tcW w:type="dxa" w:w="1949"/>
            <w:vAlign w:val="center"/>
          </w:tcPr>
          <w:p>
            <w:r/>
            <w:r>
              <w:rPr>
                <w:rFonts w:ascii="Figtree" w:hAnsi="Figtree"/>
                <w:b w:val="0"/>
                <w:i w:val="0"/>
                <w:sz w:val="22"/>
              </w:rPr>
              <w:t>REQ-05</w:t>
            </w:r>
          </w:p>
        </w:tc>
        <w:tc>
          <w:tcPr>
            <w:tcW w:type="dxa" w:w="1949"/>
            <w:vAlign w:val="center"/>
          </w:tcPr>
          <w:p>
            <w:r/>
            <w:r>
              <w:rPr>
                <w:rFonts w:ascii="Figtree" w:hAnsi="Figtree"/>
                <w:b w:val="0"/>
                <w:i w:val="0"/>
                <w:sz w:val="22"/>
              </w:rPr>
              <w:t>Third-party dependency disclosure</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Dependency register provided; custody (DFNS/Fireblocks), infrastructure (cloud provider)</w:t>
            </w:r>
          </w:p>
        </w:tc>
        <w:tc>
          <w:tcPr>
            <w:tcW w:type="dxa" w:w="1949"/>
            <w:vAlign w:val="center"/>
          </w:tcPr>
          <w:p>
            <w:r/>
            <w:r>
              <w:rPr>
                <w:rFonts w:ascii="Figtree" w:hAnsi="Figtree"/>
                <w:b w:val="0"/>
                <w:i w:val="0"/>
                <w:sz w:val="22"/>
              </w:rPr>
              <w:t>Dependencies section</w:t>
            </w:r>
          </w:p>
        </w:tc>
      </w:tr>
      <w:tr>
        <w:trPr>
          <w:trHeight w:val="454" w:hRule="atLeast"/>
        </w:trPr>
        <w:tc>
          <w:tcPr>
            <w:tcW w:type="dxa" w:w="1949"/>
            <w:vAlign w:val="center"/>
          </w:tcPr>
          <w:p>
            <w:r/>
            <w:r>
              <w:rPr>
                <w:rFonts w:ascii="Figtree" w:hAnsi="Figtree"/>
                <w:b w:val="0"/>
                <w:i w:val="0"/>
                <w:sz w:val="22"/>
              </w:rPr>
              <w:t>REQ-06</w:t>
            </w:r>
          </w:p>
        </w:tc>
        <w:tc>
          <w:tcPr>
            <w:tcW w:type="dxa" w:w="1949"/>
            <w:vAlign w:val="center"/>
          </w:tcPr>
          <w:p>
            <w:r/>
            <w:r>
              <w:rPr>
                <w:rFonts w:ascii="Figtree" w:hAnsi="Figtree"/>
                <w:b w:val="0"/>
                <w:i w:val="0"/>
                <w:sz w:val="22"/>
              </w:rPr>
              <w:t>Resilience, recovery, backup, monitoring, incident management</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Multi-AZ, continuous backup, Grafana monitoring, automated alerting, incident escalation</w:t>
            </w:r>
          </w:p>
        </w:tc>
        <w:tc>
          <w:tcPr>
            <w:tcW w:type="dxa" w:w="1949"/>
            <w:vAlign w:val="center"/>
          </w:tcPr>
          <w:p>
            <w:r/>
            <w:r>
              <w:rPr>
                <w:rFonts w:ascii="Figtree" w:hAnsi="Figtree"/>
                <w:b w:val="0"/>
                <w:i w:val="0"/>
                <w:sz w:val="22"/>
              </w:rPr>
              <w:t>Security section; Deployment section</w:t>
            </w:r>
          </w:p>
        </w:tc>
      </w:tr>
      <w:tr>
        <w:trPr>
          <w:trHeight w:val="454" w:hRule="atLeast"/>
        </w:trPr>
        <w:tc>
          <w:tcPr>
            <w:tcW w:type="dxa" w:w="1949"/>
            <w:vAlign w:val="center"/>
          </w:tcPr>
          <w:p>
            <w:r/>
            <w:r>
              <w:rPr>
                <w:rFonts w:ascii="Figtree" w:hAnsi="Figtree"/>
                <w:b w:val="0"/>
                <w:i w:val="0"/>
                <w:sz w:val="22"/>
              </w:rPr>
              <w:t>REQ-07</w:t>
            </w:r>
          </w:p>
        </w:tc>
        <w:tc>
          <w:tcPr>
            <w:tcW w:type="dxa" w:w="1949"/>
            <w:vAlign w:val="center"/>
          </w:tcPr>
          <w:p>
            <w:r/>
            <w:r>
              <w:rPr>
                <w:rFonts w:ascii="Figtree" w:hAnsi="Figtree"/>
                <w:b w:val="0"/>
                <w:i w:val="0"/>
                <w:sz w:val="22"/>
              </w:rPr>
              <w:t>Delivery method, client effort, phased implementation</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19-week phase-gated methodology, 75 person-day client effort estimate</w:t>
            </w:r>
          </w:p>
        </w:tc>
        <w:tc>
          <w:tcPr>
            <w:tcW w:type="dxa" w:w="1949"/>
            <w:vAlign w:val="center"/>
          </w:tcPr>
          <w:p>
            <w:r/>
            <w:r>
              <w:rPr>
                <w:rFonts w:ascii="Figtree" w:hAnsi="Figtree"/>
                <w:b w:val="0"/>
                <w:i w:val="0"/>
                <w:sz w:val="22"/>
              </w:rPr>
              <w:t>Implementation section</w:t>
            </w:r>
          </w:p>
        </w:tc>
      </w:tr>
      <w:tr>
        <w:trPr>
          <w:trHeight w:val="454" w:hRule="atLeast"/>
        </w:trPr>
        <w:tc>
          <w:tcPr>
            <w:tcW w:type="dxa" w:w="1949"/>
            <w:vAlign w:val="center"/>
          </w:tcPr>
          <w:p>
            <w:r/>
            <w:r>
              <w:rPr>
                <w:rFonts w:ascii="Figtree" w:hAnsi="Figtree"/>
                <w:b w:val="0"/>
                <w:i w:val="0"/>
                <w:sz w:val="22"/>
              </w:rPr>
              <w:t>REQ-08</w:t>
            </w:r>
          </w:p>
        </w:tc>
        <w:tc>
          <w:tcPr>
            <w:tcW w:type="dxa" w:w="1949"/>
            <w:vAlign w:val="center"/>
          </w:tcPr>
          <w:p>
            <w:r/>
            <w:r>
              <w:rPr>
                <w:rFonts w:ascii="Figtree" w:hAnsi="Figtree"/>
                <w:b w:val="0"/>
                <w:i w:val="0"/>
                <w:sz w:val="22"/>
              </w:rPr>
              <w:t>Evidence extraction for audit, supervisory review, board reporting</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GraphQL queries, configurable report templates, immutable on-chain evidence</w:t>
            </w:r>
          </w:p>
        </w:tc>
        <w:tc>
          <w:tcPr>
            <w:tcW w:type="dxa" w:w="1949"/>
            <w:vAlign w:val="center"/>
          </w:tcPr>
          <w:p>
            <w:r/>
            <w:r>
              <w:rPr>
                <w:rFonts w:ascii="Figtree" w:hAnsi="Figtree"/>
                <w:b w:val="0"/>
                <w:i w:val="0"/>
                <w:sz w:val="22"/>
              </w:rPr>
              <w:t>Integration section; Observability</w:t>
            </w:r>
          </w:p>
        </w:tc>
      </w:tr>
      <w:tr>
        <w:trPr>
          <w:trHeight w:val="454" w:hRule="atLeast"/>
        </w:trPr>
        <w:tc>
          <w:tcPr>
            <w:tcW w:type="dxa" w:w="1949"/>
            <w:vAlign w:val="center"/>
          </w:tcPr>
          <w:p>
            <w:r/>
            <w:r>
              <w:rPr>
                <w:rFonts w:ascii="Figtree" w:hAnsi="Figtree"/>
                <w:b w:val="0"/>
                <w:i w:val="0"/>
                <w:sz w:val="22"/>
              </w:rPr>
              <w:t>REQ-09</w:t>
            </w:r>
          </w:p>
        </w:tc>
        <w:tc>
          <w:tcPr>
            <w:tcW w:type="dxa" w:w="1949"/>
            <w:vAlign w:val="center"/>
          </w:tcPr>
          <w:p>
            <w:r/>
            <w:r>
              <w:rPr>
                <w:rFonts w:ascii="Figtree" w:hAnsi="Figtree"/>
                <w:b w:val="0"/>
                <w:i w:val="0"/>
                <w:sz w:val="22"/>
              </w:rPr>
              <w:t>Document-linked trade workflows, milestones, counterparty controls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Durable workflow engine, milestone-based features, transfer approval modules</w:t>
            </w:r>
          </w:p>
        </w:tc>
        <w:tc>
          <w:tcPr>
            <w:tcW w:type="dxa" w:w="1949"/>
            <w:vAlign w:val="center"/>
          </w:tcPr>
          <w:p>
            <w:r/>
            <w:r>
              <w:rPr>
                <w:rFonts w:ascii="Figtree" w:hAnsi="Figtree"/>
                <w:b w:val="0"/>
                <w:i w:val="0"/>
                <w:sz w:val="22"/>
              </w:rPr>
              <w:t>Proposed Solution section</w:t>
            </w:r>
          </w:p>
        </w:tc>
      </w:tr>
      <w:tr>
        <w:trPr>
          <w:trHeight w:val="454" w:hRule="atLeast"/>
        </w:trPr>
        <w:tc>
          <w:tcPr>
            <w:tcW w:type="dxa" w:w="1949"/>
            <w:vAlign w:val="center"/>
          </w:tcPr>
          <w:p>
            <w:r/>
            <w:r>
              <w:rPr>
                <w:rFonts w:ascii="Figtree" w:hAnsi="Figtree"/>
                <w:b w:val="0"/>
                <w:i w:val="0"/>
                <w:sz w:val="22"/>
              </w:rPr>
              <w:t>REQ-10</w:t>
            </w:r>
          </w:p>
        </w:tc>
        <w:tc>
          <w:tcPr>
            <w:tcW w:type="dxa" w:w="1949"/>
            <w:vAlign w:val="center"/>
          </w:tcPr>
          <w:p>
            <w:r/>
            <w:r>
              <w:rPr>
                <w:rFonts w:ascii="Figtree" w:hAnsi="Figtree"/>
                <w:b w:val="0"/>
                <w:i w:val="0"/>
                <w:sz w:val="22"/>
              </w:rPr>
              <w:t>Reconciliation to core trade and treasury books</w:t>
            </w:r>
          </w:p>
        </w:tc>
        <w:tc>
          <w:tcPr>
            <w:tcW w:type="dxa" w:w="1949"/>
            <w:vAlign w:val="center"/>
          </w:tcPr>
          <w:p>
            <w:r/>
            <w:r>
              <w:rPr>
                <w:rFonts w:ascii="Figtree" w:hAnsi="Figtree"/>
                <w:b w:val="0"/>
                <w:i w:val="0"/>
                <w:sz w:val="22"/>
              </w:rPr>
              <w:t>Configurable</w:t>
            </w:r>
          </w:p>
        </w:tc>
        <w:tc>
          <w:tcPr>
            <w:tcW w:type="dxa" w:w="1949"/>
            <w:vAlign w:val="center"/>
          </w:tcPr>
          <w:p>
            <w:r/>
            <w:r>
              <w:rPr>
                <w:rFonts w:ascii="Figtree" w:hAnsi="Figtree"/>
                <w:b w:val="0"/>
                <w:i w:val="0"/>
                <w:sz w:val="22"/>
              </w:rPr>
              <w:t>REST API integration for bidirectional reconciliation; webhook-driven sync</w:t>
            </w:r>
          </w:p>
        </w:tc>
        <w:tc>
          <w:tcPr>
            <w:tcW w:type="dxa" w:w="1949"/>
            <w:vAlign w:val="center"/>
          </w:tcPr>
          <w:p>
            <w:r/>
            <w:r>
              <w:rPr>
                <w:rFonts w:ascii="Figtree" w:hAnsi="Figtree"/>
                <w:b w:val="0"/>
                <w:i w:val="0"/>
                <w:sz w:val="22"/>
              </w:rPr>
              <w:t>Requires Phase 4 integration work</w:t>
            </w:r>
          </w:p>
        </w:tc>
      </w:tr>
      <w:tr>
        <w:trPr>
          <w:trHeight w:val="454" w:hRule="atLeast"/>
        </w:trPr>
        <w:tc>
          <w:tcPr>
            <w:tcW w:type="dxa" w:w="1949"/>
            <w:vAlign w:val="center"/>
          </w:tcPr>
          <w:p>
            <w:r/>
            <w:r>
              <w:rPr>
                <w:rFonts w:ascii="Figtree" w:hAnsi="Figtree"/>
                <w:b w:val="0"/>
                <w:i w:val="0"/>
                <w:sz w:val="22"/>
              </w:rPr>
              <w:t>REQ-11</w:t>
            </w:r>
          </w:p>
        </w:tc>
        <w:tc>
          <w:tcPr>
            <w:tcW w:type="dxa" w:w="1949"/>
            <w:vAlign w:val="center"/>
          </w:tcPr>
          <w:p>
            <w:r/>
            <w:r>
              <w:rPr>
                <w:rFonts w:ascii="Figtree" w:hAnsi="Figtree"/>
                <w:b w:val="0"/>
                <w:i w:val="0"/>
                <w:sz w:val="22"/>
              </w:rPr>
              <w:t>Multi-entity trade limit allocation</w:t>
            </w:r>
          </w:p>
        </w:tc>
        <w:tc>
          <w:tcPr>
            <w:tcW w:type="dxa" w:w="1949"/>
            <w:vAlign w:val="center"/>
          </w:tcPr>
          <w:p>
            <w:r/>
            <w:r>
              <w:rPr>
                <w:rFonts w:ascii="Figtree" w:hAnsi="Figtree"/>
                <w:b w:val="0"/>
                <w:i w:val="0"/>
                <w:sz w:val="22"/>
              </w:rPr>
              <w:t>Configurable</w:t>
            </w:r>
          </w:p>
        </w:tc>
        <w:tc>
          <w:tcPr>
            <w:tcW w:type="dxa" w:w="1949"/>
            <w:vAlign w:val="center"/>
          </w:tcPr>
          <w:p>
            <w:r/>
            <w:r>
              <w:rPr>
                <w:rFonts w:ascii="Figtree" w:hAnsi="Figtree"/>
                <w:b w:val="0"/>
                <w:i w:val="0"/>
                <w:sz w:val="22"/>
              </w:rPr>
              <w:t>Compliance modules support entity-level limits; multi-entity allocation via API</w:t>
            </w:r>
          </w:p>
        </w:tc>
        <w:tc>
          <w:tcPr>
            <w:tcW w:type="dxa" w:w="1949"/>
            <w:vAlign w:val="center"/>
          </w:tcPr>
          <w:p>
            <w:r/>
            <w:r>
              <w:rPr>
                <w:rFonts w:ascii="Figtree" w:hAnsi="Figtree"/>
                <w:b w:val="0"/>
                <w:i w:val="0"/>
                <w:sz w:val="22"/>
              </w:rPr>
              <w:t>Requires configuration during Phase 3</w:t>
            </w:r>
          </w:p>
        </w:tc>
      </w:tr>
    </w:tbl>
    <w:p>
      <w:r>
        <w:br w:type="page"/>
      </w:r>
    </w:p>
    <w:p>
      <w:pPr>
        <w:pStyle w:val="H2"/>
        <w:numPr>
          <w:ilvl w:val="1"/>
          <w:numId w:val="1"/>
        </w:numPr>
      </w:pPr>
      <w:r>
        <w:t>Detailed Platform Capabilities for Deposits and Trade Finance</w:t>
      </w:r>
    </w:p>
    <w:p>
      <w:pPr>
        <w:pStyle w:val="H3"/>
        <w:numPr>
          <w:ilvl w:val="2"/>
          <w:numId w:val="1"/>
        </w:numPr>
      </w:pPr>
      <w:r>
        <w:t>Deposit Token Design and Configuration</w:t>
      </w:r>
    </w:p>
    <w:p>
      <w:r>
        <w:rPr>
          <w:rFonts w:ascii="Figtree" w:hAnsi="Figtree"/>
          <w:b w:val="0"/>
          <w:i w:val="0"/>
          <w:sz w:val="22"/>
        </w:rPr>
        <w:t>The traditional approach to tokenizing bank deposits requires specialized Solidity development, security audits costing $200,000 to $500,000 per engagement, and deployment cycles measured in months. For an institution like Emirates NBD offering multiple deposit products — term deposits, notice deposits, callable deposits, and structured deposits — this would mean separate development tracks, each with its own codebase, audit burden, and maintenance cost.</w:t>
      </w:r>
    </w:p>
    <w:p>
      <w:r>
        <w:rPr>
          <w:rFonts w:ascii="Figtree" w:hAnsi="Figtree"/>
          <w:b w:val="0"/>
          <w:i w:val="0"/>
          <w:sz w:val="22"/>
        </w:rPr>
        <w:t>DALP replaces this with a configuration-driven model. At the core of the platform is DALPAsset, a unified, audited token contract built on the ERC-3643 (T-REX) standard. Rather than writing custom smart contracts for each deposit product, Emirates NBD's operators configure DALPAsset through the Asset Designer wizard, which captures the full specification of the instrument: asset class (Cash Equivalent / Deposit), token parameters (name, symbol, decimals, jurisdiction), economic configuration (denomination asset, maximum supply, face value), compliance rules (module selection and parameters), and deployment settings (upgradeable vs. immutable, network selection).</w:t>
      </w:r>
    </w:p>
    <w:p>
      <w:r>
        <w:rPr>
          <w:rFonts w:ascii="Figtree" w:hAnsi="Figtree"/>
          <w:b w:val="0"/>
          <w:i w:val="0"/>
          <w:sz w:val="22"/>
        </w:rPr>
        <w:t>The Asset Designer validates inputs in real time. Asset name and symbol availability are checked against all existing deployments. Jurisdiction is assigned at creation time, binding the token to its regulatory context from the outset. The denomination asset link — connecting a tokenized deposit to a specific on-chain settlement token — establishes the DvP settlement relationship before the first token is ever minted. This means atomic settlement is not an afterthought; it is configured into the instrument from the start.</w:t>
      </w:r>
    </w:p>
    <w:p>
      <w:r>
        <w:rPr>
          <w:rFonts w:ascii="Figtree" w:hAnsi="Figtree"/>
          <w:b w:val="0"/>
          <w:i w:val="0"/>
          <w:sz w:val="22"/>
        </w:rPr>
        <w:t>For Emirates NBD's tokenized deposits, the configuration workflow proceeds as follows:</w:t>
      </w:r>
    </w:p>
    <w:p>
      <w:pPr>
        <w:pStyle w:val="ListParagraph"/>
        <w:numPr>
          <w:ilvl w:val="0"/>
          <w:numId w:val="16"/>
        </w:numPr>
      </w:pPr>
      <w:r>
        <w:rPr>
          <w:rFonts w:ascii="Figtree" w:hAnsi="Figtree"/>
          <w:b/>
          <w:i w:val="0"/>
          <w:sz w:val="22"/>
        </w:rPr>
        <w:t>Asset class selection:</w:t>
      </w:r>
      <w:r>
        <w:rPr>
          <w:rFonts w:ascii="Figtree" w:hAnsi="Figtree"/>
          <w:b w:val="0"/>
          <w:i w:val="0"/>
          <w:sz w:val="22"/>
        </w:rPr>
        <w:t xml:space="preserve"> Cash Equivalent → Deposit</w:t>
      </w:r>
    </w:p>
    <w:p>
      <w:pPr>
        <w:pStyle w:val="ListParagraph"/>
        <w:numPr>
          <w:ilvl w:val="0"/>
          <w:numId w:val="16"/>
        </w:numPr>
      </w:pPr>
      <w:r>
        <w:rPr>
          <w:rFonts w:ascii="Figtree" w:hAnsi="Figtree"/>
          <w:b/>
          <w:i w:val="0"/>
          <w:sz w:val="22"/>
        </w:rPr>
        <w:t>Basic parameters:</w:t>
      </w:r>
      <w:r>
        <w:rPr>
          <w:rFonts w:ascii="Figtree" w:hAnsi="Figtree"/>
          <w:b w:val="0"/>
          <w:i w:val="0"/>
          <w:sz w:val="22"/>
        </w:rPr>
        <w:t xml:space="preserve"> Name (e.g., "Emirates NBD Term Deposit AED"), Symbol (e.g., "ENBD-TD-AED"), Decimals (18), Jurisdiction (UAE)</w:t>
      </w:r>
    </w:p>
    <w:p>
      <w:pPr>
        <w:pStyle w:val="ListParagraph"/>
        <w:numPr>
          <w:ilvl w:val="0"/>
          <w:numId w:val="16"/>
        </w:numPr>
      </w:pPr>
      <w:r>
        <w:rPr>
          <w:rFonts w:ascii="Figtree" w:hAnsi="Figtree"/>
          <w:b/>
          <w:i w:val="0"/>
          <w:sz w:val="22"/>
        </w:rPr>
        <w:t>Economic configuration:</w:t>
      </w:r>
      <w:r>
        <w:rPr>
          <w:rFonts w:ascii="Figtree" w:hAnsi="Figtree"/>
          <w:b w:val="0"/>
          <w:i w:val="0"/>
          <w:sz w:val="22"/>
        </w:rPr>
        <w:t xml:space="preserve"> Denomination asset (AED settlement token), maximum supply (aligned with deposit programme limit), face value per token</w:t>
      </w:r>
    </w:p>
    <w:p>
      <w:pPr>
        <w:pStyle w:val="ListParagraph"/>
        <w:numPr>
          <w:ilvl w:val="0"/>
          <w:numId w:val="16"/>
        </w:numPr>
      </w:pPr>
      <w:r>
        <w:rPr>
          <w:rFonts w:ascii="Figtree" w:hAnsi="Figtree"/>
          <w:b/>
          <w:i w:val="0"/>
          <w:sz w:val="22"/>
        </w:rPr>
        <w:t>Feature selection and ordering:</w:t>
      </w:r>
    </w:p>
    <w:p>
      <w:pPr>
        <w:pStyle w:val="ListParagraph"/>
        <w:numPr>
          <w:ilvl w:val="1"/>
          <w:numId w:val="4"/>
        </w:numPr>
      </w:pPr>
      <w:r>
        <w:rPr>
          <w:rFonts w:ascii="Figtree" w:hAnsi="Figtree"/>
          <w:b w:val="0"/>
          <w:i w:val="0"/>
          <w:sz w:val="22"/>
        </w:rPr>
        <w:t>Historical balances (snapshot capability for regulatory reporting)</w:t>
      </w:r>
    </w:p>
    <w:p>
      <w:pPr>
        <w:pStyle w:val="ListParagraph"/>
        <w:numPr>
          <w:ilvl w:val="1"/>
          <w:numId w:val="4"/>
        </w:numPr>
      </w:pPr>
      <w:r>
        <w:rPr>
          <w:rFonts w:ascii="Figtree" w:hAnsi="Figtree"/>
          <w:b w:val="0"/>
          <w:i w:val="0"/>
          <w:sz w:val="22"/>
        </w:rPr>
        <w:t>Fixed treasury yield (automated interest accrual at configured rate)</w:t>
      </w:r>
    </w:p>
    <w:p>
      <w:pPr>
        <w:pStyle w:val="ListParagraph"/>
        <w:numPr>
          <w:ilvl w:val="1"/>
          <w:numId w:val="4"/>
        </w:numPr>
      </w:pPr>
      <w:r>
        <w:rPr>
          <w:rFonts w:ascii="Figtree" w:hAnsi="Figtree"/>
          <w:b w:val="0"/>
          <w:i w:val="0"/>
          <w:sz w:val="22"/>
        </w:rPr>
        <w:t>Maturity and redemption (automated processing at maturity date)</w:t>
      </w:r>
    </w:p>
    <w:p>
      <w:pPr>
        <w:pStyle w:val="ListParagraph"/>
        <w:numPr>
          <w:ilvl w:val="1"/>
          <w:numId w:val="4"/>
        </w:numPr>
      </w:pPr>
      <w:r>
        <w:rPr>
          <w:rFonts w:ascii="Figtree" w:hAnsi="Figtree"/>
          <w:b w:val="0"/>
          <w:i w:val="0"/>
          <w:sz w:val="22"/>
        </w:rPr>
        <w:t>Transaction fee accounting (for treasury reconciliation)</w:t>
      </w:r>
    </w:p>
    <w:p>
      <w:pPr>
        <w:pStyle w:val="ListParagraph"/>
        <w:numPr>
          <w:ilvl w:val="1"/>
          <w:numId w:val="4"/>
        </w:numPr>
      </w:pPr>
      <w:r>
        <w:rPr>
          <w:rFonts w:ascii="Figtree" w:hAnsi="Figtree"/>
          <w:b w:val="0"/>
          <w:i w:val="0"/>
          <w:sz w:val="22"/>
        </w:rPr>
        <w:t>Permit / EIP-2612 (gasless approvals for operational efficiency)</w:t>
      </w:r>
    </w:p>
    <w:p>
      <w:pPr>
        <w:pStyle w:val="ListParagraph"/>
        <w:numPr>
          <w:ilvl w:val="0"/>
          <w:numId w:val="16"/>
        </w:numPr>
      </w:pPr>
      <w:r>
        <w:rPr>
          <w:rFonts w:ascii="Figtree" w:hAnsi="Figtree"/>
          <w:b/>
          <w:i w:val="0"/>
          <w:sz w:val="22"/>
        </w:rPr>
        <w:t>Compliance module binding:</w:t>
      </w:r>
    </w:p>
    <w:p>
      <w:pPr>
        <w:pStyle w:val="ListParagraph"/>
        <w:numPr>
          <w:ilvl w:val="1"/>
          <w:numId w:val="4"/>
        </w:numPr>
      </w:pPr>
      <w:r>
        <w:rPr>
          <w:rFonts w:ascii="Figtree" w:hAnsi="Figtree"/>
          <w:b w:val="0"/>
          <w:i w:val="0"/>
          <w:sz w:val="22"/>
        </w:rPr>
        <w:t>Identity verification (mandatory for all transfers)</w:t>
      </w:r>
    </w:p>
    <w:p>
      <w:pPr>
        <w:pStyle w:val="ListParagraph"/>
        <w:numPr>
          <w:ilvl w:val="1"/>
          <w:numId w:val="4"/>
        </w:numPr>
      </w:pPr>
      <w:r>
        <w:rPr>
          <w:rFonts w:ascii="Figtree" w:hAnsi="Figtree"/>
          <w:b w:val="0"/>
          <w:i w:val="0"/>
          <w:sz w:val="22"/>
        </w:rPr>
        <w:t>Country allow list (UAE and approved jurisdictions)</w:t>
      </w:r>
    </w:p>
    <w:p>
      <w:pPr>
        <w:pStyle w:val="ListParagraph"/>
        <w:numPr>
          <w:ilvl w:val="1"/>
          <w:numId w:val="4"/>
        </w:numPr>
      </w:pPr>
      <w:r>
        <w:rPr>
          <w:rFonts w:ascii="Figtree" w:hAnsi="Figtree"/>
          <w:b w:val="0"/>
          <w:i w:val="0"/>
          <w:sz w:val="22"/>
        </w:rPr>
        <w:t>Investor count limit (regulatory cap on depositors)</w:t>
      </w:r>
    </w:p>
    <w:p>
      <w:pPr>
        <w:pStyle w:val="ListParagraph"/>
        <w:numPr>
          <w:ilvl w:val="1"/>
          <w:numId w:val="4"/>
        </w:numPr>
      </w:pPr>
      <w:r>
        <w:rPr>
          <w:rFonts w:ascii="Figtree" w:hAnsi="Figtree"/>
          <w:b w:val="0"/>
          <w:i w:val="0"/>
          <w:sz w:val="22"/>
        </w:rPr>
        <w:t>Transfer approval (maker-checker for transfers above threshold)</w:t>
      </w:r>
    </w:p>
    <w:p>
      <w:pPr>
        <w:pStyle w:val="ListParagraph"/>
        <w:numPr>
          <w:ilvl w:val="0"/>
          <w:numId w:val="16"/>
        </w:numPr>
      </w:pPr>
      <w:r>
        <w:rPr>
          <w:rFonts w:ascii="Figtree" w:hAnsi="Figtree"/>
          <w:b/>
          <w:i w:val="0"/>
          <w:sz w:val="22"/>
        </w:rPr>
        <w:t>Deployment configuration:</w:t>
      </w:r>
      <w:r>
        <w:rPr>
          <w:rFonts w:ascii="Figtree" w:hAnsi="Figtree"/>
          <w:b w:val="0"/>
          <w:i w:val="0"/>
          <w:sz w:val="22"/>
        </w:rPr>
        <w:t xml:space="preserve"> UUPS proxy (upgradeable), Hyperledger Besu network</w:t>
      </w:r>
    </w:p>
    <w:p>
      <w:r>
        <w:rPr>
          <w:rFonts w:ascii="Figtree" w:hAnsi="Figtree"/>
          <w:b w:val="0"/>
          <w:i w:val="0"/>
          <w:sz w:val="22"/>
        </w:rPr>
        <w:t>The resulting token inherits the security guarantees of the audited SMART Protocol. Every component — the token logic, compliance modules, identity verification — has been independently audited. Emirates NBD does not need to commission separate security audits for each deposit product.</w:t>
      </w:r>
    </w:p>
    <w:p>
      <w:pPr>
        <w:pStyle w:val="H3"/>
        <w:numPr>
          <w:ilvl w:val="2"/>
          <w:numId w:val="1"/>
        </w:numPr>
      </w:pPr>
      <w:r>
        <w:t>Trade Finance Instrument Configuration</w:t>
      </w:r>
    </w:p>
    <w:p>
      <w:r>
        <w:rPr>
          <w:rFonts w:ascii="Figtree" w:hAnsi="Figtree"/>
          <w:b w:val="0"/>
          <w:i w:val="0"/>
          <w:sz w:val="22"/>
        </w:rPr>
        <w:t>Trade finance instruments present a different configuration challenge. Unlike deposits, which follow relatively standardized lifecycle patterns, trade finance instruments are document-linked, multi-party, and milestone-driven. A letter of credit involves document presentation, counterparty verification, multiple approval stages, conditional payment release, and final settlement — all of which must produce auditable evidence.</w:t>
      </w:r>
    </w:p>
    <w:p>
      <w:r>
        <w:rPr>
          <w:rFonts w:ascii="Figtree" w:hAnsi="Figtree"/>
          <w:b w:val="0"/>
          <w:i w:val="0"/>
          <w:sz w:val="22"/>
        </w:rPr>
        <w:t>DALP handles this complexity through DALPAsset's configurable architecture combined with the durable workflow engine:</w:t>
      </w:r>
    </w:p>
    <w:p>
      <w:pPr>
        <w:pStyle w:val="ListParagraph"/>
        <w:numPr>
          <w:ilvl w:val="0"/>
          <w:numId w:val="17"/>
        </w:numPr>
      </w:pPr>
      <w:r>
        <w:rPr>
          <w:rFonts w:ascii="Figtree" w:hAnsi="Figtree"/>
          <w:b/>
          <w:i w:val="0"/>
          <w:sz w:val="22"/>
        </w:rPr>
        <w:t>Asset class selection:</w:t>
      </w:r>
      <w:r>
        <w:rPr>
          <w:rFonts w:ascii="Figtree" w:hAnsi="Figtree"/>
          <w:b w:val="0"/>
          <w:i w:val="0"/>
          <w:sz w:val="22"/>
        </w:rPr>
        <w:t xml:space="preserve"> Configurable (DALPAsset)</w:t>
      </w:r>
    </w:p>
    <w:p>
      <w:pPr>
        <w:pStyle w:val="ListParagraph"/>
        <w:numPr>
          <w:ilvl w:val="0"/>
          <w:numId w:val="17"/>
        </w:numPr>
      </w:pPr>
      <w:r>
        <w:rPr>
          <w:rFonts w:ascii="Figtree" w:hAnsi="Figtree"/>
          <w:b/>
          <w:i w:val="0"/>
          <w:sz w:val="22"/>
        </w:rPr>
        <w:t>Basic parameters:</w:t>
      </w:r>
      <w:r>
        <w:rPr>
          <w:rFonts w:ascii="Figtree" w:hAnsi="Figtree"/>
          <w:b w:val="0"/>
          <w:i w:val="0"/>
          <w:sz w:val="22"/>
        </w:rPr>
        <w:t xml:space="preserve"> Name (e.g., "Emirates NBD LC-2026-001"), Symbol (auto-generated), Jurisdiction (UAE)</w:t>
      </w:r>
    </w:p>
    <w:p>
      <w:pPr>
        <w:pStyle w:val="ListParagraph"/>
        <w:numPr>
          <w:ilvl w:val="0"/>
          <w:numId w:val="17"/>
        </w:numPr>
      </w:pPr>
      <w:r>
        <w:rPr>
          <w:rFonts w:ascii="Figtree" w:hAnsi="Figtree"/>
          <w:b/>
          <w:i w:val="0"/>
          <w:sz w:val="22"/>
        </w:rPr>
        <w:t>Metadata configuration:</w:t>
      </w:r>
      <w:r>
        <w:rPr>
          <w:rFonts w:ascii="Figtree" w:hAnsi="Figtree"/>
          <w:b w:val="0"/>
          <w:i w:val="0"/>
          <w:sz w:val="22"/>
        </w:rPr>
        <w:t xml:space="preserve"> Document references (LC number, underlying trade details, counterparty information), milestone definitions (document presentation, verification, approval, settlement)</w:t>
      </w:r>
    </w:p>
    <w:p>
      <w:pPr>
        <w:pStyle w:val="ListParagraph"/>
        <w:numPr>
          <w:ilvl w:val="0"/>
          <w:numId w:val="17"/>
        </w:numPr>
      </w:pPr>
      <w:r>
        <w:rPr>
          <w:rFonts w:ascii="Figtree" w:hAnsi="Figtree"/>
          <w:b/>
          <w:i w:val="0"/>
          <w:sz w:val="22"/>
        </w:rPr>
        <w:t>Feature selection:</w:t>
      </w:r>
    </w:p>
    <w:p>
      <w:pPr>
        <w:pStyle w:val="ListParagraph"/>
        <w:numPr>
          <w:ilvl w:val="1"/>
          <w:numId w:val="4"/>
        </w:numPr>
      </w:pPr>
      <w:r>
        <w:rPr>
          <w:rFonts w:ascii="Figtree" w:hAnsi="Figtree"/>
          <w:b w:val="0"/>
          <w:i w:val="0"/>
          <w:sz w:val="22"/>
        </w:rPr>
        <w:t>Historical balances (trade history and audit trail)</w:t>
      </w:r>
    </w:p>
    <w:p>
      <w:pPr>
        <w:pStyle w:val="ListParagraph"/>
        <w:numPr>
          <w:ilvl w:val="1"/>
          <w:numId w:val="4"/>
        </w:numPr>
      </w:pPr>
      <w:r>
        <w:rPr>
          <w:rFonts w:ascii="Figtree" w:hAnsi="Figtree"/>
          <w:b w:val="0"/>
          <w:i w:val="0"/>
          <w:sz w:val="22"/>
        </w:rPr>
        <w:t>Timelock (enforced holding periods for liquidity instruments)</w:t>
      </w:r>
    </w:p>
    <w:p>
      <w:pPr>
        <w:pStyle w:val="ListParagraph"/>
        <w:numPr>
          <w:ilvl w:val="0"/>
          <w:numId w:val="17"/>
        </w:numPr>
      </w:pPr>
      <w:r>
        <w:rPr>
          <w:rFonts w:ascii="Figtree" w:hAnsi="Figtree"/>
          <w:b/>
          <w:i w:val="0"/>
          <w:sz w:val="22"/>
        </w:rPr>
        <w:t>Compliance module binding:</w:t>
      </w:r>
    </w:p>
    <w:p>
      <w:pPr>
        <w:pStyle w:val="ListParagraph"/>
        <w:numPr>
          <w:ilvl w:val="1"/>
          <w:numId w:val="4"/>
        </w:numPr>
      </w:pPr>
      <w:r>
        <w:rPr>
          <w:rFonts w:ascii="Figtree" w:hAnsi="Figtree"/>
          <w:b w:val="0"/>
          <w:i w:val="0"/>
          <w:sz w:val="22"/>
        </w:rPr>
        <w:t>Identity verification (counterparty identity required for all operations)</w:t>
      </w:r>
    </w:p>
    <w:p>
      <w:pPr>
        <w:pStyle w:val="ListParagraph"/>
        <w:numPr>
          <w:ilvl w:val="1"/>
          <w:numId w:val="4"/>
        </w:numPr>
      </w:pPr>
      <w:r>
        <w:rPr>
          <w:rFonts w:ascii="Figtree" w:hAnsi="Figtree"/>
          <w:b w:val="0"/>
          <w:i w:val="0"/>
          <w:sz w:val="22"/>
        </w:rPr>
        <w:t>Address allow list (only nominated counterparties can hold or transfer)</w:t>
      </w:r>
    </w:p>
    <w:p>
      <w:pPr>
        <w:pStyle w:val="ListParagraph"/>
        <w:numPr>
          <w:ilvl w:val="1"/>
          <w:numId w:val="4"/>
        </w:numPr>
      </w:pPr>
      <w:r>
        <w:rPr>
          <w:rFonts w:ascii="Figtree" w:hAnsi="Figtree"/>
          <w:b w:val="0"/>
          <w:i w:val="0"/>
          <w:sz w:val="22"/>
        </w:rPr>
        <w:t>Transfer approval (multi-party approval with configurable expiry)</w:t>
      </w:r>
    </w:p>
    <w:p>
      <w:pPr>
        <w:pStyle w:val="ListParagraph"/>
        <w:numPr>
          <w:ilvl w:val="1"/>
          <w:numId w:val="4"/>
        </w:numPr>
      </w:pPr>
      <w:r>
        <w:rPr>
          <w:rFonts w:ascii="Figtree" w:hAnsi="Figtree"/>
          <w:b w:val="0"/>
          <w:i w:val="0"/>
          <w:sz w:val="22"/>
        </w:rPr>
        <w:t>Timelock (minimum holding period enforcement with FIFO batch tracking)</w:t>
      </w:r>
    </w:p>
    <w:p>
      <w:pPr>
        <w:pStyle w:val="ListParagraph"/>
        <w:numPr>
          <w:ilvl w:val="0"/>
          <w:numId w:val="17"/>
        </w:numPr>
      </w:pPr>
      <w:r>
        <w:rPr>
          <w:rFonts w:ascii="Figtree" w:hAnsi="Figtree"/>
          <w:b/>
          <w:i w:val="0"/>
          <w:sz w:val="22"/>
        </w:rPr>
        <w:t>Workflow configuration:</w:t>
      </w:r>
      <w:r>
        <w:rPr>
          <w:rFonts w:ascii="Figtree" w:hAnsi="Figtree"/>
          <w:b w:val="0"/>
          <w:i w:val="0"/>
          <w:sz w:val="22"/>
        </w:rPr>
        <w:t xml:space="preserve"> Durable workflow template defining milestone sequence, approval requirements, timeout escalation, and settlement trigger conditions</w:t>
      </w:r>
    </w:p>
    <w:p>
      <w:r>
        <w:rPr>
          <w:rFonts w:ascii="Figtree" w:hAnsi="Figtree"/>
          <w:b w:val="0"/>
          <w:i w:val="0"/>
          <w:sz w:val="22"/>
        </w:rPr>
        <w:t>The durable workflow engine guarantees that multi-step trade finance operations complete reliably even in the face of system restarts, network partitions, or partner outages. Each workflow step persists its state to PostgreSQL before proceeding, ensuring that a failure at any point can be recovered without data loss or inconsistent state.</w:t>
      </w:r>
    </w:p>
    <w:p>
      <w:pPr>
        <w:pStyle w:val="H3"/>
        <w:numPr>
          <w:ilvl w:val="2"/>
          <w:numId w:val="1"/>
        </w:numPr>
      </w:pPr>
      <w:r>
        <w:t>Factory Pattern and Deterministic Deployment</w:t>
      </w:r>
    </w:p>
    <w:p>
      <w:r>
        <w:rPr>
          <w:rFonts w:ascii="Figtree" w:hAnsi="Figtree"/>
          <w:b w:val="0"/>
          <w:i w:val="0"/>
          <w:sz w:val="22"/>
        </w:rPr>
        <w:t>All asset types — both deposits and trade finance instruments — are deployed through a factory pattern using CREATE2 deterministic deployment:</w:t>
      </w:r>
    </w:p>
    <w:p>
      <w:pPr>
        <w:pStyle w:val="ListParagraph"/>
        <w:numPr>
          <w:ilvl w:val="0"/>
          <w:numId w:val="4"/>
        </w:numPr>
      </w:pPr>
      <w:r>
        <w:rPr>
          <w:rFonts w:ascii="Figtree" w:hAnsi="Figtree"/>
          <w:b w:val="0"/>
          <w:i w:val="0"/>
          <w:sz w:val="22"/>
        </w:rPr>
        <w:t>The factory receives a createAsset call and deploys a proxy via CREATE2 with a deterministic address derived from the deployment parameters</w:t>
      </w:r>
    </w:p>
    <w:p>
      <w:pPr>
        <w:pStyle w:val="ListParagraph"/>
        <w:numPr>
          <w:ilvl w:val="0"/>
          <w:numId w:val="4"/>
        </w:numPr>
      </w:pPr>
      <w:r>
        <w:rPr>
          <w:rFonts w:ascii="Figtree" w:hAnsi="Figtree"/>
          <w:b w:val="0"/>
          <w:i w:val="0"/>
          <w:sz w:val="22"/>
        </w:rPr>
        <w:t>The factory registers an OnchainID identity contract for the token</w:t>
      </w:r>
    </w:p>
    <w:p>
      <w:pPr>
        <w:pStyle w:val="ListParagraph"/>
        <w:numPr>
          <w:ilvl w:val="0"/>
          <w:numId w:val="4"/>
        </w:numPr>
      </w:pPr>
      <w:r>
        <w:rPr>
          <w:rFonts w:ascii="Figtree" w:hAnsi="Figtree"/>
          <w:b w:val="0"/>
          <w:i w:val="0"/>
          <w:sz w:val="22"/>
        </w:rPr>
        <w:t>The proxy is initialized with the identity and delegates to the implementation contract</w:t>
      </w:r>
    </w:p>
    <w:p>
      <w:pPr>
        <w:pStyle w:val="ListParagraph"/>
        <w:numPr>
          <w:ilvl w:val="0"/>
          <w:numId w:val="4"/>
        </w:numPr>
      </w:pPr>
      <w:r>
        <w:rPr>
          <w:rFonts w:ascii="Figtree" w:hAnsi="Figtree"/>
          <w:b w:val="0"/>
          <w:i w:val="0"/>
          <w:sz w:val="22"/>
        </w:rPr>
        <w:t>Required system roles are assigned and a TokenDeployed event is emitted for indexing</w:t>
      </w:r>
    </w:p>
    <w:p>
      <w:r>
        <w:rPr>
          <w:rFonts w:ascii="Figtree" w:hAnsi="Figtree"/>
          <w:b w:val="0"/>
          <w:i w:val="0"/>
          <w:sz w:val="22"/>
        </w:rPr>
        <w:t>The factory transaction is atomic. If any step fails, the entire deployment reverts. No partially deployed tokens can exist on-chain. This guarantees that Emirates NBD never encounters a token that exists in a partially initialized state.</w:t>
      </w:r>
    </w:p>
    <w:p>
      <w:r>
        <w:rPr>
          <w:rFonts w:ascii="Figtree" w:hAnsi="Figtree"/>
          <w:b w:val="0"/>
          <w:i w:val="0"/>
          <w:sz w:val="22"/>
        </w:rPr>
        <w:t>CREATE2 determinism means token addresses are predictable from deployment parameters. The same parameters always produce the same address. This is operationally significant for Emirates NBD: integration systems can compute token addresses before deployment, enabling pre-configuration of downstream systems.</w:t>
      </w:r>
    </w:p>
    <w:p>
      <w:pPr>
        <w:pStyle w:val="H3"/>
        <w:numPr>
          <w:ilvl w:val="2"/>
          <w:numId w:val="1"/>
        </w:numPr>
      </w:pPr>
      <w:r>
        <w:t>Administrative Controls</w:t>
      </w:r>
    </w:p>
    <w:p>
      <w:r>
        <w:rPr>
          <w:rFonts w:ascii="Figtree" w:hAnsi="Figtree"/>
          <w:b w:val="0"/>
          <w:i w:val="0"/>
          <w:sz w:val="22"/>
        </w:rPr>
        <w:t>Every asset deployed through DALP inherits administrative controls through the Custodian extension:</w:t>
      </w:r>
    </w:p>
    <w:p>
      <w:pPr>
        <w:pStyle w:val="ListParagraph"/>
        <w:numPr>
          <w:ilvl w:val="0"/>
          <w:numId w:val="4"/>
        </w:numPr>
      </w:pPr>
      <w:r>
        <w:rPr>
          <w:rFonts w:ascii="Figtree" w:hAnsi="Figtree"/>
          <w:b/>
          <w:i w:val="0"/>
          <w:sz w:val="22"/>
        </w:rPr>
        <w:t>Forced transfers:</w:t>
      </w:r>
      <w:r>
        <w:rPr>
          <w:rFonts w:ascii="Figtree" w:hAnsi="Figtree"/>
          <w:b w:val="0"/>
          <w:i w:val="0"/>
          <w:sz w:val="22"/>
        </w:rPr>
        <w:t xml:space="preserve"> For court orders, inheritance, regulatory seizures — with full audit trail documenting the legal basis and authorizing officer</w:t>
      </w:r>
    </w:p>
    <w:p>
      <w:pPr>
        <w:pStyle w:val="ListParagraph"/>
        <w:numPr>
          <w:ilvl w:val="0"/>
          <w:numId w:val="4"/>
        </w:numPr>
      </w:pPr>
      <w:r>
        <w:rPr>
          <w:rFonts w:ascii="Figtree" w:hAnsi="Figtree"/>
          <w:b/>
          <w:i w:val="0"/>
          <w:sz w:val="22"/>
        </w:rPr>
        <w:t>Account freezing:</w:t>
      </w:r>
      <w:r>
        <w:rPr>
          <w:rFonts w:ascii="Figtree" w:hAnsi="Figtree"/>
          <w:b w:val="0"/>
          <w:i w:val="0"/>
          <w:sz w:val="22"/>
        </w:rPr>
        <w:t xml:space="preserve"> Full or partial freezing of participant accounts, with separate freeze and unfreeze operations</w:t>
      </w:r>
    </w:p>
    <w:p>
      <w:pPr>
        <w:pStyle w:val="ListParagraph"/>
        <w:numPr>
          <w:ilvl w:val="0"/>
          <w:numId w:val="4"/>
        </w:numPr>
      </w:pPr>
      <w:r>
        <w:rPr>
          <w:rFonts w:ascii="Figtree" w:hAnsi="Figtree"/>
          <w:b/>
          <w:i w:val="0"/>
          <w:sz w:val="22"/>
        </w:rPr>
        <w:t>Token recovery:</w:t>
      </w:r>
      <w:r>
        <w:rPr>
          <w:rFonts w:ascii="Figtree" w:hAnsi="Figtree"/>
          <w:b w:val="0"/>
          <w:i w:val="0"/>
          <w:sz w:val="22"/>
        </w:rPr>
        <w:t xml:space="preserve"> Two-step identity recovery for lost keys, ensuring that lost wallet access does not mean lost assets</w:t>
      </w:r>
    </w:p>
    <w:p>
      <w:pPr>
        <w:pStyle w:val="ListParagraph"/>
        <w:numPr>
          <w:ilvl w:val="0"/>
          <w:numId w:val="4"/>
        </w:numPr>
      </w:pPr>
      <w:r>
        <w:rPr>
          <w:rFonts w:ascii="Figtree" w:hAnsi="Figtree"/>
          <w:b/>
          <w:i w:val="0"/>
          <w:sz w:val="22"/>
        </w:rPr>
        <w:t>Batch operations:</w:t>
      </w:r>
      <w:r>
        <w:rPr>
          <w:rFonts w:ascii="Figtree" w:hAnsi="Figtree"/>
          <w:b w:val="0"/>
          <w:i w:val="0"/>
          <w:sz w:val="22"/>
        </w:rPr>
        <w:t xml:space="preserve"> Bulk minting, transfers, and compliance operations for operational efficiency</w:t>
      </w:r>
    </w:p>
    <w:p>
      <w:r>
        <w:rPr>
          <w:rFonts w:ascii="Figtree" w:hAnsi="Figtree"/>
          <w:b w:val="0"/>
          <w:i w:val="0"/>
          <w:sz w:val="22"/>
        </w:rPr>
        <w:t>All custodian actions emit events for auditability. Emirates NBD's compliance and audit teams can reconstruct any custodian action — who authorized it, why, when, and what the resulting state change was.</w:t>
      </w:r>
    </w:p>
    <w:p>
      <w:pPr>
        <w:pStyle w:val="H3"/>
        <w:numPr>
          <w:ilvl w:val="2"/>
          <w:numId w:val="1"/>
        </w:numPr>
      </w:pPr>
      <w:r>
        <w:t>Middleware Architecture Deep Dive</w:t>
      </w:r>
    </w:p>
    <w:p>
      <w:r>
        <w:rPr>
          <w:rFonts w:ascii="Figtree" w:hAnsi="Figtree"/>
          <w:b w:val="0"/>
          <w:i w:val="0"/>
          <w:sz w:val="22"/>
        </w:rPr>
        <w:t>The middleware layer handles the operational complexity of blockchain interaction. External consumers never interact with these services directly — they are internal to the platform, providing the reliability and consistency guarantees that enterprise systems require.</w:t>
      </w:r>
    </w:p>
    <w:p>
      <w:r>
        <w:rPr>
          <w:rFonts w:ascii="Figtree" w:hAnsi="Figtree"/>
          <w:b/>
          <w:i w:val="0"/>
          <w:sz w:val="22"/>
        </w:rPr>
        <w:t>Execution Engine.</w:t>
      </w:r>
      <w:r>
        <w:rPr>
          <w:rFonts w:ascii="Figtree" w:hAnsi="Figtree"/>
          <w:b w:val="0"/>
          <w:i w:val="0"/>
          <w:sz w:val="22"/>
        </w:rPr>
        <w:t xml:space="preserve"> The Execution Engine provides reliable workflow orchestration with persistent state and exactly-once semantics. All stateful operations — token deployments, settlement workflows, compliance updates — run through durable workflows that survive infrastructure failures, process restarts, and network partitions. For Emirates NBD's trade finance workflows, this means that a multi-day letter of credit approval process will complete correctly even if the underlying infrastructure experiences intermittent failures.</w:t>
      </w:r>
    </w:p>
    <w:p>
      <w:r>
        <w:rPr>
          <w:rFonts w:ascii="Figtree" w:hAnsi="Figtree"/>
          <w:b/>
          <w:i w:val="0"/>
          <w:sz w:val="22"/>
        </w:rPr>
        <w:t>Transaction Signer.</w:t>
      </w:r>
      <w:r>
        <w:rPr>
          <w:rFonts w:ascii="Figtree" w:hAnsi="Figtree"/>
          <w:b w:val="0"/>
          <w:i w:val="0"/>
          <w:sz w:val="22"/>
        </w:rPr>
        <w:t xml:space="preserve"> The Transaction Signer handles transaction preparation, gas estimation, nonce management, and signing. It supports EIP-1559 gas pricing for efficient fee management and meta-transactions (ERC-2771) for gasless operations where appropriate. Nonce coordination uses a virtual-object service that serializes nonce allocation per address and chain ID, with self-healing behavior for nonce conflicts.</w:t>
      </w:r>
    </w:p>
    <w:p>
      <w:r>
        <w:rPr>
          <w:rFonts w:ascii="Figtree" w:hAnsi="Figtree"/>
          <w:b/>
          <w:i w:val="0"/>
          <w:sz w:val="22"/>
        </w:rPr>
        <w:t>Chain Indexer.</w:t>
      </w:r>
      <w:r>
        <w:rPr>
          <w:rFonts w:ascii="Figtree" w:hAnsi="Figtree"/>
          <w:b w:val="0"/>
          <w:i w:val="0"/>
          <w:sz w:val="22"/>
        </w:rPr>
        <w:t xml:space="preserve"> The Chain Indexer processes blockchain events in real time, translating on-chain state changes into queryable data structures. For Emirates NBD, this means that every deposit creation, transfer, yield distribution, and maturity event is immediately available through the API and dashboard — not after a batch processing cycle.</w:t>
      </w:r>
    </w:p>
    <w:p>
      <w:r>
        <w:rPr>
          <w:rFonts w:ascii="Figtree" w:hAnsi="Figtree"/>
          <w:b/>
          <w:i w:val="0"/>
          <w:sz w:val="22"/>
        </w:rPr>
        <w:t>Feeds System.</w:t>
      </w:r>
      <w:r>
        <w:rPr>
          <w:rFonts w:ascii="Figtree" w:hAnsi="Figtree"/>
          <w:b w:val="0"/>
          <w:i w:val="0"/>
          <w:sz w:val="22"/>
        </w:rPr>
        <w:t xml:space="preserve"> The Feeds System provides trusted market data for pricing, NAV calculations, and reference data. For deposit products, this includes interest rate feeds, FX rates, and denomination asset valuations. Each data source is configurable with defined update frequencies, staleness thresholds, and fallback behavior.</w:t>
      </w:r>
    </w:p>
    <w:p>
      <w:pPr>
        <w:pStyle w:val="H3"/>
        <w:numPr>
          <w:ilvl w:val="2"/>
          <w:numId w:val="1"/>
        </w:numPr>
      </w:pPr>
      <w:r>
        <w:t>Observability and Monitoring Architecture</w:t>
      </w:r>
    </w:p>
    <w:p>
      <w:r>
        <w:rPr>
          <w:rFonts w:ascii="Figtree" w:hAnsi="Figtree"/>
          <w:b w:val="0"/>
          <w:i w:val="0"/>
          <w:sz w:val="22"/>
        </w:rPr>
        <w:t>DALP's observability stack provides comprehensive operational visibility for Emirates NBD:</w:t>
      </w:r>
    </w:p>
    <w:p>
      <w:r>
        <w:rPr>
          <w:rFonts w:ascii="Figtree" w:hAnsi="Figtree"/>
          <w:b/>
          <w:i w:val="0"/>
          <w:sz w:val="22"/>
        </w:rPr>
        <w:t>Real-time dashboards.</w:t>
      </w:r>
      <w:r>
        <w:rPr>
          <w:rFonts w:ascii="Figtree" w:hAnsi="Figtree"/>
          <w:b w:val="0"/>
          <w:i w:val="0"/>
          <w:sz w:val="22"/>
        </w:rPr>
        <w:t xml:space="preserve"> Grafana-based dashboards surface platform health, blockchain state, transaction throughput, compliance event rates, and settlement status. Dashboards are pre-configured for common operational views and customizable for Emirates NBD's specific requirements.</w:t>
      </w:r>
    </w:p>
    <w:p>
      <w:r>
        <w:rPr>
          <w:rFonts w:ascii="Figtree" w:hAnsi="Figtree"/>
          <w:b/>
          <w:i w:val="0"/>
          <w:sz w:val="22"/>
        </w:rPr>
        <w:t>Automated alerting.</w:t>
      </w:r>
      <w:r>
        <w:rPr>
          <w:rFonts w:ascii="Figtree" w:hAnsi="Figtree"/>
          <w:b w:val="0"/>
          <w:i w:val="0"/>
          <w:sz w:val="22"/>
        </w:rPr>
        <w:t xml:space="preserve"> Configurable alert rules trigger notifications for critical events: failed transactions, compliance module vetoes, approaching capacity limits, infrastructure health degradation. Alerts route through email, Slack/Teams channels, and PagerDuty integration.</w:t>
      </w:r>
    </w:p>
    <w:p>
      <w:r>
        <w:rPr>
          <w:rFonts w:ascii="Figtree" w:hAnsi="Figtree"/>
          <w:b/>
          <w:i w:val="0"/>
          <w:sz w:val="22"/>
        </w:rPr>
        <w:t>Log aggregation.</w:t>
      </w:r>
      <w:r>
        <w:rPr>
          <w:rFonts w:ascii="Figtree" w:hAnsi="Figtree"/>
          <w:b w:val="0"/>
          <w:i w:val="0"/>
          <w:sz w:val="22"/>
        </w:rPr>
        <w:t xml:space="preserve"> Structured logging across all platform components enables troubleshooting, audit evidence extraction, and regulatory reporting. Logs are retained according to configurable retention policies aligned with Emirates NBD's data governance requirements.</w:t>
      </w:r>
    </w:p>
    <w:p>
      <w:r>
        <w:rPr>
          <w:rFonts w:ascii="Figtree" w:hAnsi="Figtree"/>
          <w:b/>
          <w:i w:val="0"/>
          <w:sz w:val="22"/>
        </w:rPr>
        <w:t>Distributed tracing.</w:t>
      </w:r>
      <w:r>
        <w:rPr>
          <w:rFonts w:ascii="Figtree" w:hAnsi="Figtree"/>
          <w:b w:val="0"/>
          <w:i w:val="0"/>
          <w:sz w:val="22"/>
        </w:rPr>
        <w:t xml:space="preserve"> End-to-end request tracing from API entry through middleware processing to blockchain execution, enabling root-cause analysis of performance issues and operational anomalies.</w:t>
      </w:r>
    </w:p>
    <w:p>
      <w:r>
        <w:rPr>
          <w:rFonts w:ascii="Figtree" w:hAnsi="Figtree"/>
          <w:b/>
          <w:i w:val="0"/>
          <w:sz w:val="22"/>
        </w:rPr>
        <w:t>Health monitoring.</w:t>
      </w:r>
      <w:r>
        <w:rPr>
          <w:rFonts w:ascii="Figtree" w:hAnsi="Figtree"/>
          <w:b w:val="0"/>
          <w:i w:val="0"/>
          <w:sz w:val="22"/>
        </w:rPr>
        <w:t xml:space="preserve"> Automated health collection with blockchain-specific polling for RPC endpoints and indexer status. Hysteresis-based health classification requires three consecutive samples before status changes, preventing alert fatigue from transient issues.</w:t>
      </w:r>
    </w:p>
    <w:p>
      <w:pPr>
        <w:pStyle w:val="H3"/>
        <w:numPr>
          <w:ilvl w:val="2"/>
          <w:numId w:val="1"/>
        </w:numPr>
      </w:pPr>
      <w:r>
        <w:t>Smart Contract Security Deep Dive</w:t>
      </w:r>
    </w:p>
    <w:p>
      <w:r>
        <w:rPr>
          <w:rFonts w:ascii="Figtree" w:hAnsi="Figtree"/>
          <w:b/>
          <w:i w:val="0"/>
          <w:sz w:val="22"/>
        </w:rPr>
        <w:t>ERC-3643 Foundation Security.</w:t>
      </w:r>
      <w:r>
        <w:rPr>
          <w:rFonts w:ascii="Figtree" w:hAnsi="Figtree"/>
          <w:b w:val="0"/>
          <w:i w:val="0"/>
          <w:sz w:val="22"/>
        </w:rPr>
        <w:t xml:space="preserve"> All DALP smart contracts are built on the SMART Protocol, an implementation of ERC-3643 chosen for its modular compliance engine, on-chain identity integration through OnchainID, and active ecosystem support. The compliance engine evaluates a configurable set of transfer rules before each transaction — this is a fail-closed design where the default is denial unless all modules explicitly approve.</w:t>
      </w:r>
    </w:p>
    <w:p>
      <w:r>
        <w:rPr>
          <w:rFonts w:ascii="Figtree" w:hAnsi="Figtree"/>
          <w:b/>
          <w:i w:val="0"/>
          <w:sz w:val="22"/>
        </w:rPr>
        <w:t>Audit and Verification.</w:t>
      </w:r>
      <w:r>
        <w:rPr>
          <w:rFonts w:ascii="Figtree" w:hAnsi="Figtree"/>
          <w:b w:val="0"/>
          <w:i w:val="0"/>
          <w:sz w:val="22"/>
        </w:rPr>
        <w:t xml:space="preserve"> The SMART Protocol and DALPAsset contracts have been independently audited by third-party security firms. Audit reports are available under NDA for Emirates NBD's security review process. All critical functions are protected by reentrancy guards, and the contract architecture follows the checks-effects-interactions pattern to prevent state manipulation.</w:t>
      </w:r>
    </w:p>
    <w:p>
      <w:r>
        <w:rPr>
          <w:rFonts w:ascii="Figtree" w:hAnsi="Figtree"/>
          <w:b/>
          <w:i w:val="0"/>
          <w:sz w:val="22"/>
        </w:rPr>
        <w:t>Upgrade Security.</w:t>
      </w:r>
      <w:r>
        <w:rPr>
          <w:rFonts w:ascii="Figtree" w:hAnsi="Figtree"/>
          <w:b w:val="0"/>
          <w:i w:val="0"/>
          <w:sz w:val="22"/>
        </w:rPr>
        <w:t xml:space="preserve"> DALPAsset contracts deployed with the UUPS proxy pattern include explicit upgrade authorization in the implementation contract. This prevents unauthorized contract replacement — an attacker who gains proxy admin access cannot replace the implementation without passing the authorization checks coded into the implementation itself. Emirates NBD can choose immutable deployment for instruments where regulatory or legal frameworks require compile-time guarantees.</w:t>
      </w:r>
    </w:p>
    <w:p>
      <w:r>
        <w:rPr>
          <w:rFonts w:ascii="Figtree" w:hAnsi="Figtree"/>
          <w:b/>
          <w:i w:val="0"/>
          <w:sz w:val="22"/>
        </w:rPr>
        <w:t>Access Control on-chain.</w:t>
      </w:r>
      <w:r>
        <w:rPr>
          <w:rFonts w:ascii="Figtree" w:hAnsi="Figtree"/>
          <w:b w:val="0"/>
          <w:i w:val="0"/>
          <w:sz w:val="22"/>
        </w:rPr>
        <w:t xml:space="preserve"> The AccessManager contract is the authoritative source for all role assignments. Twenty-six distinct roles organized across four layers (Platform, System People, Per-Asset, System Module) provide granular control over every operation. Role grants and revocations are on-chain events, meaning they are immutable, timestamped, and auditable. There is no separate off-chain permission database that could diverge from the on-chain state.</w:t>
      </w:r>
    </w:p>
    <w:p>
      <w:pPr>
        <w:pStyle w:val="H3"/>
        <w:numPr>
          <w:ilvl w:val="2"/>
          <w:numId w:val="1"/>
        </w:numPr>
      </w:pPr>
      <w:r>
        <w:t>Data Architecture for Deposits and Trade Finance</w:t>
      </w:r>
    </w:p>
    <w:p>
      <w:r>
        <w:rPr>
          <w:rFonts w:ascii="Figtree" w:hAnsi="Figtree"/>
          <w:b w:val="0"/>
          <w:i w:val="0"/>
          <w:sz w:val="22"/>
        </w:rPr>
        <w:t>Emirates NBD's data architecture within DALP spans five distinct storage domains, each serving a specific purpose in the overall system:</w:t>
      </w:r>
    </w:p>
    <w:p>
      <w:r>
        <w:rPr>
          <w:rFonts w:ascii="Figtree" w:hAnsi="Figtree"/>
          <w:b/>
          <w:i w:val="0"/>
          <w:sz w:val="22"/>
        </w:rPr>
        <w:t>On-chain state (Blockchain — Hyperledger Besu).</w:t>
      </w:r>
      <w:r>
        <w:rPr>
          <w:rFonts w:ascii="Figtree" w:hAnsi="Figtree"/>
          <w:b w:val="0"/>
          <w:i w:val="0"/>
          <w:sz w:val="22"/>
        </w:rPr>
        <w:t xml:space="preserve"> This is the authoritative record for all token operations: balances, compliance module configurations, identity claims, and settlement state. On-chain state is permanent and immutable — once written, it cannot be altered, deleted, or retroactively modified. This immutability is the foundation of DALP's audit evidence model.</w:t>
      </w:r>
    </w:p>
    <w:p>
      <w:r>
        <w:rPr>
          <w:rFonts w:ascii="Figtree" w:hAnsi="Figtree"/>
          <w:b/>
          <w:i w:val="0"/>
          <w:sz w:val="22"/>
        </w:rPr>
        <w:t>Application state (PostgreSQL).</w:t>
      </w:r>
      <w:r>
        <w:rPr>
          <w:rFonts w:ascii="Figtree" w:hAnsi="Figtree"/>
          <w:b w:val="0"/>
          <w:i w:val="0"/>
          <w:sz w:val="22"/>
        </w:rPr>
        <w:t xml:space="preserve"> User accounts, session management, workflow state, configuration settings, and operational metadata. This is the transactional database supporting the platform's operational functions. Application state is backed up hourly and replicated to the DR environment.</w:t>
      </w:r>
    </w:p>
    <w:p>
      <w:r>
        <w:rPr>
          <w:rFonts w:ascii="Figtree" w:hAnsi="Figtree"/>
          <w:b/>
          <w:i w:val="0"/>
          <w:sz w:val="22"/>
        </w:rPr>
        <w:t>Indexed state (Chain Indexer → PostgreSQL).</w:t>
      </w:r>
      <w:r>
        <w:rPr>
          <w:rFonts w:ascii="Figtree" w:hAnsi="Figtree"/>
          <w:b w:val="0"/>
          <w:i w:val="0"/>
          <w:sz w:val="22"/>
        </w:rPr>
        <w:t xml:space="preserve"> The Chain Indexer continuously processes on-chain events and projects them into queryable PostgreSQL tables. This enables Emirates NBD to run complex queries, generate reports, and power dashboards without directly querying the blockchain — which would be impractical for analytical workloads. Indexed state is derived from on-chain state and can be reconstructed from the blockchain at any time.</w:t>
      </w:r>
    </w:p>
    <w:p>
      <w:r>
        <w:rPr>
          <w:rFonts w:ascii="Figtree" w:hAnsi="Figtree"/>
          <w:b/>
          <w:i w:val="0"/>
          <w:sz w:val="22"/>
        </w:rPr>
        <w:t>Audit evidence (Blockchain + PostgreSQL).</w:t>
      </w:r>
      <w:r>
        <w:rPr>
          <w:rFonts w:ascii="Figtree" w:hAnsi="Figtree"/>
          <w:b w:val="0"/>
          <w:i w:val="0"/>
          <w:sz w:val="22"/>
        </w:rPr>
        <w:t xml:space="preserve"> Every operation produces audit evidence spanning both on-chain (immutable transaction records, event logs) and off-chain (API request logs, authentication events, approval decisions) components. Together, these provide a complete audit trail that satisfies regulatory examination requirements.</w:t>
      </w:r>
    </w:p>
    <w:p>
      <w:r>
        <w:rPr>
          <w:rFonts w:ascii="Figtree" w:hAnsi="Figtree"/>
          <w:b/>
          <w:i w:val="0"/>
          <w:sz w:val="22"/>
        </w:rPr>
        <w:t>Document storage (Object Storage).</w:t>
      </w:r>
      <w:r>
        <w:rPr>
          <w:rFonts w:ascii="Figtree" w:hAnsi="Figtree"/>
          <w:b w:val="0"/>
          <w:i w:val="0"/>
          <w:sz w:val="22"/>
        </w:rPr>
        <w:t xml:space="preserve"> Trade finance documents, evidence attachments, and compliance documentation are stored in encrypted object storage (AWS S3 or Azure Blob Storage) with versioning enabled. Document references are linked to on-chain asset metadata, creating an immutable association between the tokenized instrument and its supporting documentation.</w:t>
      </w:r>
    </w:p>
    <w:p>
      <w:pPr>
        <w:pStyle w:val="H3"/>
        <w:numPr>
          <w:ilvl w:val="2"/>
          <w:numId w:val="1"/>
        </w:numPr>
      </w:pPr>
      <w:r>
        <w:t>Detailed Compliance Module Behavior</w:t>
      </w:r>
    </w:p>
    <w:p>
      <w:r>
        <w:rPr>
          <w:rFonts w:ascii="Figtree" w:hAnsi="Figtree"/>
          <w:b w:val="0"/>
          <w:i w:val="0"/>
          <w:sz w:val="22"/>
        </w:rPr>
        <w:t>Each compliance module follows a specific evaluation pattern. For Emirates NBD's deposit and trade finance scope, the following modules warrant detailed explanation:</w:t>
      </w:r>
    </w:p>
    <w:p>
      <w:r>
        <w:rPr>
          <w:rFonts w:ascii="Figtree" w:hAnsi="Figtree"/>
          <w:b/>
          <w:i w:val="0"/>
          <w:sz w:val="22"/>
        </w:rPr>
        <w:t>Identity Verification Module.</w:t>
      </w:r>
      <w:r>
        <w:rPr>
          <w:rFonts w:ascii="Figtree" w:hAnsi="Figtree"/>
          <w:b w:val="0"/>
          <w:i w:val="0"/>
          <w:sz w:val="22"/>
        </w:rPr>
        <w:t xml:space="preserve"> Before any transfer executes, this module verifies that both sender and receiver have a valid OnchainID with the required claims (jurisdiction, accreditation level, entity type). If either party lacks a verified identity, the transfer is blocked. This is not a recommendation — it is an enforcement mechanism. No amount of operational override can bypass this check without removing the module from the token's compliance configuration (which itself requires GOVERNANCE_ROLE authority).</w:t>
      </w:r>
    </w:p>
    <w:p>
      <w:r>
        <w:rPr>
          <w:rFonts w:ascii="Figtree" w:hAnsi="Figtree"/>
          <w:b/>
          <w:i w:val="0"/>
          <w:sz w:val="22"/>
        </w:rPr>
        <w:t>Country Allow List Module.</w:t>
      </w:r>
      <w:r>
        <w:rPr>
          <w:rFonts w:ascii="Figtree" w:hAnsi="Figtree"/>
          <w:b w:val="0"/>
          <w:i w:val="0"/>
          <w:sz w:val="22"/>
        </w:rPr>
        <w:t xml:space="preserve"> Restricts transfers to parties whose OnchainID includes a country claim matching the allowed jurisdiction list. For Emirates NBD, this would typically include UAE and approved counterparty jurisdictions. Adding or removing jurisdictions requires a governance transaction — providing audit trail evidence of any compliance configuration change.</w:t>
      </w:r>
    </w:p>
    <w:p>
      <w:r>
        <w:rPr>
          <w:rFonts w:ascii="Figtree" w:hAnsi="Figtree"/>
          <w:b/>
          <w:i w:val="0"/>
          <w:sz w:val="22"/>
        </w:rPr>
        <w:t>Transfer Approval Module.</w:t>
      </w:r>
      <w:r>
        <w:rPr>
          <w:rFonts w:ascii="Figtree" w:hAnsi="Figtree"/>
          <w:b w:val="0"/>
          <w:i w:val="0"/>
          <w:sz w:val="22"/>
        </w:rPr>
        <w:t xml:space="preserve"> Implements maker-checker workflows for transfers. When enabled, transfers do not execute immediately — they enter a pending state requiring explicit approval from an authorized approver. The module supports configurable approval expiry (transfers not approved within the window are automatically cancelled). This is particularly relevant for Emirates NBD's trade finance workflows, where large-value liquidity releases require multi-level authorization.</w:t>
      </w:r>
    </w:p>
    <w:p>
      <w:r>
        <w:rPr>
          <w:rFonts w:ascii="Figtree" w:hAnsi="Figtree"/>
          <w:b/>
          <w:i w:val="0"/>
          <w:sz w:val="22"/>
        </w:rPr>
        <w:t>Timelock Module.</w:t>
      </w:r>
      <w:r>
        <w:rPr>
          <w:rFonts w:ascii="Figtree" w:hAnsi="Figtree"/>
          <w:b w:val="0"/>
          <w:i w:val="0"/>
          <w:sz w:val="22"/>
        </w:rPr>
        <w:t xml:space="preserve"> Enforces minimum holding periods for tokens. When a transfer is received, the tokens are locked for the configured period before they can be transferred again. The module tracks locks using FIFO (first-in, first-out) batch accounting, meaning partial transfers respect the chronological order of token receipt. This is relevant for trade finance instruments where regulatory or contractual holding periods apply.</w:t>
      </w:r>
    </w:p>
    <w:p>
      <w:r>
        <w:rPr>
          <w:rFonts w:ascii="Figtree" w:hAnsi="Figtree"/>
          <w:b/>
          <w:i w:val="0"/>
          <w:sz w:val="22"/>
        </w:rPr>
        <w:t>Investor Count Limit Module.</w:t>
      </w:r>
      <w:r>
        <w:rPr>
          <w:rFonts w:ascii="Figtree" w:hAnsi="Figtree"/>
          <w:b w:val="0"/>
          <w:i w:val="0"/>
          <w:sz w:val="22"/>
        </w:rPr>
        <w:t xml:space="preserve"> Caps the number of unique addresses that can hold a token. For regulated deposit instruments, this may be required to maintain specific product classifications (e.g., wholesale deposit designation requires limiting to qualified institutional investors). The module enforces the cap at the transfer level — a transfer that would cause the holder count to exceed the limit is blocked.</w:t>
      </w:r>
    </w:p>
    <w:p>
      <w:r>
        <w:rPr>
          <w:rFonts w:ascii="Figtree" w:hAnsi="Figtree"/>
          <w:b/>
          <w:i w:val="0"/>
          <w:sz w:val="22"/>
        </w:rPr>
        <w:t>Collateral Requirement Module.</w:t>
      </w:r>
      <w:r>
        <w:rPr>
          <w:rFonts w:ascii="Figtree" w:hAnsi="Figtree"/>
          <w:b w:val="0"/>
          <w:i w:val="0"/>
          <w:sz w:val="22"/>
        </w:rPr>
        <w:t xml:space="preserve"> Requires on-chain proof of reserves before minting operations. For secured deposit instruments, this ensures that the minting of new deposit tokens is gated on the availability of underlying collateral. The module checks a specified collateral token balance against a configured ratio before allowing mint operations to proceed.</w:t>
      </w:r>
    </w:p>
    <w:p>
      <w:pPr>
        <w:pStyle w:val="H3"/>
        <w:numPr>
          <w:ilvl w:val="2"/>
          <w:numId w:val="1"/>
        </w:numPr>
      </w:pPr>
      <w:r>
        <w:t>Multi-Jurisdiction Considerations for UAE</w:t>
      </w:r>
    </w:p>
    <w:p>
      <w:r>
        <w:rPr>
          <w:rFonts w:ascii="Figtree" w:hAnsi="Figtree"/>
          <w:b w:val="0"/>
          <w:i w:val="0"/>
          <w:sz w:val="22"/>
        </w:rPr>
        <w:t>Emirates NBD operates within a multi-regulator environment that creates specific compliance configuration requirements:</w:t>
      </w:r>
    </w:p>
    <w:p>
      <w:r>
        <w:rPr>
          <w:rFonts w:ascii="Figtree" w:hAnsi="Figtree"/>
          <w:b/>
          <w:i w:val="0"/>
          <w:sz w:val="22"/>
        </w:rPr>
        <w:t>CBUAE (Central Bank of the UAE).</w:t>
      </w:r>
      <w:r>
        <w:rPr>
          <w:rFonts w:ascii="Figtree" w:hAnsi="Figtree"/>
          <w:b w:val="0"/>
          <w:i w:val="0"/>
          <w:sz w:val="22"/>
        </w:rPr>
        <w:t xml:space="preserve"> The primary regulator for deposit-taking activities. DALP's compliance engine is configured to enforce CBUAE requirements around depositor eligibility, limit enforcement, and regulatory reporting. The observability stack provides data extraction capabilities for CBUAE reporting submissions.</w:t>
      </w:r>
    </w:p>
    <w:p>
      <w:r>
        <w:rPr>
          <w:rFonts w:ascii="Figtree" w:hAnsi="Figtree"/>
          <w:b/>
          <w:i w:val="0"/>
          <w:sz w:val="22"/>
        </w:rPr>
        <w:t>DFSA (Dubai Financial Services Authority).</w:t>
      </w:r>
      <w:r>
        <w:rPr>
          <w:rFonts w:ascii="Figtree" w:hAnsi="Figtree"/>
          <w:b w:val="0"/>
          <w:i w:val="0"/>
          <w:sz w:val="22"/>
        </w:rPr>
        <w:t xml:space="preserve"> Applies if any operations are scoped within DIFC. DALP's per-token compliance module composition allows different regulatory configurations for DIFC-scoped and onshore-scoped products, operating on the same platform instance.</w:t>
      </w:r>
    </w:p>
    <w:p>
      <w:r>
        <w:rPr>
          <w:rFonts w:ascii="Figtree" w:hAnsi="Figtree"/>
          <w:b/>
          <w:i w:val="0"/>
          <w:sz w:val="22"/>
        </w:rPr>
        <w:t>ADGM (Abu Dhabi Global Market) FSMR.</w:t>
      </w:r>
      <w:r>
        <w:rPr>
          <w:rFonts w:ascii="Figtree" w:hAnsi="Figtree"/>
          <w:b w:val="0"/>
          <w:i w:val="0"/>
          <w:sz w:val="22"/>
        </w:rPr>
        <w:t xml:space="preserve"> Similar to DFSA, applies for ADGM-scoped operations. The same per-token configuration flexibility applies.</w:t>
      </w:r>
    </w:p>
    <w:p>
      <w:r>
        <w:rPr>
          <w:rFonts w:ascii="Figtree" w:hAnsi="Figtree"/>
          <w:b/>
          <w:i w:val="0"/>
          <w:sz w:val="22"/>
        </w:rPr>
        <w:t>UAE SCA (Securities and Commodities Authority).</w:t>
      </w:r>
      <w:r>
        <w:rPr>
          <w:rFonts w:ascii="Figtree" w:hAnsi="Figtree"/>
          <w:b w:val="0"/>
          <w:i w:val="0"/>
          <w:sz w:val="22"/>
        </w:rPr>
        <w:t xml:space="preserve"> Relevant for any tokenized instruments classified as securities. Compliance module composition addresses investor eligibility, disclosure requirements, and trading restrictions.</w:t>
      </w:r>
    </w:p>
    <w:p>
      <w:r>
        <w:rPr>
          <w:rFonts w:ascii="Figtree" w:hAnsi="Figtree"/>
          <w:b/>
          <w:i w:val="0"/>
          <w:sz w:val="22"/>
        </w:rPr>
        <w:t>UAE AML/CFT Law.</w:t>
      </w:r>
      <w:r>
        <w:rPr>
          <w:rFonts w:ascii="Figtree" w:hAnsi="Figtree"/>
          <w:b w:val="0"/>
          <w:i w:val="0"/>
          <w:sz w:val="22"/>
        </w:rPr>
        <w:t xml:space="preserve"> Anti-money laundering and counter-terrorism financing obligations are addressed through OnchainID's verifiable claims model. KYC/AML verification outcomes from Emirates NBD's existing systems feed into OnchainID claims, maintaining a single enforcement mechanism across all tokenized instruments.</w:t>
      </w:r>
    </w:p>
    <w:p>
      <w:r>
        <w:rPr>
          <w:rFonts w:ascii="Figtree" w:hAnsi="Figtree"/>
          <w:b/>
          <w:i w:val="0"/>
          <w:sz w:val="22"/>
        </w:rPr>
        <w:t>Important qualification repeated for clarity:</w:t>
      </w:r>
      <w:r>
        <w:rPr>
          <w:rFonts w:ascii="Figtree" w:hAnsi="Figtree"/>
          <w:b w:val="0"/>
          <w:i w:val="0"/>
          <w:sz w:val="22"/>
        </w:rPr>
        <w:t xml:space="preserve"> DALP provides the technical infrastructure for compliance enforcement. Emirates NBD retains responsibility for regulatory interpretation and policy decisions. The platform enforces whatever rules the bank configures — it is a compliance enforcement engine, not a compliance advisory service.</w:t>
      </w:r>
    </w:p>
    <w:p>
      <w:pPr>
        <w:pStyle w:val="H3"/>
        <w:numPr>
          <w:ilvl w:val="2"/>
          <w:numId w:val="1"/>
        </w:numPr>
      </w:pPr>
      <w:r>
        <w:t>API Surface Detail</w:t>
      </w:r>
    </w:p>
    <w:p>
      <w:r>
        <w:rPr>
          <w:rFonts w:ascii="Figtree" w:hAnsi="Figtree"/>
          <w:b w:val="0"/>
          <w:i w:val="0"/>
          <w:sz w:val="22"/>
        </w:rPr>
        <w:t>DALP's API surface provides comprehensive programmatic access for Emirates NBD's integration requirements:</w:t>
      </w:r>
    </w:p>
    <w:p>
      <w:r>
        <w:rPr>
          <w:rFonts w:ascii="Figtree" w:hAnsi="Figtree"/>
          <w:b/>
          <w:i w:val="0"/>
          <w:sz w:val="22"/>
        </w:rPr>
        <w:t>REST API v2 (/api/v2).</w:t>
      </w:r>
      <w:r>
        <w:rPr>
          <w:rFonts w:ascii="Figtree" w:hAnsi="Figtree"/>
          <w:b w:val="0"/>
          <w:i w:val="0"/>
          <w:sz w:val="22"/>
        </w:rPr>
        <w:t xml:space="preserve"> The primary integration endpoint, authenticated via API keys (HTTP-method-scoped). Organized by procedure namespace: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Namespace</w:t>
            </w:r>
          </w:p>
        </w:tc>
        <w:tc>
          <w:tcPr>
            <w:tcW w:type="dxa" w:w="3249"/>
            <w:vAlign w:val="center"/>
            <w:shd w:fill="000099" w:val="clear"/>
          </w:tcPr>
          <w:p>
            <w:r>
              <w:rPr>
                <w:b/>
                <w:color w:val="FFFFFF"/>
              </w:rPr>
            </w:r>
            <w:r>
              <w:rPr>
                <w:rFonts w:ascii="Figtree" w:hAnsi="Figtree"/>
                <w:b/>
                <w:i w:val="0"/>
                <w:color w:val="FFFFFF"/>
                <w:sz w:val="22"/>
              </w:rPr>
              <w:t>Key Procedures</w:t>
            </w:r>
          </w:p>
        </w:tc>
        <w:tc>
          <w:tcPr>
            <w:tcW w:type="dxa" w:w="3249"/>
            <w:vAlign w:val="center"/>
            <w:shd w:fill="000099" w:val="clear"/>
          </w:tcPr>
          <w:p>
            <w:r>
              <w:rPr>
                <w:b/>
                <w:color w:val="FFFFFF"/>
              </w:rPr>
            </w:r>
            <w:r>
              <w:rPr>
                <w:rFonts w:ascii="Figtree" w:hAnsi="Figtree"/>
                <w:b/>
                <w:i w:val="0"/>
                <w:color w:val="FFFFFF"/>
                <w:sz w:val="22"/>
              </w:rPr>
              <w:t>Emirates NBD Use</w:t>
            </w:r>
          </w:p>
        </w:tc>
      </w:tr>
      <w:tr>
        <w:trPr>
          <w:trHeight w:val="454" w:hRule="atLeast"/>
        </w:trPr>
        <w:tc>
          <w:tcPr>
            <w:tcW w:type="dxa" w:w="3249"/>
            <w:vAlign w:val="center"/>
          </w:tcPr>
          <w:p>
            <w:r/>
            <w:r>
              <w:rPr>
                <w:rFonts w:ascii="Figtree" w:hAnsi="Figtree"/>
                <w:b w:val="0"/>
                <w:i w:val="0"/>
                <w:sz w:val="22"/>
              </w:rPr>
              <w:t>token</w:t>
            </w:r>
          </w:p>
        </w:tc>
        <w:tc>
          <w:tcPr>
            <w:tcW w:type="dxa" w:w="3249"/>
            <w:vAlign w:val="center"/>
          </w:tcPr>
          <w:p>
            <w:r/>
            <w:r>
              <w:rPr>
                <w:rFonts w:ascii="Figtree" w:hAnsi="Figtree"/>
                <w:b w:val="0"/>
                <w:i w:val="0"/>
                <w:sz w:val="22"/>
              </w:rPr>
              <w:t>create, mint, burn, transfer, pause, freeze</w:t>
            </w:r>
          </w:p>
        </w:tc>
        <w:tc>
          <w:tcPr>
            <w:tcW w:type="dxa" w:w="3249"/>
            <w:vAlign w:val="center"/>
          </w:tcPr>
          <w:p>
            <w:r/>
            <w:r>
              <w:rPr>
                <w:rFonts w:ascii="Figtree" w:hAnsi="Figtree"/>
                <w:b w:val="0"/>
                <w:i w:val="0"/>
                <w:sz w:val="22"/>
              </w:rPr>
              <w:t>Deposit lifecycle, trade finance operations</w:t>
            </w:r>
          </w:p>
        </w:tc>
      </w:tr>
      <w:tr>
        <w:trPr>
          <w:trHeight w:val="454" w:hRule="atLeast"/>
        </w:trPr>
        <w:tc>
          <w:tcPr>
            <w:tcW w:type="dxa" w:w="3249"/>
            <w:vAlign w:val="center"/>
          </w:tcPr>
          <w:p>
            <w:r/>
            <w:r>
              <w:rPr>
                <w:rFonts w:ascii="Figtree" w:hAnsi="Figtree"/>
                <w:b w:val="0"/>
                <w:i w:val="0"/>
                <w:sz w:val="22"/>
              </w:rPr>
              <w:t>system</w:t>
            </w:r>
          </w:p>
        </w:tc>
        <w:tc>
          <w:tcPr>
            <w:tcW w:type="dxa" w:w="3249"/>
            <w:vAlign w:val="center"/>
          </w:tcPr>
          <w:p>
            <w:r/>
            <w:r>
              <w:rPr>
                <w:rFonts w:ascii="Figtree" w:hAnsi="Figtree"/>
                <w:b w:val="0"/>
                <w:i w:val="0"/>
                <w:sz w:val="22"/>
              </w:rPr>
              <w:t>accessManager.grantRole, identity.register, trustedIssuers.create</w:t>
            </w:r>
          </w:p>
        </w:tc>
        <w:tc>
          <w:tcPr>
            <w:tcW w:type="dxa" w:w="3249"/>
            <w:vAlign w:val="center"/>
          </w:tcPr>
          <w:p>
            <w:r/>
            <w:r>
              <w:rPr>
                <w:rFonts w:ascii="Figtree" w:hAnsi="Figtree"/>
                <w:b w:val="0"/>
                <w:i w:val="0"/>
                <w:sz w:val="22"/>
              </w:rPr>
              <w:t>Identity management, role administration</w:t>
            </w:r>
          </w:p>
        </w:tc>
      </w:tr>
      <w:tr>
        <w:trPr>
          <w:trHeight w:val="454" w:hRule="atLeast"/>
        </w:trPr>
        <w:tc>
          <w:tcPr>
            <w:tcW w:type="dxa" w:w="3249"/>
            <w:vAlign w:val="center"/>
          </w:tcPr>
          <w:p>
            <w:r/>
            <w:r>
              <w:rPr>
                <w:rFonts w:ascii="Figtree" w:hAnsi="Figtree"/>
                <w:b w:val="0"/>
                <w:i w:val="0"/>
                <w:sz w:val="22"/>
              </w:rPr>
              <w:t>user</w:t>
            </w:r>
          </w:p>
        </w:tc>
        <w:tc>
          <w:tcPr>
            <w:tcW w:type="dxa" w:w="3249"/>
            <w:vAlign w:val="center"/>
          </w:tcPr>
          <w:p>
            <w:r/>
            <w:r>
              <w:rPr>
                <w:rFonts w:ascii="Figtree" w:hAnsi="Figtree"/>
                <w:b w:val="0"/>
                <w:i w:val="0"/>
                <w:sz w:val="22"/>
              </w:rPr>
              <w:t>me, update, stats</w:t>
            </w:r>
          </w:p>
        </w:tc>
        <w:tc>
          <w:tcPr>
            <w:tcW w:type="dxa" w:w="3249"/>
            <w:vAlign w:val="center"/>
          </w:tcPr>
          <w:p>
            <w:r/>
            <w:r>
              <w:rPr>
                <w:rFonts w:ascii="Figtree" w:hAnsi="Figtree"/>
                <w:b w:val="0"/>
                <w:i w:val="0"/>
                <w:sz w:val="22"/>
              </w:rPr>
              <w:t>Operator management</w:t>
            </w:r>
          </w:p>
        </w:tc>
      </w:tr>
      <w:tr>
        <w:trPr>
          <w:trHeight w:val="454" w:hRule="atLeast"/>
        </w:trPr>
        <w:tc>
          <w:tcPr>
            <w:tcW w:type="dxa" w:w="3249"/>
            <w:vAlign w:val="center"/>
          </w:tcPr>
          <w:p>
            <w:r/>
            <w:r>
              <w:rPr>
                <w:rFonts w:ascii="Figtree" w:hAnsi="Figtree"/>
                <w:b w:val="0"/>
                <w:i w:val="0"/>
                <w:sz w:val="22"/>
              </w:rPr>
              <w:t>account</w:t>
            </w:r>
          </w:p>
        </w:tc>
        <w:tc>
          <w:tcPr>
            <w:tcW w:type="dxa" w:w="3249"/>
            <w:vAlign w:val="center"/>
          </w:tcPr>
          <w:p>
            <w:r/>
            <w:r>
              <w:rPr>
                <w:rFonts w:ascii="Figtree" w:hAnsi="Figtree"/>
                <w:b w:val="0"/>
                <w:i w:val="0"/>
                <w:sz w:val="22"/>
              </w:rPr>
              <w:t>identity, claims</w:t>
            </w:r>
          </w:p>
        </w:tc>
        <w:tc>
          <w:tcPr>
            <w:tcW w:type="dxa" w:w="3249"/>
            <w:vAlign w:val="center"/>
          </w:tcPr>
          <w:p>
            <w:r/>
            <w:r>
              <w:rPr>
                <w:rFonts w:ascii="Figtree" w:hAnsi="Figtree"/>
                <w:b w:val="0"/>
                <w:i w:val="0"/>
                <w:sz w:val="22"/>
              </w:rPr>
              <w:t>Wallet and identity queries</w:t>
            </w:r>
          </w:p>
        </w:tc>
      </w:tr>
      <w:tr>
        <w:trPr>
          <w:trHeight w:val="454" w:hRule="atLeast"/>
        </w:trPr>
        <w:tc>
          <w:tcPr>
            <w:tcW w:type="dxa" w:w="3249"/>
            <w:vAlign w:val="center"/>
          </w:tcPr>
          <w:p>
            <w:r/>
            <w:r>
              <w:rPr>
                <w:rFonts w:ascii="Figtree" w:hAnsi="Figtree"/>
                <w:b w:val="0"/>
                <w:i w:val="0"/>
                <w:sz w:val="22"/>
              </w:rPr>
              <w:t>addons</w:t>
            </w:r>
          </w:p>
        </w:tc>
        <w:tc>
          <w:tcPr>
            <w:tcW w:type="dxa" w:w="3249"/>
            <w:vAlign w:val="center"/>
          </w:tcPr>
          <w:p>
            <w:r/>
            <w:r>
              <w:rPr>
                <w:rFonts w:ascii="Figtree" w:hAnsi="Figtree"/>
                <w:b w:val="0"/>
                <w:i w:val="0"/>
                <w:sz w:val="22"/>
              </w:rPr>
              <w:t>xvp.create, fixedYield.configure, vault.create</w:t>
            </w:r>
          </w:p>
        </w:tc>
        <w:tc>
          <w:tcPr>
            <w:tcW w:type="dxa" w:w="3249"/>
            <w:vAlign w:val="center"/>
          </w:tcPr>
          <w:p>
            <w:r/>
            <w:r>
              <w:rPr>
                <w:rFonts w:ascii="Figtree" w:hAnsi="Figtree"/>
                <w:b w:val="0"/>
                <w:i w:val="0"/>
                <w:sz w:val="22"/>
              </w:rPr>
              <w:t>Settlement, yield distribution, treasury</w:t>
            </w:r>
          </w:p>
        </w:tc>
      </w:tr>
      <w:tr>
        <w:trPr>
          <w:trHeight w:val="454" w:hRule="atLeast"/>
        </w:trPr>
        <w:tc>
          <w:tcPr>
            <w:tcW w:type="dxa" w:w="3249"/>
            <w:vAlign w:val="center"/>
          </w:tcPr>
          <w:p>
            <w:r/>
            <w:r>
              <w:rPr>
                <w:rFonts w:ascii="Figtree" w:hAnsi="Figtree"/>
                <w:b w:val="0"/>
                <w:i w:val="0"/>
                <w:sz w:val="22"/>
              </w:rPr>
              <w:t>monitoring</w:t>
            </w:r>
          </w:p>
        </w:tc>
        <w:tc>
          <w:tcPr>
            <w:tcW w:type="dxa" w:w="3249"/>
            <w:vAlign w:val="center"/>
          </w:tcPr>
          <w:p>
            <w:r/>
            <w:r>
              <w:rPr>
                <w:rFonts w:ascii="Figtree" w:hAnsi="Figtree"/>
                <w:b w:val="0"/>
                <w:i w:val="0"/>
                <w:sz w:val="22"/>
              </w:rPr>
              <w:t>health, logs, snapshots</w:t>
            </w:r>
          </w:p>
        </w:tc>
        <w:tc>
          <w:tcPr>
            <w:tcW w:type="dxa" w:w="3249"/>
            <w:vAlign w:val="center"/>
          </w:tcPr>
          <w:p>
            <w:r/>
            <w:r>
              <w:rPr>
                <w:rFonts w:ascii="Figtree" w:hAnsi="Figtree"/>
                <w:b w:val="0"/>
                <w:i w:val="0"/>
                <w:sz w:val="22"/>
              </w:rPr>
              <w:t>Operational monitoring</w:t>
            </w:r>
          </w:p>
        </w:tc>
      </w:tr>
      <w:tr>
        <w:trPr>
          <w:trHeight w:val="454" w:hRule="atLeast"/>
        </w:trPr>
        <w:tc>
          <w:tcPr>
            <w:tcW w:type="dxa" w:w="3249"/>
            <w:vAlign w:val="center"/>
          </w:tcPr>
          <w:p>
            <w:r/>
            <w:r>
              <w:rPr>
                <w:rFonts w:ascii="Figtree" w:hAnsi="Figtree"/>
                <w:b w:val="0"/>
                <w:i w:val="0"/>
                <w:sz w:val="22"/>
              </w:rPr>
              <w:t>search</w:t>
            </w:r>
          </w:p>
        </w:tc>
        <w:tc>
          <w:tcPr>
            <w:tcW w:type="dxa" w:w="3249"/>
            <w:vAlign w:val="center"/>
          </w:tcPr>
          <w:p>
            <w:r/>
            <w:r>
              <w:rPr>
                <w:rFonts w:ascii="Figtree" w:hAnsi="Figtree"/>
                <w:b w:val="0"/>
                <w:i w:val="0"/>
                <w:sz w:val="22"/>
              </w:rPr>
              <w:t>query (across tokens, contacts, transactions)</w:t>
            </w:r>
          </w:p>
        </w:tc>
        <w:tc>
          <w:tcPr>
            <w:tcW w:type="dxa" w:w="3249"/>
            <w:vAlign w:val="center"/>
          </w:tcPr>
          <w:p>
            <w:r/>
            <w:r>
              <w:rPr>
                <w:rFonts w:ascii="Figtree" w:hAnsi="Figtree"/>
                <w:b w:val="0"/>
                <w:i w:val="0"/>
                <w:sz w:val="22"/>
              </w:rPr>
              <w:t>Global search integration</w:t>
            </w:r>
          </w:p>
        </w:tc>
      </w:tr>
      <w:tr>
        <w:trPr>
          <w:trHeight w:val="454" w:hRule="atLeast"/>
        </w:trPr>
        <w:tc>
          <w:tcPr>
            <w:tcW w:type="dxa" w:w="3249"/>
            <w:vAlign w:val="center"/>
          </w:tcPr>
          <w:p>
            <w:r/>
            <w:r>
              <w:rPr>
                <w:rFonts w:ascii="Figtree" w:hAnsi="Figtree"/>
                <w:b w:val="0"/>
                <w:i w:val="0"/>
                <w:sz w:val="22"/>
              </w:rPr>
              <w:t>settings</w:t>
            </w:r>
          </w:p>
        </w:tc>
        <w:tc>
          <w:tcPr>
            <w:tcW w:type="dxa" w:w="3249"/>
            <w:vAlign w:val="center"/>
          </w:tcPr>
          <w:p>
            <w:r/>
            <w:r>
              <w:rPr>
                <w:rFonts w:ascii="Figtree" w:hAnsi="Figtree"/>
                <w:b w:val="0"/>
                <w:i w:val="0"/>
                <w:sz w:val="22"/>
              </w:rPr>
              <w:t>get, update</w:t>
            </w:r>
          </w:p>
        </w:tc>
        <w:tc>
          <w:tcPr>
            <w:tcW w:type="dxa" w:w="3249"/>
            <w:vAlign w:val="center"/>
          </w:tcPr>
          <w:p>
            <w:r/>
            <w:r>
              <w:rPr>
                <w:rFonts w:ascii="Figtree" w:hAnsi="Figtree"/>
                <w:b w:val="0"/>
                <w:i w:val="0"/>
                <w:sz w:val="22"/>
              </w:rPr>
              <w:t>Platform configuration</w:t>
            </w:r>
          </w:p>
        </w:tc>
      </w:tr>
      <w:tr>
        <w:trPr>
          <w:trHeight w:val="454" w:hRule="atLeast"/>
        </w:trPr>
        <w:tc>
          <w:tcPr>
            <w:tcW w:type="dxa" w:w="3249"/>
            <w:vAlign w:val="center"/>
          </w:tcPr>
          <w:p>
            <w:r/>
            <w:r>
              <w:rPr>
                <w:rFonts w:ascii="Figtree" w:hAnsi="Figtree"/>
                <w:b w:val="0"/>
                <w:i w:val="0"/>
                <w:sz w:val="22"/>
              </w:rPr>
              <w:t>exchangeRates</w:t>
            </w:r>
          </w:p>
        </w:tc>
        <w:tc>
          <w:tcPr>
            <w:tcW w:type="dxa" w:w="3249"/>
            <w:vAlign w:val="center"/>
          </w:tcPr>
          <w:p>
            <w:r/>
            <w:r>
              <w:rPr>
                <w:rFonts w:ascii="Figtree" w:hAnsi="Figtree"/>
                <w:b w:val="0"/>
                <w:i w:val="0"/>
                <w:sz w:val="22"/>
              </w:rPr>
              <w:t>list, convert, sync</w:t>
            </w:r>
          </w:p>
        </w:tc>
        <w:tc>
          <w:tcPr>
            <w:tcW w:type="dxa" w:w="3249"/>
            <w:vAlign w:val="center"/>
          </w:tcPr>
          <w:p>
            <w:r/>
            <w:r>
              <w:rPr>
                <w:rFonts w:ascii="Figtree" w:hAnsi="Figtree"/>
                <w:b w:val="0"/>
                <w:i w:val="0"/>
                <w:sz w:val="22"/>
              </w:rPr>
              <w:t>Multi-currency support</w:t>
            </w:r>
          </w:p>
        </w:tc>
      </w:tr>
    </w:tbl>
    <w:p>
      <w:r>
        <w:rPr>
          <w:rFonts w:ascii="Figtree" w:hAnsi="Figtree"/>
          <w:b/>
          <w:i w:val="0"/>
          <w:sz w:val="22"/>
        </w:rPr>
        <w:t>TypeScript SDK.</w:t>
      </w:r>
      <w:r>
        <w:rPr>
          <w:rFonts w:ascii="Figtree" w:hAnsi="Figtree"/>
          <w:b w:val="0"/>
          <w:i w:val="0"/>
          <w:sz w:val="22"/>
        </w:rPr>
        <w:t xml:space="preserve"> A typed SDK providing compile-time type safety for API consumers. Reduces integration error rates and improves developer productivity compared to raw REST calls.</w:t>
      </w:r>
    </w:p>
    <w:p>
      <w:r>
        <w:rPr>
          <w:rFonts w:ascii="Figtree" w:hAnsi="Figtree"/>
          <w:b/>
          <w:i w:val="0"/>
          <w:sz w:val="22"/>
        </w:rPr>
        <w:t>CLI (301 commands, 26 command groups).</w:t>
      </w:r>
      <w:r>
        <w:rPr>
          <w:rFonts w:ascii="Figtree" w:hAnsi="Figtree"/>
          <w:b w:val="0"/>
          <w:i w:val="0"/>
          <w:sz w:val="22"/>
        </w:rPr>
        <w:t xml:space="preserve"> A comprehensive command-line interface supporting all platform operations. Particularly useful for automation, scripting, and CI/CD pipeline integration. Emirates NBD's operations teams can use CLI commands in runbooks and automation scripts.</w:t>
      </w:r>
    </w:p>
    <w:p>
      <w:r>
        <w:rPr>
          <w:rFonts w:ascii="Figtree" w:hAnsi="Figtree"/>
          <w:b/>
          <w:i w:val="0"/>
          <w:sz w:val="22"/>
        </w:rPr>
        <w:t>Webhooks.</w:t>
      </w:r>
      <w:r>
        <w:rPr>
          <w:rFonts w:ascii="Figtree" w:hAnsi="Figtree"/>
          <w:b w:val="0"/>
          <w:i w:val="0"/>
          <w:sz w:val="22"/>
        </w:rPr>
        <w:t xml:space="preserve"> Event-driven notifications for downstream system integration. Configurable per event type (token created, transfer executed, compliance module triggered, settlement completed). Webhook payloads include full event context, enabling receiving systems to process events without additional API queries.</w:t>
      </w:r>
    </w:p>
    <w:p>
      <w:r>
        <w:rPr>
          <w:rFonts w:ascii="Figtree" w:hAnsi="Figtree"/>
          <w:b/>
          <w:i w:val="0"/>
          <w:sz w:val="22"/>
        </w:rPr>
        <w:t>Server-Sent Events (SSE).</w:t>
      </w:r>
      <w:r>
        <w:rPr>
          <w:rFonts w:ascii="Figtree" w:hAnsi="Figtree"/>
          <w:b w:val="0"/>
          <w:i w:val="0"/>
          <w:sz w:val="22"/>
        </w:rPr>
        <w:t xml:space="preserve"> Real-time event streaming for operational dashboards and monitoring systems. SSE provides a continuous stream of platform events without the overhead of polling.</w:t>
      </w:r>
    </w:p>
    <w:p>
      <w:r>
        <w:rPr>
          <w:rFonts w:ascii="Figtree" w:hAnsi="Figtree"/>
          <w:b/>
          <w:i w:val="0"/>
          <w:sz w:val="22"/>
        </w:rPr>
        <w:t>GraphQL (via subgraph).</w:t>
      </w:r>
      <w:r>
        <w:rPr>
          <w:rFonts w:ascii="Figtree" w:hAnsi="Figtree"/>
          <w:b w:val="0"/>
          <w:i w:val="0"/>
          <w:sz w:val="22"/>
        </w:rPr>
        <w:t xml:space="preserve"> Complex query capability for analytics, reporting, and audit evidence extraction. Particularly useful for Emirates NBD's regulatory reporting requirements, where queries may span multiple asset types, time periods, and event categories.</w:t>
      </w:r>
    </w:p>
    <w:p>
      <w:pPr>
        <w:pStyle w:val="H3"/>
        <w:numPr>
          <w:ilvl w:val="2"/>
          <w:numId w:val="1"/>
        </w:numPr>
      </w:pPr>
      <w:r>
        <w:t>Detailed Implementation Phase Activities</w:t>
      </w:r>
    </w:p>
    <w:p>
      <w:r>
        <w:rPr>
          <w:rFonts w:ascii="Figtree" w:hAnsi="Figtree"/>
          <w:b/>
          <w:i w:val="0"/>
          <w:sz w:val="22"/>
        </w:rPr>
        <w:t>Phase 1 Activities — Extended Detail:</w:t>
      </w:r>
    </w:p>
    <w:p>
      <w:r>
        <w:rPr>
          <w:rFonts w:ascii="Figtree" w:hAnsi="Figtree"/>
          <w:b w:val="0"/>
          <w:i w:val="0"/>
          <w:sz w:val="22"/>
        </w:rPr>
        <w:t>During Discovery and Requirements, the SettleMint team conducts 8–12 structured stakeholder sessions covering:</w:t>
      </w:r>
    </w:p>
    <w:p>
      <w:pPr>
        <w:pStyle w:val="ListParagraph"/>
        <w:numPr>
          <w:ilvl w:val="0"/>
          <w:numId w:val="18"/>
        </w:numPr>
      </w:pPr>
      <w:r>
        <w:rPr>
          <w:rFonts w:ascii="Figtree" w:hAnsi="Figtree"/>
          <w:b w:val="0"/>
          <w:i w:val="0"/>
          <w:sz w:val="22"/>
        </w:rPr>
        <w:t>Business sponsor session: Programme objectives, success metrics, governance expectations, commercial boundaries</w:t>
      </w:r>
    </w:p>
    <w:p>
      <w:pPr>
        <w:pStyle w:val="ListParagraph"/>
        <w:numPr>
          <w:ilvl w:val="0"/>
          <w:numId w:val="18"/>
        </w:numPr>
      </w:pPr>
      <w:r>
        <w:rPr>
          <w:rFonts w:ascii="Figtree" w:hAnsi="Figtree"/>
          <w:b w:val="0"/>
          <w:i w:val="0"/>
          <w:sz w:val="22"/>
        </w:rPr>
        <w:t>Technology leadership session: Architecture standards, integration constraints, security requirements, deployment preferences</w:t>
      </w:r>
    </w:p>
    <w:p>
      <w:pPr>
        <w:pStyle w:val="ListParagraph"/>
        <w:numPr>
          <w:ilvl w:val="0"/>
          <w:numId w:val="18"/>
        </w:numPr>
      </w:pPr>
      <w:r>
        <w:rPr>
          <w:rFonts w:ascii="Figtree" w:hAnsi="Figtree"/>
          <w:b w:val="0"/>
          <w:i w:val="0"/>
          <w:sz w:val="22"/>
        </w:rPr>
        <w:t>Compliance and risk session: Regulatory mapping, compliance module requirements, reporting obligations, audit expectations</w:t>
      </w:r>
    </w:p>
    <w:p>
      <w:pPr>
        <w:pStyle w:val="ListParagraph"/>
        <w:numPr>
          <w:ilvl w:val="0"/>
          <w:numId w:val="18"/>
        </w:numPr>
      </w:pPr>
      <w:r>
        <w:rPr>
          <w:rFonts w:ascii="Figtree" w:hAnsi="Figtree"/>
          <w:b w:val="0"/>
          <w:i w:val="0"/>
          <w:sz w:val="22"/>
        </w:rPr>
        <w:t>Treasury session: Deposit product specifications, interest rate management, liquidity classification, FX considerations</w:t>
      </w:r>
    </w:p>
    <w:p>
      <w:pPr>
        <w:pStyle w:val="ListParagraph"/>
        <w:numPr>
          <w:ilvl w:val="0"/>
          <w:numId w:val="18"/>
        </w:numPr>
      </w:pPr>
      <w:r>
        <w:rPr>
          <w:rFonts w:ascii="Figtree" w:hAnsi="Figtree"/>
          <w:b w:val="0"/>
          <w:i w:val="0"/>
          <w:sz w:val="22"/>
        </w:rPr>
        <w:t>Trade finance operations session: LC workflow mapping, document handling, milestone definitions, counterparty management</w:t>
      </w:r>
    </w:p>
    <w:p>
      <w:pPr>
        <w:pStyle w:val="ListParagraph"/>
        <w:numPr>
          <w:ilvl w:val="0"/>
          <w:numId w:val="18"/>
        </w:numPr>
      </w:pPr>
      <w:r>
        <w:rPr>
          <w:rFonts w:ascii="Figtree" w:hAnsi="Figtree"/>
          <w:b w:val="0"/>
          <w:i w:val="0"/>
          <w:sz w:val="22"/>
        </w:rPr>
        <w:t>IT integration session: Core banking API capabilities, trade finance system interfaces, identity management integration</w:t>
      </w:r>
    </w:p>
    <w:p>
      <w:pPr>
        <w:pStyle w:val="ListParagraph"/>
        <w:numPr>
          <w:ilvl w:val="0"/>
          <w:numId w:val="18"/>
        </w:numPr>
      </w:pPr>
      <w:r>
        <w:rPr>
          <w:rFonts w:ascii="Figtree" w:hAnsi="Figtree"/>
          <w:b w:val="0"/>
          <w:i w:val="0"/>
          <w:sz w:val="22"/>
        </w:rPr>
        <w:t>Information security session: Security review process, penetration testing requirements, certification expectations</w:t>
      </w:r>
    </w:p>
    <w:p>
      <w:pPr>
        <w:pStyle w:val="ListParagraph"/>
        <w:numPr>
          <w:ilvl w:val="0"/>
          <w:numId w:val="18"/>
        </w:numPr>
      </w:pPr>
      <w:r>
        <w:rPr>
          <w:rFonts w:ascii="Figtree" w:hAnsi="Figtree"/>
          <w:b w:val="0"/>
          <w:i w:val="0"/>
          <w:sz w:val="22"/>
        </w:rPr>
        <w:t>Operations session: Runbook requirements, support model, incident management, monitoring needs</w:t>
      </w:r>
    </w:p>
    <w:p>
      <w:r>
        <w:rPr>
          <w:rFonts w:ascii="Figtree" w:hAnsi="Figtree"/>
          <w:b w:val="0"/>
          <w:i w:val="0"/>
          <w:sz w:val="22"/>
        </w:rPr>
        <w:t>Each session produces a documented output validated within 48 hours. The combined outputs feed into the requirements document, architecture design, and implementation roadmap.</w:t>
      </w:r>
    </w:p>
    <w:p>
      <w:r>
        <w:rPr>
          <w:rFonts w:ascii="Figtree" w:hAnsi="Figtree"/>
          <w:b/>
          <w:i w:val="0"/>
          <w:sz w:val="22"/>
        </w:rPr>
        <w:t>Phase 3 Activities — Extended Detail:</w:t>
      </w:r>
    </w:p>
    <w:p>
      <w:r>
        <w:rPr>
          <w:rFonts w:ascii="Figtree" w:hAnsi="Figtree"/>
          <w:b w:val="0"/>
          <w:i w:val="0"/>
          <w:sz w:val="22"/>
        </w:rPr>
        <w:t>Configuration and Compliance spans four weeks and represents the core of the DALP deployment:</w:t>
      </w:r>
    </w:p>
    <w:p>
      <w:pPr>
        <w:pStyle w:val="ListParagraph"/>
        <w:numPr>
          <w:ilvl w:val="0"/>
          <w:numId w:val="4"/>
        </w:numPr>
      </w:pPr>
      <w:r>
        <w:rPr>
          <w:rFonts w:ascii="Figtree" w:hAnsi="Figtree"/>
          <w:b w:val="0"/>
          <w:i w:val="0"/>
          <w:sz w:val="22"/>
        </w:rPr>
        <w:t>Week 6: Deploy DALPAsset factory contracts, configure asset class templates for deposits and trade finance</w:t>
      </w:r>
    </w:p>
    <w:p>
      <w:pPr>
        <w:pStyle w:val="ListParagraph"/>
        <w:numPr>
          <w:ilvl w:val="0"/>
          <w:numId w:val="4"/>
        </w:numPr>
      </w:pPr>
      <w:r>
        <w:rPr>
          <w:rFonts w:ascii="Figtree" w:hAnsi="Figtree"/>
          <w:b w:val="0"/>
          <w:i w:val="0"/>
          <w:sz w:val="22"/>
        </w:rPr>
        <w:t>Week 7: Bind compliance modules, configure identity requirements, deploy test compliance configurations</w:t>
      </w:r>
    </w:p>
    <w:p>
      <w:pPr>
        <w:pStyle w:val="ListParagraph"/>
        <w:numPr>
          <w:ilvl w:val="0"/>
          <w:numId w:val="4"/>
        </w:numPr>
      </w:pPr>
      <w:r>
        <w:rPr>
          <w:rFonts w:ascii="Figtree" w:hAnsi="Figtree"/>
          <w:b w:val="0"/>
          <w:i w:val="0"/>
          <w:sz w:val="22"/>
        </w:rPr>
        <w:t>Week 8: Configure settlement workflows (XvP for deposits, milestone-based for trade finance), set up yield distribution</w:t>
      </w:r>
    </w:p>
    <w:p>
      <w:pPr>
        <w:pStyle w:val="ListParagraph"/>
        <w:numPr>
          <w:ilvl w:val="0"/>
          <w:numId w:val="4"/>
        </w:numPr>
      </w:pPr>
      <w:r>
        <w:rPr>
          <w:rFonts w:ascii="Figtree" w:hAnsi="Figtree"/>
          <w:b w:val="0"/>
          <w:i w:val="0"/>
          <w:sz w:val="22"/>
        </w:rPr>
        <w:t>Week 9: End-to-end configuration testing, compliance module validation, performance baseline establishment</w:t>
      </w:r>
    </w:p>
    <w:p>
      <w:r>
        <w:rPr>
          <w:rFonts w:ascii="Figtree" w:hAnsi="Figtree"/>
          <w:b w:val="0"/>
          <w:i w:val="0"/>
          <w:sz w:val="22"/>
        </w:rPr>
        <w:t>Each week concludes with a configuration validation checkpoint where Emirates NBD's business and compliance representatives confirm that the configured behavior matches their requirements.</w:t>
      </w:r>
    </w:p>
    <w:p>
      <w:r>
        <w:rPr>
          <w:rFonts w:ascii="Figtree" w:hAnsi="Figtree"/>
          <w:b/>
          <w:i w:val="0"/>
          <w:sz w:val="22"/>
        </w:rPr>
        <w:t>Phase 4 Activities — Extended Detail:</w:t>
      </w:r>
    </w:p>
    <w:p>
      <w:r>
        <w:rPr>
          <w:rFonts w:ascii="Figtree" w:hAnsi="Figtree"/>
          <w:b w:val="0"/>
          <w:i w:val="0"/>
          <w:sz w:val="22"/>
        </w:rPr>
        <w:t>Integration and Testing covers system integration, security validation, and formal UAT:</w:t>
      </w:r>
    </w:p>
    <w:p>
      <w:pPr>
        <w:pStyle w:val="ListParagraph"/>
        <w:numPr>
          <w:ilvl w:val="0"/>
          <w:numId w:val="4"/>
        </w:numPr>
      </w:pPr>
      <w:r>
        <w:rPr>
          <w:rFonts w:ascii="Figtree" w:hAnsi="Figtree"/>
          <w:b w:val="0"/>
          <w:i w:val="0"/>
          <w:sz w:val="22"/>
        </w:rPr>
        <w:t>Week 10: Core banking API integration — deposit creation, balance reconciliation, interest calculation cross-check</w:t>
      </w:r>
    </w:p>
    <w:p>
      <w:pPr>
        <w:pStyle w:val="ListParagraph"/>
        <w:numPr>
          <w:ilvl w:val="0"/>
          <w:numId w:val="4"/>
        </w:numPr>
      </w:pPr>
      <w:r>
        <w:rPr>
          <w:rFonts w:ascii="Figtree" w:hAnsi="Figtree"/>
          <w:b w:val="0"/>
          <w:i w:val="0"/>
          <w:sz w:val="22"/>
        </w:rPr>
        <w:t>Week 11: Trade finance back-office integration — document workflow events, milestone notifications, settlement triggers</w:t>
      </w:r>
    </w:p>
    <w:p>
      <w:pPr>
        <w:pStyle w:val="ListParagraph"/>
        <w:numPr>
          <w:ilvl w:val="0"/>
          <w:numId w:val="4"/>
        </w:numPr>
      </w:pPr>
      <w:r>
        <w:rPr>
          <w:rFonts w:ascii="Figtree" w:hAnsi="Figtree"/>
          <w:b w:val="0"/>
          <w:i w:val="0"/>
          <w:sz w:val="22"/>
        </w:rPr>
        <w:t>Week 12: KYC/AML and SWIFT integration — identity claim feeds, settlement message generation</w:t>
      </w:r>
    </w:p>
    <w:p>
      <w:pPr>
        <w:pStyle w:val="ListParagraph"/>
        <w:numPr>
          <w:ilvl w:val="0"/>
          <w:numId w:val="4"/>
        </w:numPr>
      </w:pPr>
      <w:r>
        <w:rPr>
          <w:rFonts w:ascii="Figtree" w:hAnsi="Figtree"/>
          <w:b w:val="0"/>
          <w:i w:val="0"/>
          <w:sz w:val="22"/>
        </w:rPr>
        <w:t>Week 13: Security testing (penetration test by independent third party), performance testing (load profiles matching projected volumes), formal UAT with Emirates NBD test scripts</w:t>
      </w:r>
    </w:p>
    <w:p>
      <w:r>
        <w:rPr>
          <w:rFonts w:ascii="Figtree" w:hAnsi="Figtree"/>
          <w:b w:val="0"/>
          <w:i w:val="0"/>
          <w:sz w:val="22"/>
        </w:rPr>
        <w:t>The security assessment includes infrastructure penetration testing, API security testing, smart contract interaction testing, and access control verification. Results are shared with Emirates NBD's information security team for review.</w:t>
      </w:r>
    </w:p>
    <w:p>
      <w:pPr>
        <w:pStyle w:val="H2"/>
        <w:numPr>
          <w:ilvl w:val="1"/>
          <w:numId w:val="1"/>
        </w:numPr>
      </w:pPr>
      <w:r>
        <w:t>Appendices</w:t>
      </w:r>
    </w:p>
    <w:p>
      <w:pPr>
        <w:pStyle w:val="H3"/>
        <w:numPr>
          <w:ilvl w:val="2"/>
          <w:numId w:val="1"/>
        </w:numPr>
      </w:pPr>
      <w:r>
        <w:t>Wallet Verification and Step-Up Authentication</w:t>
      </w:r>
    </w:p>
    <w:p>
      <w:r>
        <w:rPr>
          <w:rFonts w:ascii="Figtree" w:hAnsi="Figtree"/>
          <w:b w:val="0"/>
          <w:i w:val="0"/>
          <w:sz w:val="22"/>
        </w:rPr>
        <w:t>Beyond session authentication and RBAC authorization, DALP enforces a dedicated second factor for all blockchain write operations. This is one of the most important security boundaries for Emirates NBD's deposit and trade finance operations.</w:t>
      </w:r>
    </w:p>
    <w:p>
      <w:r>
        <w:rPr>
          <w:rFonts w:ascii="Figtree" w:hAnsi="Figtree"/>
          <w:b w:val="0"/>
          <w:i w:val="0"/>
          <w:sz w:val="22"/>
        </w:rPr>
        <w:t>Even with a valid authenticated session and appropriate RBAC permissions, no on-chain transaction executes without the user proving control of their wallet. This wallet verification step is enforced at the middleware level and cannot be bypassed by any administrative action.</w:t>
      </w:r>
    </w:p>
    <w:p>
      <w:r>
        <w:rPr>
          <w:rFonts w:ascii="Figtree" w:hAnsi="Figtree"/>
          <w:b/>
          <w:i w:val="0"/>
          <w:sz w:val="22"/>
        </w:rPr>
        <w:t>Available verification methods: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Method</w:t>
            </w:r>
          </w:p>
        </w:tc>
        <w:tc>
          <w:tcPr>
            <w:tcW w:type="dxa" w:w="3249"/>
            <w:vAlign w:val="center"/>
            <w:shd w:fill="000099" w:val="clear"/>
          </w:tcPr>
          <w:p>
            <w:r>
              <w:rPr>
                <w:b/>
                <w:color w:val="FFFFFF"/>
              </w:rPr>
            </w:r>
            <w:r>
              <w:rPr>
                <w:rFonts w:ascii="Figtree" w:hAnsi="Figtree"/>
                <w:b/>
                <w:i w:val="0"/>
                <w:color w:val="FFFFFF"/>
                <w:sz w:val="22"/>
              </w:rPr>
              <w:t>Description</w:t>
            </w:r>
          </w:p>
        </w:tc>
        <w:tc>
          <w:tcPr>
            <w:tcW w:type="dxa" w:w="3249"/>
            <w:vAlign w:val="center"/>
            <w:shd w:fill="000099" w:val="clear"/>
          </w:tcPr>
          <w:p>
            <w:r>
              <w:rPr>
                <w:b/>
                <w:color w:val="FFFFFF"/>
              </w:rPr>
            </w:r>
            <w:r>
              <w:rPr>
                <w:rFonts w:ascii="Figtree" w:hAnsi="Figtree"/>
                <w:b/>
                <w:i w:val="0"/>
                <w:color w:val="FFFFFF"/>
                <w:sz w:val="22"/>
              </w:rPr>
              <w:t>Emirates NBD Use Case</w:t>
            </w:r>
          </w:p>
        </w:tc>
      </w:tr>
      <w:tr>
        <w:trPr>
          <w:trHeight w:val="454" w:hRule="atLeast"/>
        </w:trPr>
        <w:tc>
          <w:tcPr>
            <w:tcW w:type="dxa" w:w="3249"/>
            <w:vAlign w:val="center"/>
          </w:tcPr>
          <w:p>
            <w:r/>
            <w:r>
              <w:rPr>
                <w:rFonts w:ascii="Figtree" w:hAnsi="Figtree"/>
                <w:b w:val="0"/>
                <w:i w:val="0"/>
                <w:sz w:val="22"/>
              </w:rPr>
              <w:t>PIN</w:t>
            </w:r>
          </w:p>
        </w:tc>
        <w:tc>
          <w:tcPr>
            <w:tcW w:type="dxa" w:w="3249"/>
            <w:vAlign w:val="center"/>
          </w:tcPr>
          <w:p>
            <w:r/>
            <w:r>
              <w:rPr>
                <w:rFonts w:ascii="Figtree" w:hAnsi="Figtree"/>
                <w:b w:val="0"/>
                <w:i w:val="0"/>
                <w:sz w:val="22"/>
              </w:rPr>
              <w:t>6-digit code set during wallet setup</w:t>
            </w:r>
          </w:p>
        </w:tc>
        <w:tc>
          <w:tcPr>
            <w:tcW w:type="dxa" w:w="3249"/>
            <w:vAlign w:val="center"/>
          </w:tcPr>
          <w:p>
            <w:r/>
            <w:r>
              <w:rPr>
                <w:rFonts w:ascii="Figtree" w:hAnsi="Figtree"/>
                <w:b w:val="0"/>
                <w:i w:val="0"/>
                <w:sz w:val="22"/>
              </w:rPr>
              <w:t>Standard operational transactions</w:t>
            </w:r>
          </w:p>
        </w:tc>
      </w:tr>
      <w:tr>
        <w:trPr>
          <w:trHeight w:val="454" w:hRule="atLeast"/>
        </w:trPr>
        <w:tc>
          <w:tcPr>
            <w:tcW w:type="dxa" w:w="3249"/>
            <w:vAlign w:val="center"/>
          </w:tcPr>
          <w:p>
            <w:r/>
            <w:r>
              <w:rPr>
                <w:rFonts w:ascii="Figtree" w:hAnsi="Figtree"/>
                <w:b w:val="0"/>
                <w:i w:val="0"/>
                <w:sz w:val="22"/>
              </w:rPr>
              <w:t>TOTP</w:t>
            </w:r>
          </w:p>
        </w:tc>
        <w:tc>
          <w:tcPr>
            <w:tcW w:type="dxa" w:w="3249"/>
            <w:vAlign w:val="center"/>
          </w:tcPr>
          <w:p>
            <w:r/>
            <w:r>
              <w:rPr>
                <w:rFonts w:ascii="Figtree" w:hAnsi="Figtree"/>
                <w:b w:val="0"/>
                <w:i w:val="0"/>
                <w:sz w:val="22"/>
              </w:rPr>
              <w:t>Time-based one-time password via authenticator app (RFC 6238, 30-second rotation)</w:t>
            </w:r>
          </w:p>
        </w:tc>
        <w:tc>
          <w:tcPr>
            <w:tcW w:type="dxa" w:w="3249"/>
            <w:vAlign w:val="center"/>
          </w:tcPr>
          <w:p>
            <w:r/>
            <w:r>
              <w:rPr>
                <w:rFonts w:ascii="Figtree" w:hAnsi="Figtree"/>
                <w:b w:val="0"/>
                <w:i w:val="0"/>
                <w:sz w:val="22"/>
              </w:rPr>
              <w:t>Enhanced security for large-value operations</w:t>
            </w:r>
          </w:p>
        </w:tc>
      </w:tr>
      <w:tr>
        <w:trPr>
          <w:trHeight w:val="454" w:hRule="atLeast"/>
        </w:trPr>
        <w:tc>
          <w:tcPr>
            <w:tcW w:type="dxa" w:w="3249"/>
            <w:vAlign w:val="center"/>
          </w:tcPr>
          <w:p>
            <w:r/>
            <w:r>
              <w:rPr>
                <w:rFonts w:ascii="Figtree" w:hAnsi="Figtree"/>
                <w:b w:val="0"/>
                <w:i w:val="0"/>
                <w:sz w:val="22"/>
              </w:rPr>
              <w:t>Backup codes</w:t>
            </w:r>
          </w:p>
        </w:tc>
        <w:tc>
          <w:tcPr>
            <w:tcW w:type="dxa" w:w="3249"/>
            <w:vAlign w:val="center"/>
          </w:tcPr>
          <w:p>
            <w:r/>
            <w:r>
              <w:rPr>
                <w:rFonts w:ascii="Figtree" w:hAnsi="Figtree"/>
                <w:b w:val="0"/>
                <w:i w:val="0"/>
                <w:sz w:val="22"/>
              </w:rPr>
              <w:t>One-time recovery codes generated during wallet setup</w:t>
            </w:r>
          </w:p>
        </w:tc>
        <w:tc>
          <w:tcPr>
            <w:tcW w:type="dxa" w:w="3249"/>
            <w:vAlign w:val="center"/>
          </w:tcPr>
          <w:p>
            <w:r/>
            <w:r>
              <w:rPr>
                <w:rFonts w:ascii="Figtree" w:hAnsi="Figtree"/>
                <w:b w:val="0"/>
                <w:i w:val="0"/>
                <w:sz w:val="22"/>
              </w:rPr>
              <w:t>Emergency recovery access</w:t>
            </w:r>
          </w:p>
        </w:tc>
      </w:tr>
      <w:tr>
        <w:trPr>
          <w:trHeight w:val="454" w:hRule="atLeast"/>
        </w:trPr>
        <w:tc>
          <w:tcPr>
            <w:tcW w:type="dxa" w:w="3249"/>
            <w:vAlign w:val="center"/>
          </w:tcPr>
          <w:p>
            <w:r/>
            <w:r>
              <w:rPr>
                <w:rFonts w:ascii="Figtree" w:hAnsi="Figtree"/>
                <w:b w:val="0"/>
                <w:i w:val="0"/>
                <w:sz w:val="22"/>
              </w:rPr>
              <w:t>Passkey</w:t>
            </w:r>
          </w:p>
        </w:tc>
        <w:tc>
          <w:tcPr>
            <w:tcW w:type="dxa" w:w="3249"/>
            <w:vAlign w:val="center"/>
          </w:tcPr>
          <w:p>
            <w:r/>
            <w:r>
              <w:rPr>
                <w:rFonts w:ascii="Figtree" w:hAnsi="Figtree"/>
                <w:b w:val="0"/>
                <w:i w:val="0"/>
                <w:sz w:val="22"/>
              </w:rPr>
              <w:t>WebAuthn challenge-response with hardware key or biometric</w:t>
            </w:r>
          </w:p>
        </w:tc>
        <w:tc>
          <w:tcPr>
            <w:tcW w:type="dxa" w:w="3249"/>
            <w:vAlign w:val="center"/>
          </w:tcPr>
          <w:p>
            <w:r/>
            <w:r>
              <w:rPr>
                <w:rFonts w:ascii="Figtree" w:hAnsi="Figtree"/>
                <w:b w:val="0"/>
                <w:i w:val="0"/>
                <w:sz w:val="22"/>
              </w:rPr>
              <w:t>Highest security for treasury operations</w:t>
            </w:r>
          </w:p>
        </w:tc>
      </w:tr>
    </w:tbl>
    <w:p>
      <w:r>
        <w:rPr>
          <w:rFonts w:ascii="Figtree" w:hAnsi="Figtree"/>
          <w:b w:val="0"/>
          <w:i w:val="0"/>
          <w:sz w:val="22"/>
        </w:rPr>
        <w:t>If wallet verification fails, the request is rejected immediately. No gas is consumed, no custody provider interaction occurs, and no on-chain state changes. There is no administrative override that skips wallet verification — recovery requires backup codes or credential re-enrollment.</w:t>
      </w:r>
    </w:p>
    <w:p>
      <w:r>
        <w:rPr>
          <w:rFonts w:ascii="Figtree" w:hAnsi="Figtree"/>
          <w:b w:val="0"/>
          <w:i w:val="0"/>
          <w:sz w:val="22"/>
        </w:rPr>
        <w:t>This security boundary is particularly important for Emirates NBD's trade finance operations. A compromised session token alone cannot authorize a large-value liquidity release — the attacker would also need to prove wallet control, which requires possession of the physical device or biometric.</w:t>
      </w:r>
    </w:p>
    <w:p>
      <w:pPr>
        <w:pStyle w:val="H3"/>
        <w:numPr>
          <w:ilvl w:val="2"/>
          <w:numId w:val="1"/>
        </w:numPr>
      </w:pPr>
      <w:r>
        <w:t>On-Chain Access Control Deep Dive</w:t>
      </w:r>
    </w:p>
    <w:p>
      <w:r>
        <w:rPr>
          <w:rFonts w:ascii="Figtree" w:hAnsi="Figtree"/>
          <w:b w:val="0"/>
          <w:i w:val="0"/>
          <w:sz w:val="22"/>
        </w:rPr>
        <w:t>The AccessManager contract serves as the authoritative source for all role assignments within the DALP platform. This is not a conventional off-chain RBAC system — roles are stored on-chain, making them immutable, timestamped, and independently verifiable.</w:t>
      </w:r>
    </w:p>
    <w:p>
      <w:r>
        <w:rPr>
          <w:rFonts w:ascii="Figtree" w:hAnsi="Figtree"/>
          <w:b/>
          <w:i w:val="0"/>
          <w:sz w:val="22"/>
        </w:rPr>
        <w:t>Role taxonomy for Emirates NBD:</w:t>
      </w:r>
    </w:p>
    <w:p>
      <w:r>
        <w:rPr>
          <w:rFonts w:ascii="Figtree" w:hAnsi="Figtree"/>
          <w:b/>
          <w:i w:val="0"/>
          <w:sz w:val="22"/>
        </w:rPr>
        <w:t>Platform roles (3):</w:t>
      </w:r>
      <w:r>
        <w:rPr>
          <w:rFonts w:ascii="Figtree" w:hAnsi="Figtree"/>
          <w:b w:val="0"/>
          <w:i w:val="0"/>
          <w:sz w:val="22"/>
        </w:rPr>
        <w:t xml:space="preserve"> Owner, admin, and member roles control access to the DALP management console. Emirates NBD's platform administrators are assigned the admin role; operational staff are assigned the member role with specific system and per-asset role grants.</w:t>
      </w:r>
    </w:p>
    <w:p>
      <w:r>
        <w:rPr>
          <w:rFonts w:ascii="Figtree" w:hAnsi="Figtree"/>
          <w:b/>
          <w:i w:val="0"/>
          <w:sz w:val="22"/>
        </w:rPr>
        <w:t>System roles (9):</w:t>
      </w:r>
      <w:r>
        <w:rPr>
          <w:rFonts w:ascii="Figtree" w:hAnsi="Figtree"/>
          <w:b w:val="0"/>
          <w:i w:val="0"/>
          <w:sz w:val="22"/>
        </w:rPr>
        <w:t xml:space="preserve"> These roles govern platform-wide operations:</w:t>
      </w:r>
    </w:p>
    <w:p>
      <w:pPr>
        <w:pStyle w:val="ListParagraph"/>
        <w:numPr>
          <w:ilvl w:val="0"/>
          <w:numId w:val="4"/>
        </w:numPr>
      </w:pPr>
      <w:r>
        <w:rPr>
          <w:rFonts w:ascii="Figtree" w:hAnsi="Figtree"/>
          <w:b w:val="0"/>
          <w:i w:val="0"/>
          <w:sz w:val="22"/>
        </w:rPr>
        <w:t>systemManager: Platform configuration and system-level operations</w:t>
      </w:r>
    </w:p>
    <w:p>
      <w:pPr>
        <w:pStyle w:val="ListParagraph"/>
        <w:numPr>
          <w:ilvl w:val="0"/>
          <w:numId w:val="4"/>
        </w:numPr>
      </w:pPr>
      <w:r>
        <w:rPr>
          <w:rFonts w:ascii="Figtree" w:hAnsi="Figtree"/>
          <w:b w:val="0"/>
          <w:i w:val="0"/>
          <w:sz w:val="22"/>
        </w:rPr>
        <w:t>identityManager: OnchainID creation, claim management, and trusted issuer administration</w:t>
      </w:r>
    </w:p>
    <w:p>
      <w:pPr>
        <w:pStyle w:val="ListParagraph"/>
        <w:numPr>
          <w:ilvl w:val="0"/>
          <w:numId w:val="4"/>
        </w:numPr>
      </w:pPr>
      <w:r>
        <w:rPr>
          <w:rFonts w:ascii="Figtree" w:hAnsi="Figtree"/>
          <w:b w:val="0"/>
          <w:i w:val="0"/>
          <w:sz w:val="22"/>
        </w:rPr>
        <w:t>tokenManager: Asset lifecycle management (create, configure, deploy)</w:t>
      </w:r>
    </w:p>
    <w:p>
      <w:pPr>
        <w:pStyle w:val="ListParagraph"/>
        <w:numPr>
          <w:ilvl w:val="0"/>
          <w:numId w:val="4"/>
        </w:numPr>
      </w:pPr>
      <w:r>
        <w:rPr>
          <w:rFonts w:ascii="Figtree" w:hAnsi="Figtree"/>
          <w:b w:val="0"/>
          <w:i w:val="0"/>
          <w:sz w:val="22"/>
        </w:rPr>
        <w:t>complianceManager: Compliance module administration (add, remove, configure)</w:t>
      </w:r>
    </w:p>
    <w:p>
      <w:pPr>
        <w:pStyle w:val="ListParagraph"/>
        <w:numPr>
          <w:ilvl w:val="0"/>
          <w:numId w:val="4"/>
        </w:numPr>
      </w:pPr>
      <w:r>
        <w:rPr>
          <w:rFonts w:ascii="Figtree" w:hAnsi="Figtree"/>
          <w:b w:val="0"/>
          <w:i w:val="0"/>
          <w:sz w:val="22"/>
        </w:rPr>
        <w:t>claimPolicyManager: Claim verification policy management</w:t>
      </w:r>
    </w:p>
    <w:p>
      <w:pPr>
        <w:pStyle w:val="ListParagraph"/>
        <w:numPr>
          <w:ilvl w:val="0"/>
          <w:numId w:val="4"/>
        </w:numPr>
      </w:pPr>
      <w:r>
        <w:rPr>
          <w:rFonts w:ascii="Figtree" w:hAnsi="Figtree"/>
          <w:b w:val="0"/>
          <w:i w:val="0"/>
          <w:sz w:val="22"/>
        </w:rPr>
        <w:t>organisationIdentityManager: Organization-level identity administration</w:t>
      </w:r>
    </w:p>
    <w:p>
      <w:pPr>
        <w:pStyle w:val="ListParagraph"/>
        <w:numPr>
          <w:ilvl w:val="0"/>
          <w:numId w:val="4"/>
        </w:numPr>
      </w:pPr>
      <w:r>
        <w:rPr>
          <w:rFonts w:ascii="Figtree" w:hAnsi="Figtree"/>
          <w:b w:val="0"/>
          <w:i w:val="0"/>
          <w:sz w:val="22"/>
        </w:rPr>
        <w:t>claimIssuer: Authority to issue verifiable claims (assigned to Emirates NBD as trusted issuer)</w:t>
      </w:r>
    </w:p>
    <w:p>
      <w:pPr>
        <w:pStyle w:val="ListParagraph"/>
        <w:numPr>
          <w:ilvl w:val="0"/>
          <w:numId w:val="4"/>
        </w:numPr>
      </w:pPr>
      <w:r>
        <w:rPr>
          <w:rFonts w:ascii="Figtree" w:hAnsi="Figtree"/>
          <w:b w:val="0"/>
          <w:i w:val="0"/>
          <w:sz w:val="22"/>
        </w:rPr>
        <w:t>auditor: Read-only access to all platform data for audit and compliance review</w:t>
      </w:r>
    </w:p>
    <w:p>
      <w:pPr>
        <w:pStyle w:val="ListParagraph"/>
        <w:numPr>
          <w:ilvl w:val="0"/>
          <w:numId w:val="4"/>
        </w:numPr>
      </w:pPr>
      <w:r>
        <w:rPr>
          <w:rFonts w:ascii="Figtree" w:hAnsi="Figtree"/>
          <w:b w:val="0"/>
          <w:i w:val="0"/>
          <w:sz w:val="22"/>
        </w:rPr>
        <w:t>feedsManager: Price feed and market data management</w:t>
      </w:r>
    </w:p>
    <w:p>
      <w:r>
        <w:rPr>
          <w:rFonts w:ascii="Figtree" w:hAnsi="Figtree"/>
          <w:b/>
          <w:i w:val="0"/>
          <w:sz w:val="22"/>
        </w:rPr>
        <w:t>Per-asset roles (7):</w:t>
      </w:r>
      <w:r>
        <w:rPr>
          <w:rFonts w:ascii="Figtree" w:hAnsi="Figtree"/>
          <w:b w:val="0"/>
          <w:i w:val="0"/>
          <w:sz w:val="22"/>
        </w:rPr>
        <w:t xml:space="preserve"> These roles are scoped to individual token contracts, enabling fine-grained control:</w:t>
      </w:r>
    </w:p>
    <w:p>
      <w:pPr>
        <w:pStyle w:val="ListParagraph"/>
        <w:numPr>
          <w:ilvl w:val="0"/>
          <w:numId w:val="4"/>
        </w:numPr>
      </w:pPr>
      <w:r>
        <w:rPr>
          <w:rFonts w:ascii="Figtree" w:hAnsi="Figtree"/>
          <w:b w:val="0"/>
          <w:i w:val="0"/>
          <w:sz w:val="22"/>
        </w:rPr>
        <w:t>admin (DEFAULT</w:t>
      </w:r>
      <w:r>
        <w:rPr>
          <w:rFonts w:ascii="Figtree" w:hAnsi="Figtree"/>
          <w:b w:val="0"/>
          <w:i/>
          <w:sz w:val="22"/>
        </w:rPr>
        <w:t>ADMIN</w:t>
      </w:r>
      <w:r>
        <w:rPr>
          <w:rFonts w:ascii="Figtree" w:hAnsi="Figtree"/>
          <w:b w:val="0"/>
          <w:i w:val="0"/>
          <w:sz w:val="22"/>
        </w:rPr>
        <w:t>ROLE): Full administrative control over a specific asset</w:t>
      </w:r>
    </w:p>
    <w:p>
      <w:pPr>
        <w:pStyle w:val="ListParagraph"/>
        <w:numPr>
          <w:ilvl w:val="0"/>
          <w:numId w:val="4"/>
        </w:numPr>
      </w:pPr>
      <w:r>
        <w:rPr>
          <w:rFonts w:ascii="Figtree" w:hAnsi="Figtree"/>
          <w:b w:val="0"/>
          <w:i w:val="0"/>
          <w:sz w:val="22"/>
        </w:rPr>
        <w:t>governance: Compliance module configuration and governance decisions</w:t>
      </w:r>
    </w:p>
    <w:p>
      <w:pPr>
        <w:pStyle w:val="ListParagraph"/>
        <w:numPr>
          <w:ilvl w:val="0"/>
          <w:numId w:val="4"/>
        </w:numPr>
      </w:pPr>
      <w:r>
        <w:rPr>
          <w:rFonts w:ascii="Figtree" w:hAnsi="Figtree"/>
          <w:b w:val="0"/>
          <w:i w:val="0"/>
          <w:sz w:val="22"/>
        </w:rPr>
        <w:t>supplyManagement: Minting and burning authority</w:t>
      </w:r>
    </w:p>
    <w:p>
      <w:pPr>
        <w:pStyle w:val="ListParagraph"/>
        <w:numPr>
          <w:ilvl w:val="0"/>
          <w:numId w:val="4"/>
        </w:numPr>
      </w:pPr>
      <w:r>
        <w:rPr>
          <w:rFonts w:ascii="Figtree" w:hAnsi="Figtree"/>
          <w:b w:val="0"/>
          <w:i w:val="0"/>
          <w:sz w:val="22"/>
        </w:rPr>
        <w:t>custodian: Forced transfers, freezing, recovery operations</w:t>
      </w:r>
    </w:p>
    <w:p>
      <w:pPr>
        <w:pStyle w:val="ListParagraph"/>
        <w:numPr>
          <w:ilvl w:val="0"/>
          <w:numId w:val="4"/>
        </w:numPr>
      </w:pPr>
      <w:r>
        <w:rPr>
          <w:rFonts w:ascii="Figtree" w:hAnsi="Figtree"/>
          <w:b w:val="0"/>
          <w:i w:val="0"/>
          <w:sz w:val="22"/>
        </w:rPr>
        <w:t>emergency: Pause/unpause capability for circuit-breaker scenarios</w:t>
      </w:r>
    </w:p>
    <w:p>
      <w:pPr>
        <w:pStyle w:val="ListParagraph"/>
        <w:numPr>
          <w:ilvl w:val="0"/>
          <w:numId w:val="4"/>
        </w:numPr>
      </w:pPr>
      <w:r>
        <w:rPr>
          <w:rFonts w:ascii="Figtree" w:hAnsi="Figtree"/>
          <w:b w:val="0"/>
          <w:i w:val="0"/>
          <w:sz w:val="22"/>
        </w:rPr>
        <w:t>saleAdmin: Token sale and distribution management</w:t>
      </w:r>
    </w:p>
    <w:p>
      <w:pPr>
        <w:pStyle w:val="ListParagraph"/>
        <w:numPr>
          <w:ilvl w:val="0"/>
          <w:numId w:val="4"/>
        </w:numPr>
      </w:pPr>
      <w:r>
        <w:rPr>
          <w:rFonts w:ascii="Figtree" w:hAnsi="Figtree"/>
          <w:b w:val="0"/>
          <w:i w:val="0"/>
          <w:sz w:val="22"/>
        </w:rPr>
        <w:t>fundsManager: Treasury and vault management</w:t>
      </w:r>
    </w:p>
    <w:p>
      <w:r>
        <w:rPr>
          <w:rFonts w:ascii="Figtree" w:hAnsi="Figtree"/>
          <w:b/>
          <w:i w:val="0"/>
          <w:sz w:val="22"/>
        </w:rPr>
        <w:t>Role assignment workflow:</w:t>
      </w:r>
    </w:p>
    <w:p>
      <w:pPr>
        <w:pStyle w:val="ListParagraph"/>
        <w:numPr>
          <w:ilvl w:val="0"/>
          <w:numId w:val="19"/>
        </w:numPr>
      </w:pPr>
      <w:r>
        <w:rPr>
          <w:rFonts w:ascii="Figtree" w:hAnsi="Figtree"/>
          <w:b w:val="0"/>
          <w:i w:val="0"/>
          <w:sz w:val="22"/>
        </w:rPr>
        <w:t>Emirates NBD designates users for specific roles during Phase 1 requirements</w:t>
      </w:r>
    </w:p>
    <w:p>
      <w:pPr>
        <w:pStyle w:val="ListParagraph"/>
        <w:numPr>
          <w:ilvl w:val="0"/>
          <w:numId w:val="19"/>
        </w:numPr>
      </w:pPr>
      <w:r>
        <w:rPr>
          <w:rFonts w:ascii="Figtree" w:hAnsi="Figtree"/>
          <w:b w:val="0"/>
          <w:i w:val="0"/>
          <w:sz w:val="22"/>
        </w:rPr>
        <w:t>Roles are configured in DALP during Phase 2 foundation setup</w:t>
      </w:r>
    </w:p>
    <w:p>
      <w:pPr>
        <w:pStyle w:val="ListParagraph"/>
        <w:numPr>
          <w:ilvl w:val="0"/>
          <w:numId w:val="19"/>
        </w:numPr>
      </w:pPr>
      <w:r>
        <w:rPr>
          <w:rFonts w:ascii="Figtree" w:hAnsi="Figtree"/>
          <w:b w:val="0"/>
          <w:i w:val="0"/>
          <w:sz w:val="22"/>
        </w:rPr>
        <w:t>On-chain role grants produce immutable evidence of who has what authority</w:t>
      </w:r>
    </w:p>
    <w:p>
      <w:pPr>
        <w:pStyle w:val="ListParagraph"/>
        <w:numPr>
          <w:ilvl w:val="0"/>
          <w:numId w:val="19"/>
        </w:numPr>
      </w:pPr>
      <w:r>
        <w:rPr>
          <w:rFonts w:ascii="Figtree" w:hAnsi="Figtree"/>
          <w:b w:val="0"/>
          <w:i w:val="0"/>
          <w:sz w:val="22"/>
        </w:rPr>
        <w:t>Role changes require appropriate administrative authority and produce audit events</w:t>
      </w:r>
    </w:p>
    <w:p>
      <w:pPr>
        <w:pStyle w:val="ListParagraph"/>
        <w:numPr>
          <w:ilvl w:val="0"/>
          <w:numId w:val="19"/>
        </w:numPr>
      </w:pPr>
      <w:r>
        <w:rPr>
          <w:rFonts w:ascii="Figtree" w:hAnsi="Figtree"/>
          <w:b w:val="0"/>
          <w:i w:val="0"/>
          <w:sz w:val="22"/>
        </w:rPr>
        <w:t>Periodic role reviews (recommended quarterly) ensure alignment with Emirates NBD's access management policies</w:t>
      </w:r>
    </w:p>
    <w:p>
      <w:pPr>
        <w:pStyle w:val="H3"/>
        <w:numPr>
          <w:ilvl w:val="2"/>
          <w:numId w:val="1"/>
        </w:numPr>
      </w:pPr>
      <w:r>
        <w:t>Deposit Servicing Detailed Workflows</w:t>
      </w:r>
    </w:p>
    <w:p>
      <w:r>
        <w:rPr>
          <w:rFonts w:ascii="Figtree" w:hAnsi="Figtree"/>
          <w:b w:val="0"/>
          <w:i w:val="0"/>
          <w:sz w:val="22"/>
        </w:rPr>
        <w:t>DALP manages the complete lifecycle of tokenized deposits with specific workflows for each servicing event:</w:t>
      </w:r>
    </w:p>
    <w:p>
      <w:r>
        <w:rPr>
          <w:rFonts w:ascii="Figtree" w:hAnsi="Figtree"/>
          <w:b/>
          <w:i w:val="0"/>
          <w:sz w:val="22"/>
        </w:rPr>
        <w:t>Interest Accrual and Distribution:</w:t>
      </w:r>
    </w:p>
    <w:p>
      <w:r>
        <w:rPr>
          <w:rFonts w:ascii="Figtree" w:hAnsi="Figtree"/>
          <w:b w:val="0"/>
          <w:i w:val="0"/>
          <w:sz w:val="22"/>
        </w:rPr>
        <w:t>The fixed treasury yield feature automates interest accrual and distribution for Emirates NBD's tokenized deposits. The configuration includes:</w:t>
      </w:r>
    </w:p>
    <w:p>
      <w:pPr>
        <w:pStyle w:val="ListParagraph"/>
        <w:numPr>
          <w:ilvl w:val="0"/>
          <w:numId w:val="4"/>
        </w:numPr>
      </w:pPr>
      <w:r>
        <w:rPr>
          <w:rFonts w:ascii="Figtree" w:hAnsi="Figtree"/>
          <w:b w:val="0"/>
          <w:i w:val="0"/>
          <w:sz w:val="22"/>
        </w:rPr>
        <w:t>Interest rate (annual, configurable per deposit product)</w:t>
      </w:r>
    </w:p>
    <w:p>
      <w:pPr>
        <w:pStyle w:val="ListParagraph"/>
        <w:numPr>
          <w:ilvl w:val="0"/>
          <w:numId w:val="4"/>
        </w:numPr>
      </w:pPr>
      <w:r>
        <w:rPr>
          <w:rFonts w:ascii="Figtree" w:hAnsi="Figtree"/>
          <w:b w:val="0"/>
          <w:i w:val="0"/>
          <w:sz w:val="22"/>
        </w:rPr>
        <w:t>Accrual frequency (daily, weekly, monthly)</w:t>
      </w:r>
    </w:p>
    <w:p>
      <w:pPr>
        <w:pStyle w:val="ListParagraph"/>
        <w:numPr>
          <w:ilvl w:val="0"/>
          <w:numId w:val="4"/>
        </w:numPr>
      </w:pPr>
      <w:r>
        <w:rPr>
          <w:rFonts w:ascii="Figtree" w:hAnsi="Figtree"/>
          <w:b w:val="0"/>
          <w:i w:val="0"/>
          <w:sz w:val="22"/>
        </w:rPr>
        <w:t>Distribution frequency (monthly, quarterly, at maturity)</w:t>
      </w:r>
    </w:p>
    <w:p>
      <w:pPr>
        <w:pStyle w:val="ListParagraph"/>
        <w:numPr>
          <w:ilvl w:val="0"/>
          <w:numId w:val="4"/>
        </w:numPr>
      </w:pPr>
      <w:r>
        <w:rPr>
          <w:rFonts w:ascii="Figtree" w:hAnsi="Figtree"/>
          <w:b w:val="0"/>
          <w:i w:val="0"/>
          <w:sz w:val="22"/>
        </w:rPr>
        <w:t>Distribution method (credited to holder balance, transferred as separate denomination tokens)</w:t>
      </w:r>
    </w:p>
    <w:p>
      <w:pPr>
        <w:pStyle w:val="ListParagraph"/>
        <w:numPr>
          <w:ilvl w:val="0"/>
          <w:numId w:val="4"/>
        </w:numPr>
      </w:pPr>
      <w:r>
        <w:rPr>
          <w:rFonts w:ascii="Figtree" w:hAnsi="Figtree"/>
          <w:b w:val="0"/>
          <w:i w:val="0"/>
          <w:sz w:val="22"/>
        </w:rPr>
        <w:t>Basis convention (actual/365, 30/360, actual/actual — configurable per product)</w:t>
      </w:r>
    </w:p>
    <w:p>
      <w:r>
        <w:rPr>
          <w:rFonts w:ascii="Figtree" w:hAnsi="Figtree"/>
          <w:b w:val="0"/>
          <w:i w:val="0"/>
          <w:sz w:val="22"/>
        </w:rPr>
        <w:t>The yield calculation is deterministic and verifiable. Each distribution event produces an on-chain record showing the calculation basis, distribution amount per holder, and resulting balance changes. Emirates NBD's treasury team can independently verify yield calculations against their own models.</w:t>
      </w:r>
    </w:p>
    <w:p>
      <w:r>
        <w:rPr>
          <w:rFonts w:ascii="Figtree" w:hAnsi="Figtree"/>
          <w:b/>
          <w:i w:val="0"/>
          <w:sz w:val="22"/>
        </w:rPr>
        <w:t>Maturity Processing:</w:t>
      </w:r>
    </w:p>
    <w:p>
      <w:r>
        <w:rPr>
          <w:rFonts w:ascii="Figtree" w:hAnsi="Figtree"/>
          <w:b w:val="0"/>
          <w:i w:val="0"/>
          <w:sz w:val="22"/>
        </w:rPr>
        <w:t>When a deposit reaches its configured maturity date, the maturity and redemption feature triggers automatic processing:</w:t>
      </w:r>
    </w:p>
    <w:p>
      <w:pPr>
        <w:pStyle w:val="ListParagraph"/>
        <w:numPr>
          <w:ilvl w:val="0"/>
          <w:numId w:val="20"/>
        </w:numPr>
      </w:pPr>
      <w:r>
        <w:rPr>
          <w:rFonts w:ascii="Figtree" w:hAnsi="Figtree"/>
          <w:b w:val="0"/>
          <w:i w:val="0"/>
          <w:sz w:val="22"/>
        </w:rPr>
        <w:t>Platform identifies tokens approaching maturity through the scheduled event system</w:t>
      </w:r>
    </w:p>
    <w:p>
      <w:pPr>
        <w:pStyle w:val="ListParagraph"/>
        <w:numPr>
          <w:ilvl w:val="0"/>
          <w:numId w:val="20"/>
        </w:numPr>
      </w:pPr>
      <w:r>
        <w:rPr>
          <w:rFonts w:ascii="Figtree" w:hAnsi="Figtree"/>
          <w:b w:val="0"/>
          <w:i w:val="0"/>
          <w:sz w:val="22"/>
        </w:rPr>
        <w:t>Pre-maturity notification sent to holders (configurable notice period)</w:t>
      </w:r>
    </w:p>
    <w:p>
      <w:pPr>
        <w:pStyle w:val="ListParagraph"/>
        <w:numPr>
          <w:ilvl w:val="0"/>
          <w:numId w:val="20"/>
        </w:numPr>
      </w:pPr>
      <w:r>
        <w:rPr>
          <w:rFonts w:ascii="Figtree" w:hAnsi="Figtree"/>
          <w:b w:val="0"/>
          <w:i w:val="0"/>
          <w:sz w:val="22"/>
        </w:rPr>
        <w:t>At maturity date, redemption operation triggered automatically</w:t>
      </w:r>
    </w:p>
    <w:p>
      <w:pPr>
        <w:pStyle w:val="ListParagraph"/>
        <w:numPr>
          <w:ilvl w:val="0"/>
          <w:numId w:val="20"/>
        </w:numPr>
      </w:pPr>
      <w:r>
        <w:rPr>
          <w:rFonts w:ascii="Figtree" w:hAnsi="Figtree"/>
          <w:b w:val="0"/>
          <w:i w:val="0"/>
          <w:sz w:val="22"/>
        </w:rPr>
        <w:t>Deposit tokens burned and denomination tokens transferred to holders (atomic DvP)</w:t>
      </w:r>
    </w:p>
    <w:p>
      <w:pPr>
        <w:pStyle w:val="ListParagraph"/>
        <w:numPr>
          <w:ilvl w:val="0"/>
          <w:numId w:val="20"/>
        </w:numPr>
      </w:pPr>
      <w:r>
        <w:rPr>
          <w:rFonts w:ascii="Figtree" w:hAnsi="Figtree"/>
          <w:b w:val="0"/>
          <w:i w:val="0"/>
          <w:sz w:val="22"/>
        </w:rPr>
        <w:t>Settlement confirmation recorded on-chain with full audit trail</w:t>
      </w:r>
    </w:p>
    <w:p>
      <w:pPr>
        <w:pStyle w:val="ListParagraph"/>
        <w:numPr>
          <w:ilvl w:val="0"/>
          <w:numId w:val="20"/>
        </w:numPr>
      </w:pPr>
      <w:r>
        <w:rPr>
          <w:rFonts w:ascii="Figtree" w:hAnsi="Figtree"/>
          <w:b w:val="0"/>
          <w:i w:val="0"/>
          <w:sz w:val="22"/>
        </w:rPr>
        <w:t>Post-maturity reconciliation events sent to core banking via webhook</w:t>
      </w:r>
    </w:p>
    <w:p>
      <w:r>
        <w:rPr>
          <w:rFonts w:ascii="Figtree" w:hAnsi="Figtree"/>
          <w:b w:val="0"/>
          <w:i w:val="0"/>
          <w:sz w:val="22"/>
        </w:rPr>
        <w:t>For deposits with automatic rollover options, the platform supports a re-issuance workflow that creates a new deposit token and transfers the proceeds, maintaining continuous investment without manual intervention.</w:t>
      </w:r>
    </w:p>
    <w:p>
      <w:r>
        <w:rPr>
          <w:rFonts w:ascii="Figtree" w:hAnsi="Figtree"/>
          <w:b/>
          <w:i w:val="0"/>
          <w:sz w:val="22"/>
        </w:rPr>
        <w:t>Early Withdrawal:</w:t>
      </w:r>
    </w:p>
    <w:p>
      <w:r>
        <w:rPr>
          <w:rFonts w:ascii="Figtree" w:hAnsi="Figtree"/>
          <w:b w:val="0"/>
          <w:i w:val="0"/>
          <w:sz w:val="22"/>
        </w:rPr>
        <w:t>Early withdrawal from a tokenized deposit follows a controlled workflow:</w:t>
      </w:r>
    </w:p>
    <w:p>
      <w:pPr>
        <w:pStyle w:val="ListParagraph"/>
        <w:numPr>
          <w:ilvl w:val="0"/>
          <w:numId w:val="21"/>
        </w:numPr>
      </w:pPr>
      <w:r>
        <w:rPr>
          <w:rFonts w:ascii="Figtree" w:hAnsi="Figtree"/>
          <w:b w:val="0"/>
          <w:i w:val="0"/>
          <w:sz w:val="22"/>
        </w:rPr>
        <w:t>Holder submits withdrawal request through the platform (API or UI)</w:t>
      </w:r>
    </w:p>
    <w:p>
      <w:pPr>
        <w:pStyle w:val="ListParagraph"/>
        <w:numPr>
          <w:ilvl w:val="0"/>
          <w:numId w:val="21"/>
        </w:numPr>
      </w:pPr>
      <w:r>
        <w:rPr>
          <w:rFonts w:ascii="Figtree" w:hAnsi="Figtree"/>
          <w:b w:val="0"/>
          <w:i w:val="0"/>
          <w:sz w:val="22"/>
        </w:rPr>
        <w:t>Transfer approval module places the request in pending state</w:t>
      </w:r>
    </w:p>
    <w:p>
      <w:pPr>
        <w:pStyle w:val="ListParagraph"/>
        <w:numPr>
          <w:ilvl w:val="0"/>
          <w:numId w:val="21"/>
        </w:numPr>
      </w:pPr>
      <w:r>
        <w:rPr>
          <w:rFonts w:ascii="Figtree" w:hAnsi="Figtree"/>
          <w:b w:val="0"/>
          <w:i w:val="0"/>
          <w:sz w:val="22"/>
        </w:rPr>
        <w:t>Authorized approver reviews the withdrawal (maker-checker)</w:t>
      </w:r>
    </w:p>
    <w:p>
      <w:pPr>
        <w:pStyle w:val="ListParagraph"/>
        <w:numPr>
          <w:ilvl w:val="0"/>
          <w:numId w:val="21"/>
        </w:numPr>
      </w:pPr>
      <w:r>
        <w:rPr>
          <w:rFonts w:ascii="Figtree" w:hAnsi="Figtree"/>
          <w:b w:val="0"/>
          <w:i w:val="0"/>
          <w:sz w:val="22"/>
        </w:rPr>
        <w:t>If approved, compliance checks execute (identity, jurisdiction, limits)</w:t>
      </w:r>
    </w:p>
    <w:p>
      <w:pPr>
        <w:pStyle w:val="ListParagraph"/>
        <w:numPr>
          <w:ilvl w:val="0"/>
          <w:numId w:val="21"/>
        </w:numPr>
      </w:pPr>
      <w:r>
        <w:rPr>
          <w:rFonts w:ascii="Figtree" w:hAnsi="Figtree"/>
          <w:b w:val="0"/>
          <w:i w:val="0"/>
          <w:sz w:val="22"/>
        </w:rPr>
        <w:t>Deposit tokens burned for the withdrawal amount</w:t>
      </w:r>
    </w:p>
    <w:p>
      <w:pPr>
        <w:pStyle w:val="ListParagraph"/>
        <w:numPr>
          <w:ilvl w:val="0"/>
          <w:numId w:val="21"/>
        </w:numPr>
      </w:pPr>
      <w:r>
        <w:rPr>
          <w:rFonts w:ascii="Figtree" w:hAnsi="Figtree"/>
          <w:b w:val="0"/>
          <w:i w:val="0"/>
          <w:sz w:val="22"/>
        </w:rPr>
        <w:t>Denomination tokens transferred to the holder (minus any early withdrawal penalty, calculated by the transaction fee feature)</w:t>
      </w:r>
    </w:p>
    <w:p>
      <w:pPr>
        <w:pStyle w:val="ListParagraph"/>
        <w:numPr>
          <w:ilvl w:val="0"/>
          <w:numId w:val="21"/>
        </w:numPr>
      </w:pPr>
      <w:r>
        <w:rPr>
          <w:rFonts w:ascii="Figtree" w:hAnsi="Figtree"/>
          <w:b w:val="0"/>
          <w:i w:val="0"/>
          <w:sz w:val="22"/>
        </w:rPr>
        <w:t>Withdrawal event recorded with full context (holder, amount, penalty, approver, timestamp)</w:t>
      </w:r>
    </w:p>
    <w:p>
      <w:pPr>
        <w:pStyle w:val="ListParagraph"/>
        <w:numPr>
          <w:ilvl w:val="0"/>
          <w:numId w:val="21"/>
        </w:numPr>
      </w:pPr>
      <w:r>
        <w:rPr>
          <w:rFonts w:ascii="Figtree" w:hAnsi="Figtree"/>
          <w:b w:val="0"/>
          <w:i w:val="0"/>
          <w:sz w:val="22"/>
        </w:rPr>
        <w:t>Core banking notification sent via webhook</w:t>
      </w:r>
    </w:p>
    <w:p>
      <w:r>
        <w:rPr>
          <w:rFonts w:ascii="Figtree" w:hAnsi="Figtree"/>
          <w:b/>
          <w:i w:val="0"/>
          <w:sz w:val="22"/>
        </w:rPr>
        <w:t>Corporate Actions:</w:t>
      </w:r>
    </w:p>
    <w:p>
      <w:r>
        <w:rPr>
          <w:rFonts w:ascii="Figtree" w:hAnsi="Figtree"/>
          <w:b w:val="0"/>
          <w:i w:val="0"/>
          <w:sz w:val="22"/>
        </w:rPr>
        <w:t>DALP supports corporate actions on tokenized deposits through the SMART Protocol's governance mechanisms:</w:t>
      </w:r>
    </w:p>
    <w:p>
      <w:pPr>
        <w:pStyle w:val="ListParagraph"/>
        <w:numPr>
          <w:ilvl w:val="0"/>
          <w:numId w:val="4"/>
        </w:numPr>
      </w:pPr>
      <w:r>
        <w:rPr>
          <w:rFonts w:ascii="Figtree" w:hAnsi="Figtree"/>
          <w:b w:val="0"/>
          <w:i w:val="0"/>
          <w:sz w:val="22"/>
        </w:rPr>
        <w:t>Rate changes: Interest rate modifications applied to future accrual periods (not retroactive)</w:t>
      </w:r>
    </w:p>
    <w:p>
      <w:pPr>
        <w:pStyle w:val="ListParagraph"/>
        <w:numPr>
          <w:ilvl w:val="0"/>
          <w:numId w:val="4"/>
        </w:numPr>
      </w:pPr>
      <w:r>
        <w:rPr>
          <w:rFonts w:ascii="Figtree" w:hAnsi="Figtree"/>
          <w:b w:val="0"/>
          <w:i w:val="0"/>
          <w:sz w:val="22"/>
        </w:rPr>
        <w:t>Product amendments: Feature and compliance module reconfiguration at runtime</w:t>
      </w:r>
    </w:p>
    <w:p>
      <w:pPr>
        <w:pStyle w:val="ListParagraph"/>
        <w:numPr>
          <w:ilvl w:val="0"/>
          <w:numId w:val="4"/>
        </w:numPr>
      </w:pPr>
      <w:r>
        <w:rPr>
          <w:rFonts w:ascii="Figtree" w:hAnsi="Figtree"/>
          <w:b w:val="0"/>
          <w:i w:val="0"/>
          <w:sz w:val="22"/>
        </w:rPr>
        <w:t>Regulatory changes: Compliance module updates to reflect new regulatory requirements</w:t>
      </w:r>
    </w:p>
    <w:p>
      <w:pPr>
        <w:pStyle w:val="ListParagraph"/>
        <w:numPr>
          <w:ilvl w:val="0"/>
          <w:numId w:val="4"/>
        </w:numPr>
      </w:pPr>
      <w:r>
        <w:rPr>
          <w:rFonts w:ascii="Figtree" w:hAnsi="Figtree"/>
          <w:b w:val="0"/>
          <w:i w:val="0"/>
          <w:sz w:val="22"/>
        </w:rPr>
        <w:t>Communication: Event notifications to all holders triggered by corporate action events</w:t>
      </w:r>
    </w:p>
    <w:p>
      <w:r>
        <w:rPr>
          <w:rFonts w:ascii="Figtree" w:hAnsi="Figtree"/>
          <w:b w:val="0"/>
          <w:i w:val="0"/>
          <w:sz w:val="22"/>
        </w:rPr>
        <w:t>Each corporate action produces governance evidence: who authorized it, when, what changed, and the effective date. This governance trail is critical for Emirates NBD's regulatory reporting and internal audit requirements.</w:t>
      </w:r>
    </w:p>
    <w:p>
      <w:pPr>
        <w:pStyle w:val="H3"/>
        <w:numPr>
          <w:ilvl w:val="2"/>
          <w:numId w:val="1"/>
        </w:numPr>
      </w:pPr>
      <w:r>
        <w:t>Trade Finance Workflow Orchestration Deep Dive</w:t>
      </w:r>
    </w:p>
    <w:p>
      <w:r>
        <w:rPr>
          <w:rFonts w:ascii="Figtree" w:hAnsi="Figtree"/>
          <w:b w:val="0"/>
          <w:i w:val="0"/>
          <w:sz w:val="22"/>
        </w:rPr>
        <w:t>The durable workflow engine handles the complete lifecycle of trade finance operations with deterministic completion guarantees:</w:t>
      </w:r>
    </w:p>
    <w:p>
      <w:r>
        <w:rPr>
          <w:rFonts w:ascii="Figtree" w:hAnsi="Figtree"/>
          <w:b/>
          <w:i w:val="0"/>
          <w:sz w:val="22"/>
        </w:rPr>
        <w:t>Letter of Credit Workflow:</w:t>
      </w:r>
    </w:p>
    <w:p>
      <w:pPr>
        <w:jc w:val="center"/>
      </w:pPr>
      <w:r>
        <w:drawing>
          <wp:inline xmlns:a="http://schemas.openxmlformats.org/drawingml/2006/main" xmlns:pic="http://schemas.openxmlformats.org/drawingml/2006/picture">
            <wp:extent cx="3333160" cy="822960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3333160" cy="8229600"/>
                    </a:xfrm>
                    <a:prstGeom prst="rect"/>
                  </pic:spPr>
                </pic:pic>
              </a:graphicData>
            </a:graphic>
          </wp:inline>
        </w:drawing>
      </w:r>
    </w:p>
    <w:p>
      <w:r>
        <w:rPr>
          <w:rFonts w:ascii="Figtree" w:hAnsi="Figtree"/>
          <w:b w:val="0"/>
          <w:i w:val="0"/>
          <w:sz w:val="22"/>
        </w:rPr>
        <w:t>Each state transition in the workflow:</w:t>
      </w:r>
    </w:p>
    <w:p>
      <w:pPr>
        <w:pStyle w:val="ListParagraph"/>
        <w:numPr>
          <w:ilvl w:val="0"/>
          <w:numId w:val="4"/>
        </w:numPr>
      </w:pPr>
      <w:r>
        <w:rPr>
          <w:rFonts w:ascii="Figtree" w:hAnsi="Figtree"/>
          <w:b w:val="0"/>
          <w:i w:val="0"/>
          <w:sz w:val="22"/>
        </w:rPr>
        <w:t>Persists to PostgreSQL before proceeding (crash-safe)</w:t>
      </w:r>
    </w:p>
    <w:p>
      <w:pPr>
        <w:pStyle w:val="ListParagraph"/>
        <w:numPr>
          <w:ilvl w:val="0"/>
          <w:numId w:val="4"/>
        </w:numPr>
      </w:pPr>
      <w:r>
        <w:rPr>
          <w:rFonts w:ascii="Figtree" w:hAnsi="Figtree"/>
          <w:b w:val="0"/>
          <w:i w:val="0"/>
          <w:sz w:val="22"/>
        </w:rPr>
        <w:t>Produces an immutable audit event with initiator, timestamp, and context</w:t>
      </w:r>
    </w:p>
    <w:p>
      <w:pPr>
        <w:pStyle w:val="ListParagraph"/>
        <w:numPr>
          <w:ilvl w:val="0"/>
          <w:numId w:val="4"/>
        </w:numPr>
      </w:pPr>
      <w:r>
        <w:rPr>
          <w:rFonts w:ascii="Figtree" w:hAnsi="Figtree"/>
          <w:b w:val="0"/>
          <w:i w:val="0"/>
          <w:sz w:val="22"/>
        </w:rPr>
        <w:t>Triggers configurable webhook notifications to downstream systems</w:t>
      </w:r>
    </w:p>
    <w:p>
      <w:pPr>
        <w:pStyle w:val="ListParagraph"/>
        <w:numPr>
          <w:ilvl w:val="0"/>
          <w:numId w:val="4"/>
        </w:numPr>
      </w:pPr>
      <w:r>
        <w:rPr>
          <w:rFonts w:ascii="Figtree" w:hAnsi="Figtree"/>
          <w:b w:val="0"/>
          <w:i w:val="0"/>
          <w:sz w:val="22"/>
        </w:rPr>
        <w:t>Enforces authorization checks (only permitted roles can trigger transitions)</w:t>
      </w:r>
    </w:p>
    <w:p>
      <w:pPr>
        <w:pStyle w:val="ListParagraph"/>
        <w:numPr>
          <w:ilvl w:val="0"/>
          <w:numId w:val="4"/>
        </w:numPr>
      </w:pPr>
      <w:r>
        <w:rPr>
          <w:rFonts w:ascii="Figtree" w:hAnsi="Figtree"/>
          <w:b w:val="0"/>
          <w:i w:val="0"/>
          <w:sz w:val="22"/>
        </w:rPr>
        <w:t>Supports timeout escalation (configurable per transition, e.g., 24-hour review window)</w:t>
      </w:r>
    </w:p>
    <w:p>
      <w:r>
        <w:rPr>
          <w:rFonts w:ascii="Figtree" w:hAnsi="Figtree"/>
          <w:b/>
          <w:i w:val="0"/>
          <w:sz w:val="22"/>
        </w:rPr>
        <w:t>Document Management Integration:</w:t>
      </w:r>
    </w:p>
    <w:p>
      <w:r>
        <w:rPr>
          <w:rFonts w:ascii="Figtree" w:hAnsi="Figtree"/>
          <w:b w:val="0"/>
          <w:i w:val="0"/>
          <w:sz w:val="22"/>
        </w:rPr>
        <w:t>DALP does not replace Emirates NBD's existing document management system. Instead, it integrates with it through defined touchpoints:</w:t>
      </w:r>
    </w:p>
    <w:p>
      <w:pPr>
        <w:pStyle w:val="ListParagraph"/>
        <w:numPr>
          <w:ilvl w:val="0"/>
          <w:numId w:val="22"/>
        </w:numPr>
      </w:pPr>
      <w:r>
        <w:rPr>
          <w:rFonts w:ascii="Figtree" w:hAnsi="Figtree"/>
          <w:b w:val="0"/>
          <w:i w:val="0"/>
          <w:sz w:val="22"/>
        </w:rPr>
        <w:t>Document references (hashes, identifiers) are stored on-chain as part of the trade finance token metadata</w:t>
      </w:r>
    </w:p>
    <w:p>
      <w:pPr>
        <w:pStyle w:val="ListParagraph"/>
        <w:numPr>
          <w:ilvl w:val="0"/>
          <w:numId w:val="22"/>
        </w:numPr>
      </w:pPr>
      <w:r>
        <w:rPr>
          <w:rFonts w:ascii="Figtree" w:hAnsi="Figtree"/>
          <w:b w:val="0"/>
          <w:i w:val="0"/>
          <w:sz w:val="22"/>
        </w:rPr>
        <w:t>Document content remains in Emirates NBD's document management system (or DALP's object storage for new documents)</w:t>
      </w:r>
    </w:p>
    <w:p>
      <w:pPr>
        <w:pStyle w:val="ListParagraph"/>
        <w:numPr>
          <w:ilvl w:val="0"/>
          <w:numId w:val="22"/>
        </w:numPr>
      </w:pPr>
      <w:r>
        <w:rPr>
          <w:rFonts w:ascii="Figtree" w:hAnsi="Figtree"/>
          <w:b w:val="0"/>
          <w:i w:val="0"/>
          <w:sz w:val="22"/>
        </w:rPr>
        <w:t>Document verification status is recorded as a workflow milestone with approver identity</w:t>
      </w:r>
    </w:p>
    <w:p>
      <w:pPr>
        <w:pStyle w:val="ListParagraph"/>
        <w:numPr>
          <w:ilvl w:val="0"/>
          <w:numId w:val="22"/>
        </w:numPr>
      </w:pPr>
      <w:r>
        <w:rPr>
          <w:rFonts w:ascii="Figtree" w:hAnsi="Figtree"/>
          <w:b w:val="0"/>
          <w:i w:val="0"/>
          <w:sz w:val="22"/>
        </w:rPr>
        <w:t>Any change to document references produces an audit event with the previous and new reference values</w:t>
      </w:r>
    </w:p>
    <w:p>
      <w:r>
        <w:rPr>
          <w:rFonts w:ascii="Figtree" w:hAnsi="Figtree"/>
          <w:b w:val="0"/>
          <w:i w:val="0"/>
          <w:sz w:val="22"/>
        </w:rPr>
        <w:t>This integration approach ensures that Emirates NBD's existing document management processes, retention policies, and access controls are preserved. DALP adds a layer of on-chain evidence for document-linked trade operations without duplicating document storage infrastructure.</w:t>
      </w:r>
    </w:p>
    <w:p>
      <w:r>
        <w:rPr>
          <w:rFonts w:ascii="Figtree" w:hAnsi="Figtree"/>
          <w:b/>
          <w:i w:val="0"/>
          <w:sz w:val="22"/>
        </w:rPr>
        <w:t>Multi-Entity Limit Management:</w:t>
      </w:r>
    </w:p>
    <w:p>
      <w:r>
        <w:rPr>
          <w:rFonts w:ascii="Figtree" w:hAnsi="Figtree"/>
          <w:b w:val="0"/>
          <w:i w:val="0"/>
          <w:sz w:val="22"/>
        </w:rPr>
        <w:t>For trade finance operations involving multiple entities (Emirates NBD, counterparty banks, institutional investors), DALP's compliance module composition enables entity-specific limit enforcement:</w:t>
      </w:r>
    </w:p>
    <w:p>
      <w:pPr>
        <w:pStyle w:val="ListParagraph"/>
        <w:numPr>
          <w:ilvl w:val="0"/>
          <w:numId w:val="4"/>
        </w:numPr>
      </w:pPr>
      <w:r>
        <w:rPr>
          <w:rFonts w:ascii="Figtree" w:hAnsi="Figtree"/>
          <w:b w:val="0"/>
          <w:i w:val="0"/>
          <w:sz w:val="22"/>
        </w:rPr>
        <w:t>Per-entity exposure limits configurable through the compliance engine</w:t>
      </w:r>
    </w:p>
    <w:p>
      <w:pPr>
        <w:pStyle w:val="ListParagraph"/>
        <w:numPr>
          <w:ilvl w:val="0"/>
          <w:numId w:val="4"/>
        </w:numPr>
      </w:pPr>
      <w:r>
        <w:rPr>
          <w:rFonts w:ascii="Figtree" w:hAnsi="Figtree"/>
          <w:b w:val="0"/>
          <w:i w:val="0"/>
          <w:sz w:val="22"/>
        </w:rPr>
        <w:t>Cross-entity limit aggregation via API queries (total exposure across all trade finance instruments for a given counterparty)</w:t>
      </w:r>
    </w:p>
    <w:p>
      <w:pPr>
        <w:pStyle w:val="ListParagraph"/>
        <w:numPr>
          <w:ilvl w:val="0"/>
          <w:numId w:val="4"/>
        </w:numPr>
      </w:pPr>
      <w:r>
        <w:rPr>
          <w:rFonts w:ascii="Figtree" w:hAnsi="Figtree"/>
          <w:b w:val="0"/>
          <w:i w:val="0"/>
          <w:sz w:val="22"/>
        </w:rPr>
        <w:t>Limit breach prevention at the compliance check level (transfers that would cause a limit breach are blocked before execution)</w:t>
      </w:r>
    </w:p>
    <w:p>
      <w:pPr>
        <w:pStyle w:val="ListParagraph"/>
        <w:numPr>
          <w:ilvl w:val="0"/>
          <w:numId w:val="4"/>
        </w:numPr>
      </w:pPr>
      <w:r>
        <w:rPr>
          <w:rFonts w:ascii="Figtree" w:hAnsi="Figtree"/>
          <w:b w:val="0"/>
          <w:i w:val="0"/>
          <w:sz w:val="22"/>
        </w:rPr>
        <w:t>Limit utilization reporting through GraphQL queries for treasury and risk management</w:t>
      </w:r>
    </w:p>
    <w:p>
      <w:pPr>
        <w:pStyle w:val="H3"/>
        <w:numPr>
          <w:ilvl w:val="2"/>
          <w:numId w:val="1"/>
        </w:numPr>
      </w:pPr>
      <w:r>
        <w:t>Appendix: Detailed Deployment Architecture</w:t>
      </w:r>
    </w:p>
    <w:p>
      <w:pPr>
        <w:pStyle w:val="H4"/>
        <w:numPr>
          <w:ilvl w:val="3"/>
          <w:numId w:val="1"/>
        </w:numPr>
      </w:pPr>
      <w:r>
        <w:t>Infrastructure Topology for Emirates NBD</w:t>
      </w:r>
    </w:p>
    <w:p>
      <w:r>
        <w:rPr>
          <w:rFonts w:ascii="Figtree" w:hAnsi="Figtree"/>
          <w:b w:val="0"/>
          <w:i w:val="0"/>
          <w:sz w:val="22"/>
        </w:rPr>
        <w:t>The recommended deployment architecture for Emirates NBD uses a dedicated cloud environment with multi-availability-zone distribution for resilience:</w:t>
      </w:r>
    </w:p>
    <w:p>
      <w:pPr>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2743200"/>
                    </a:xfrm>
                    <a:prstGeom prst="rect"/>
                  </pic:spPr>
                </pic:pic>
              </a:graphicData>
            </a:graphic>
          </wp:inline>
        </w:drawing>
      </w:r>
    </w:p>
    <w:p>
      <w:r>
        <w:rPr>
          <w:rFonts w:ascii="Figtree" w:hAnsi="Figtree"/>
          <w:b/>
          <w:i w:val="0"/>
          <w:sz w:val="22"/>
        </w:rPr>
        <w:t>Kubernetes cluster configuration:</w:t>
      </w:r>
      <w:r>
        <w:rPr>
          <w:rFonts w:ascii="Figtree" w:hAnsi="Figtree"/>
          <w:b w:val="0"/>
          <w:i w:val="0"/>
          <w:sz w:val="22"/>
        </w:rPr>
        <w:t xml:space="preserve"> The DALP platform services are deployed across Kubernetes worker nodes distributed across two availability zones. This ensures that a single-AZ failure does not take the platform offline. The Kubernetes deployment uses:</w:t>
      </w:r>
    </w:p>
    <w:p>
      <w:pPr>
        <w:pStyle w:val="ListParagraph"/>
        <w:numPr>
          <w:ilvl w:val="0"/>
          <w:numId w:val="4"/>
        </w:numPr>
      </w:pPr>
      <w:r>
        <w:rPr>
          <w:rFonts w:ascii="Figtree" w:hAnsi="Figtree"/>
          <w:b w:val="0"/>
          <w:i w:val="0"/>
          <w:sz w:val="22"/>
        </w:rPr>
        <w:t>Rolling deployments for zero-downtime updates</w:t>
      </w:r>
    </w:p>
    <w:p>
      <w:pPr>
        <w:pStyle w:val="ListParagraph"/>
        <w:numPr>
          <w:ilvl w:val="0"/>
          <w:numId w:val="4"/>
        </w:numPr>
      </w:pPr>
      <w:r>
        <w:rPr>
          <w:rFonts w:ascii="Figtree" w:hAnsi="Figtree"/>
          <w:b w:val="0"/>
          <w:i w:val="0"/>
          <w:sz w:val="22"/>
        </w:rPr>
        <w:t>Health checks and readiness probes for automated failover</w:t>
      </w:r>
    </w:p>
    <w:p>
      <w:pPr>
        <w:pStyle w:val="ListParagraph"/>
        <w:numPr>
          <w:ilvl w:val="0"/>
          <w:numId w:val="4"/>
        </w:numPr>
      </w:pPr>
      <w:r>
        <w:rPr>
          <w:rFonts w:ascii="Figtree" w:hAnsi="Figtree"/>
          <w:b w:val="0"/>
          <w:i w:val="0"/>
          <w:sz w:val="22"/>
        </w:rPr>
        <w:t>Horizontal pod autoscaling for compute-intensive workloads</w:t>
      </w:r>
    </w:p>
    <w:p>
      <w:pPr>
        <w:pStyle w:val="ListParagraph"/>
        <w:numPr>
          <w:ilvl w:val="0"/>
          <w:numId w:val="4"/>
        </w:numPr>
      </w:pPr>
      <w:r>
        <w:rPr>
          <w:rFonts w:ascii="Figtree" w:hAnsi="Figtree"/>
          <w:b w:val="0"/>
          <w:i w:val="0"/>
          <w:sz w:val="22"/>
        </w:rPr>
        <w:t>Resource quotas and limit ranges for workload isolation</w:t>
      </w:r>
    </w:p>
    <w:p>
      <w:r>
        <w:rPr>
          <w:rFonts w:ascii="Figtree" w:hAnsi="Figtree"/>
          <w:b/>
          <w:i w:val="0"/>
          <w:sz w:val="22"/>
        </w:rPr>
        <w:t>Database architecture:</w:t>
      </w:r>
      <w:r>
        <w:rPr>
          <w:rFonts w:ascii="Figtree" w:hAnsi="Figtree"/>
          <w:b w:val="0"/>
          <w:i w:val="0"/>
          <w:sz w:val="22"/>
        </w:rPr>
        <w:t xml:space="preserve"> PostgreSQL runs in a primary-standby configuration with synchronous replication between availability zones. The synchronous replication ensures zero data loss in the event of a primary failure. Automated failover promotes the standby to primary within the configured RTO target.</w:t>
      </w:r>
    </w:p>
    <w:p>
      <w:pPr>
        <w:pStyle w:val="ListParagraph"/>
        <w:numPr>
          <w:ilvl w:val="0"/>
          <w:numId w:val="4"/>
        </w:numPr>
      </w:pPr>
      <w:r>
        <w:rPr>
          <w:rFonts w:ascii="Figtree" w:hAnsi="Figtree"/>
          <w:b w:val="0"/>
          <w:i w:val="0"/>
          <w:sz w:val="22"/>
        </w:rPr>
        <w:t>Point-in-time recovery enabled with continuous WAL archiving</w:t>
      </w:r>
    </w:p>
    <w:p>
      <w:pPr>
        <w:pStyle w:val="ListParagraph"/>
        <w:numPr>
          <w:ilvl w:val="0"/>
          <w:numId w:val="4"/>
        </w:numPr>
      </w:pPr>
      <w:r>
        <w:rPr>
          <w:rFonts w:ascii="Figtree" w:hAnsi="Figtree"/>
          <w:b w:val="0"/>
          <w:i w:val="0"/>
          <w:sz w:val="22"/>
        </w:rPr>
        <w:t>Automated backups every hour with 30-day retention</w:t>
      </w:r>
    </w:p>
    <w:p>
      <w:pPr>
        <w:pStyle w:val="ListParagraph"/>
        <w:numPr>
          <w:ilvl w:val="0"/>
          <w:numId w:val="4"/>
        </w:numPr>
      </w:pPr>
      <w:r>
        <w:rPr>
          <w:rFonts w:ascii="Figtree" w:hAnsi="Figtree"/>
          <w:b w:val="0"/>
          <w:i w:val="0"/>
          <w:sz w:val="22"/>
        </w:rPr>
        <w:t>Connection pooling via PgBouncer for efficient connection management</w:t>
      </w:r>
    </w:p>
    <w:p>
      <w:pPr>
        <w:pStyle w:val="ListParagraph"/>
        <w:numPr>
          <w:ilvl w:val="0"/>
          <w:numId w:val="4"/>
        </w:numPr>
      </w:pPr>
      <w:r>
        <w:rPr>
          <w:rFonts w:ascii="Figtree" w:hAnsi="Figtree"/>
          <w:b w:val="0"/>
          <w:i w:val="0"/>
          <w:sz w:val="22"/>
        </w:rPr>
        <w:t>Read replicas available for reporting workloads (avoiding production impact)</w:t>
      </w:r>
    </w:p>
    <w:p>
      <w:r>
        <w:rPr>
          <w:rFonts w:ascii="Figtree" w:hAnsi="Figtree"/>
          <w:b/>
          <w:i w:val="0"/>
          <w:sz w:val="22"/>
        </w:rPr>
        <w:t>Blockchain network architecture:</w:t>
      </w:r>
      <w:r>
        <w:rPr>
          <w:rFonts w:ascii="Figtree" w:hAnsi="Figtree"/>
          <w:b w:val="0"/>
          <w:i w:val="0"/>
          <w:sz w:val="22"/>
        </w:rPr>
        <w:t xml:space="preserve"> Four Hyperledger Besu validator nodes distributed across two availability zones. IBFT 2.0 consensus requires agreement from at least three of four validators, meaning the network tolerates one node failure without impact to consensus. The distribution across AZs ensures that a single-AZ failure leaves at least two validators operational — sufficient to maintain consensus if the remaining AZ has two validators.</w:t>
      </w:r>
    </w:p>
    <w:p>
      <w:r>
        <w:rPr>
          <w:rFonts w:ascii="Figtree" w:hAnsi="Figtree"/>
          <w:b w:val="0"/>
          <w:i w:val="0"/>
          <w:sz w:val="22"/>
        </w:rPr>
        <w:t>Block production continues uninterrupted during normal operations. If a validator is temporarily unavailable, the remaining validators continue producing blocks. When the unavailable validator recovers, it synchronizes automatically from the peer network.</w:t>
      </w:r>
    </w:p>
    <w:p>
      <w:r>
        <w:rPr>
          <w:rFonts w:ascii="Figtree" w:hAnsi="Figtree"/>
          <w:b/>
          <w:i w:val="0"/>
          <w:sz w:val="22"/>
        </w:rPr>
        <w:t>Network security:</w:t>
      </w:r>
    </w:p>
    <w:p>
      <w:pPr>
        <w:pStyle w:val="ListParagraph"/>
        <w:numPr>
          <w:ilvl w:val="0"/>
          <w:numId w:val="4"/>
        </w:numPr>
      </w:pPr>
      <w:r>
        <w:rPr>
          <w:rFonts w:ascii="Figtree" w:hAnsi="Figtree"/>
          <w:b w:val="0"/>
          <w:i w:val="0"/>
          <w:sz w:val="22"/>
        </w:rPr>
        <w:t>All inter-component communication encrypted via mutual TLS</w:t>
      </w:r>
    </w:p>
    <w:p>
      <w:pPr>
        <w:pStyle w:val="ListParagraph"/>
        <w:numPr>
          <w:ilvl w:val="0"/>
          <w:numId w:val="4"/>
        </w:numPr>
      </w:pPr>
      <w:r>
        <w:rPr>
          <w:rFonts w:ascii="Figtree" w:hAnsi="Figtree"/>
          <w:b w:val="0"/>
          <w:i w:val="0"/>
          <w:sz w:val="22"/>
        </w:rPr>
        <w:t>Private subnets for all platform components (no public internet exposure)</w:t>
      </w:r>
    </w:p>
    <w:p>
      <w:pPr>
        <w:pStyle w:val="ListParagraph"/>
        <w:numPr>
          <w:ilvl w:val="0"/>
          <w:numId w:val="4"/>
        </w:numPr>
      </w:pPr>
      <w:r>
        <w:rPr>
          <w:rFonts w:ascii="Figtree" w:hAnsi="Figtree"/>
          <w:b w:val="0"/>
          <w:i w:val="0"/>
          <w:sz w:val="22"/>
        </w:rPr>
        <w:t>NAT gateway for outbound-only internet access (package updates, custody provider API calls)</w:t>
      </w:r>
    </w:p>
    <w:p>
      <w:pPr>
        <w:pStyle w:val="ListParagraph"/>
        <w:numPr>
          <w:ilvl w:val="0"/>
          <w:numId w:val="4"/>
        </w:numPr>
      </w:pPr>
      <w:r>
        <w:rPr>
          <w:rFonts w:ascii="Figtree" w:hAnsi="Figtree"/>
          <w:b w:val="0"/>
          <w:i w:val="0"/>
          <w:sz w:val="22"/>
        </w:rPr>
        <w:t>Web Application Firewall (WAF) on the load balancer for OWASP Top 10 protection</w:t>
      </w:r>
    </w:p>
    <w:p>
      <w:pPr>
        <w:pStyle w:val="ListParagraph"/>
        <w:numPr>
          <w:ilvl w:val="0"/>
          <w:numId w:val="4"/>
        </w:numPr>
      </w:pPr>
      <w:r>
        <w:rPr>
          <w:rFonts w:ascii="Figtree" w:hAnsi="Figtree"/>
          <w:b w:val="0"/>
          <w:i w:val="0"/>
          <w:sz w:val="22"/>
        </w:rPr>
        <w:t>VPN or ExpressRoute tunnel for private connectivity to Emirates NBD's data center</w:t>
      </w:r>
    </w:p>
    <w:p>
      <w:pPr>
        <w:pStyle w:val="ListParagraph"/>
        <w:numPr>
          <w:ilvl w:val="0"/>
          <w:numId w:val="4"/>
        </w:numPr>
      </w:pPr>
      <w:r>
        <w:rPr>
          <w:rFonts w:ascii="Figtree" w:hAnsi="Figtree"/>
          <w:b w:val="0"/>
          <w:i w:val="0"/>
          <w:sz w:val="22"/>
        </w:rPr>
        <w:t>Network security groups restricting traffic to defined port ranges and source addresses</w:t>
      </w:r>
    </w:p>
    <w:p>
      <w:pPr>
        <w:pStyle w:val="H4"/>
        <w:numPr>
          <w:ilvl w:val="3"/>
          <w:numId w:val="1"/>
        </w:numPr>
      </w:pPr>
      <w:r>
        <w:t>Disaster Recovery Architecture</w:t>
      </w:r>
    </w:p>
    <w:p>
      <w:r>
        <w:rPr>
          <w:rFonts w:ascii="Figtree" w:hAnsi="Figtree"/>
          <w:b w:val="0"/>
          <w:i w:val="0"/>
          <w:sz w:val="22"/>
        </w:rPr>
        <w:t>The DR environment replicates the production environment in a separate availability zone (or region, depending on Emirates NBD's requirements):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Component</w:t>
            </w:r>
          </w:p>
        </w:tc>
        <w:tc>
          <w:tcPr>
            <w:tcW w:type="dxa" w:w="2436"/>
            <w:vAlign w:val="center"/>
            <w:shd w:fill="000099" w:val="clear"/>
          </w:tcPr>
          <w:p>
            <w:r>
              <w:rPr>
                <w:b/>
                <w:color w:val="FFFFFF"/>
              </w:rPr>
            </w:r>
            <w:r>
              <w:rPr>
                <w:rFonts w:ascii="Figtree" w:hAnsi="Figtree"/>
                <w:b/>
                <w:i w:val="0"/>
                <w:color w:val="FFFFFF"/>
                <w:sz w:val="22"/>
              </w:rPr>
              <w:t>DR Strategy</w:t>
            </w:r>
          </w:p>
        </w:tc>
        <w:tc>
          <w:tcPr>
            <w:tcW w:type="dxa" w:w="2436"/>
            <w:vAlign w:val="center"/>
            <w:shd w:fill="000099" w:val="clear"/>
          </w:tcPr>
          <w:p>
            <w:r>
              <w:rPr>
                <w:b/>
                <w:color w:val="FFFFFF"/>
              </w:rPr>
            </w:r>
            <w:r>
              <w:rPr>
                <w:rFonts w:ascii="Figtree" w:hAnsi="Figtree"/>
                <w:b/>
                <w:i w:val="0"/>
                <w:color w:val="FFFFFF"/>
                <w:sz w:val="22"/>
              </w:rPr>
              <w:t>RPO</w:t>
            </w:r>
          </w:p>
        </w:tc>
        <w:tc>
          <w:tcPr>
            <w:tcW w:type="dxa" w:w="2436"/>
            <w:vAlign w:val="center"/>
            <w:shd w:fill="000099" w:val="clear"/>
          </w:tcPr>
          <w:p>
            <w:r>
              <w:rPr>
                <w:b/>
                <w:color w:val="FFFFFF"/>
              </w:rPr>
            </w:r>
            <w:r>
              <w:rPr>
                <w:rFonts w:ascii="Figtree" w:hAnsi="Figtree"/>
                <w:b/>
                <w:i w:val="0"/>
                <w:color w:val="FFFFFF"/>
                <w:sz w:val="22"/>
              </w:rPr>
              <w:t>RTO</w:t>
            </w:r>
          </w:p>
        </w:tc>
      </w:tr>
      <w:tr>
        <w:trPr>
          <w:trHeight w:val="454" w:hRule="atLeast"/>
        </w:trPr>
        <w:tc>
          <w:tcPr>
            <w:tcW w:type="dxa" w:w="2436"/>
            <w:vAlign w:val="center"/>
          </w:tcPr>
          <w:p>
            <w:r/>
            <w:r>
              <w:rPr>
                <w:rFonts w:ascii="Figtree" w:hAnsi="Figtree"/>
                <w:b w:val="0"/>
                <w:i w:val="0"/>
                <w:sz w:val="22"/>
              </w:rPr>
              <w:t>Blockchain state</w:t>
            </w:r>
          </w:p>
        </w:tc>
        <w:tc>
          <w:tcPr>
            <w:tcW w:type="dxa" w:w="2436"/>
            <w:vAlign w:val="center"/>
          </w:tcPr>
          <w:p>
            <w:r/>
            <w:r>
              <w:rPr>
                <w:rFonts w:ascii="Figtree" w:hAnsi="Figtree"/>
                <w:b w:val="0"/>
                <w:i w:val="0"/>
                <w:sz w:val="22"/>
              </w:rPr>
              <w:t>Continuous replication via Besu peer sync</w:t>
            </w:r>
          </w:p>
        </w:tc>
        <w:tc>
          <w:tcPr>
            <w:tcW w:type="dxa" w:w="2436"/>
            <w:vAlign w:val="center"/>
          </w:tcPr>
          <w:p>
            <w:r/>
            <w:r>
              <w:rPr>
                <w:rFonts w:ascii="Figtree" w:hAnsi="Figtree"/>
                <w:b w:val="0"/>
                <w:i w:val="0"/>
                <w:sz w:val="22"/>
              </w:rPr>
              <w:t>Near-zero</w:t>
            </w:r>
          </w:p>
        </w:tc>
        <w:tc>
          <w:tcPr>
            <w:tcW w:type="dxa" w:w="2436"/>
            <w:vAlign w:val="center"/>
          </w:tcPr>
          <w:p>
            <w:r/>
            <w:r>
              <w:rPr>
                <w:rFonts w:ascii="Figtree" w:hAnsi="Figtree"/>
                <w:b w:val="0"/>
                <w:i w:val="0"/>
                <w:sz w:val="22"/>
              </w:rPr>
              <w:t>30 minutes</w:t>
            </w:r>
          </w:p>
        </w:tc>
      </w:tr>
      <w:tr>
        <w:trPr>
          <w:trHeight w:val="454" w:hRule="atLeast"/>
        </w:trPr>
        <w:tc>
          <w:tcPr>
            <w:tcW w:type="dxa" w:w="2436"/>
            <w:vAlign w:val="center"/>
          </w:tcPr>
          <w:p>
            <w:r/>
            <w:r>
              <w:rPr>
                <w:rFonts w:ascii="Figtree" w:hAnsi="Figtree"/>
                <w:b w:val="0"/>
                <w:i w:val="0"/>
                <w:sz w:val="22"/>
              </w:rPr>
              <w:t>Application database</w:t>
            </w:r>
          </w:p>
        </w:tc>
        <w:tc>
          <w:tcPr>
            <w:tcW w:type="dxa" w:w="2436"/>
            <w:vAlign w:val="center"/>
          </w:tcPr>
          <w:p>
            <w:r/>
            <w:r>
              <w:rPr>
                <w:rFonts w:ascii="Figtree" w:hAnsi="Figtree"/>
                <w:b w:val="0"/>
                <w:i w:val="0"/>
                <w:sz w:val="22"/>
              </w:rPr>
              <w:t>Synchronous replication + automated failover</w:t>
            </w:r>
          </w:p>
        </w:tc>
        <w:tc>
          <w:tcPr>
            <w:tcW w:type="dxa" w:w="2436"/>
            <w:vAlign w:val="center"/>
          </w:tcPr>
          <w:p>
            <w:r/>
            <w:r>
              <w:rPr>
                <w:rFonts w:ascii="Figtree" w:hAnsi="Figtree"/>
                <w:b w:val="0"/>
                <w:i w:val="0"/>
                <w:sz w:val="22"/>
              </w:rPr>
              <w:t>Zero (synchronous)</w:t>
            </w:r>
          </w:p>
        </w:tc>
        <w:tc>
          <w:tcPr>
            <w:tcW w:type="dxa" w:w="2436"/>
            <w:vAlign w:val="center"/>
          </w:tcPr>
          <w:p>
            <w:r/>
            <w:r>
              <w:rPr>
                <w:rFonts w:ascii="Figtree" w:hAnsi="Figtree"/>
                <w:b w:val="0"/>
                <w:i w:val="0"/>
                <w:sz w:val="22"/>
              </w:rPr>
              <w:t>15 minutes</w:t>
            </w:r>
          </w:p>
        </w:tc>
      </w:tr>
      <w:tr>
        <w:trPr>
          <w:trHeight w:val="454" w:hRule="atLeast"/>
        </w:trPr>
        <w:tc>
          <w:tcPr>
            <w:tcW w:type="dxa" w:w="2436"/>
            <w:vAlign w:val="center"/>
          </w:tcPr>
          <w:p>
            <w:r/>
            <w:r>
              <w:rPr>
                <w:rFonts w:ascii="Figtree" w:hAnsi="Figtree"/>
                <w:b w:val="0"/>
                <w:i w:val="0"/>
                <w:sz w:val="22"/>
              </w:rPr>
              <w:t>Configuration</w:t>
            </w:r>
          </w:p>
        </w:tc>
        <w:tc>
          <w:tcPr>
            <w:tcW w:type="dxa" w:w="2436"/>
            <w:vAlign w:val="center"/>
          </w:tcPr>
          <w:p>
            <w:r/>
            <w:r>
              <w:rPr>
                <w:rFonts w:ascii="Figtree" w:hAnsi="Figtree"/>
                <w:b w:val="0"/>
                <w:i w:val="0"/>
                <w:sz w:val="22"/>
              </w:rPr>
              <w:t>Infrastructure-as-code; re-deployable</w:t>
            </w:r>
          </w:p>
        </w:tc>
        <w:tc>
          <w:tcPr>
            <w:tcW w:type="dxa" w:w="2436"/>
            <w:vAlign w:val="center"/>
          </w:tcPr>
          <w:p>
            <w:r/>
            <w:r>
              <w:rPr>
                <w:rFonts w:ascii="Figtree" w:hAnsi="Figtree"/>
                <w:b w:val="0"/>
                <w:i w:val="0"/>
                <w:sz w:val="22"/>
              </w:rPr>
              <w:t>N/A</w:t>
            </w:r>
          </w:p>
        </w:tc>
        <w:tc>
          <w:tcPr>
            <w:tcW w:type="dxa" w:w="2436"/>
            <w:vAlign w:val="center"/>
          </w:tcPr>
          <w:p>
            <w:r/>
            <w:r>
              <w:rPr>
                <w:rFonts w:ascii="Figtree" w:hAnsi="Figtree"/>
                <w:b w:val="0"/>
                <w:i w:val="0"/>
                <w:sz w:val="22"/>
              </w:rPr>
              <w:t>30 minutes</w:t>
            </w:r>
          </w:p>
        </w:tc>
      </w:tr>
      <w:tr>
        <w:trPr>
          <w:trHeight w:val="454" w:hRule="atLeast"/>
        </w:trPr>
        <w:tc>
          <w:tcPr>
            <w:tcW w:type="dxa" w:w="2436"/>
            <w:vAlign w:val="center"/>
          </w:tcPr>
          <w:p>
            <w:r/>
            <w:r>
              <w:rPr>
                <w:rFonts w:ascii="Figtree" w:hAnsi="Figtree"/>
                <w:b w:val="0"/>
                <w:i w:val="0"/>
                <w:sz w:val="22"/>
              </w:rPr>
              <w:t>Object storage</w:t>
            </w:r>
          </w:p>
        </w:tc>
        <w:tc>
          <w:tcPr>
            <w:tcW w:type="dxa" w:w="2436"/>
            <w:vAlign w:val="center"/>
          </w:tcPr>
          <w:p>
            <w:r/>
            <w:r>
              <w:rPr>
                <w:rFonts w:ascii="Figtree" w:hAnsi="Figtree"/>
                <w:b w:val="0"/>
                <w:i w:val="0"/>
                <w:sz w:val="22"/>
              </w:rPr>
              <w:t>Cross-region replication</w:t>
            </w:r>
          </w:p>
        </w:tc>
        <w:tc>
          <w:tcPr>
            <w:tcW w:type="dxa" w:w="2436"/>
            <w:vAlign w:val="center"/>
          </w:tcPr>
          <w:p>
            <w:r/>
            <w:r>
              <w:rPr>
                <w:rFonts w:ascii="Figtree" w:hAnsi="Figtree"/>
                <w:b w:val="0"/>
                <w:i w:val="0"/>
                <w:sz w:val="22"/>
              </w:rPr>
              <w:t>15 minutes</w:t>
            </w:r>
          </w:p>
        </w:tc>
        <w:tc>
          <w:tcPr>
            <w:tcW w:type="dxa" w:w="2436"/>
            <w:vAlign w:val="center"/>
          </w:tcPr>
          <w:p>
            <w:r/>
            <w:r>
              <w:rPr>
                <w:rFonts w:ascii="Figtree" w:hAnsi="Figtree"/>
                <w:b w:val="0"/>
                <w:i w:val="0"/>
                <w:sz w:val="22"/>
              </w:rPr>
              <w:t>Immediate</w:t>
            </w:r>
          </w:p>
        </w:tc>
      </w:tr>
      <w:tr>
        <w:trPr>
          <w:trHeight w:val="454" w:hRule="atLeast"/>
        </w:trPr>
        <w:tc>
          <w:tcPr>
            <w:tcW w:type="dxa" w:w="2436"/>
            <w:vAlign w:val="center"/>
          </w:tcPr>
          <w:p>
            <w:r/>
            <w:r>
              <w:rPr>
                <w:rFonts w:ascii="Figtree" w:hAnsi="Figtree"/>
                <w:b w:val="0"/>
                <w:i w:val="0"/>
                <w:sz w:val="22"/>
              </w:rPr>
              <w:t>Kubernetes workloads</w:t>
            </w:r>
          </w:p>
        </w:tc>
        <w:tc>
          <w:tcPr>
            <w:tcW w:type="dxa" w:w="2436"/>
            <w:vAlign w:val="center"/>
          </w:tcPr>
          <w:p>
            <w:r/>
            <w:r>
              <w:rPr>
                <w:rFonts w:ascii="Figtree" w:hAnsi="Figtree"/>
                <w:b w:val="0"/>
                <w:i w:val="0"/>
                <w:sz w:val="22"/>
              </w:rPr>
              <w:t>Helm charts; re-deployable to DR cluster</w:t>
            </w:r>
          </w:p>
        </w:tc>
        <w:tc>
          <w:tcPr>
            <w:tcW w:type="dxa" w:w="2436"/>
            <w:vAlign w:val="center"/>
          </w:tcPr>
          <w:p>
            <w:r/>
            <w:r>
              <w:rPr>
                <w:rFonts w:ascii="Figtree" w:hAnsi="Figtree"/>
                <w:b w:val="0"/>
                <w:i w:val="0"/>
                <w:sz w:val="22"/>
              </w:rPr>
              <w:t>N/A</w:t>
            </w:r>
          </w:p>
        </w:tc>
        <w:tc>
          <w:tcPr>
            <w:tcW w:type="dxa" w:w="2436"/>
            <w:vAlign w:val="center"/>
          </w:tcPr>
          <w:p>
            <w:r/>
            <w:r>
              <w:rPr>
                <w:rFonts w:ascii="Figtree" w:hAnsi="Figtree"/>
                <w:b w:val="0"/>
                <w:i w:val="0"/>
                <w:sz w:val="22"/>
              </w:rPr>
              <w:t>30 minutes</w:t>
            </w:r>
          </w:p>
        </w:tc>
      </w:tr>
    </w:tbl>
    <w:p>
      <w:r>
        <w:rPr>
          <w:rFonts w:ascii="Figtree" w:hAnsi="Figtree"/>
          <w:b/>
          <w:i w:val="0"/>
          <w:sz w:val="22"/>
        </w:rPr>
        <w:t>DR testing:</w:t>
      </w:r>
      <w:r>
        <w:rPr>
          <w:rFonts w:ascii="Figtree" w:hAnsi="Figtree"/>
          <w:b w:val="0"/>
          <w:i w:val="0"/>
          <w:sz w:val="22"/>
        </w:rPr>
        <w:t xml:space="preserve"> SettleMint conducts quarterly DR failover tests, documented with test plans, execution records, and recovery time measurements. Emirates NBD is invited to observe and participate in DR tests.</w:t>
      </w:r>
    </w:p>
    <w:p>
      <w:r>
        <w:rPr>
          <w:rFonts w:ascii="Figtree" w:hAnsi="Figtree"/>
          <w:b/>
          <w:i w:val="0"/>
          <w:sz w:val="22"/>
        </w:rPr>
        <w:t>Backup and restore procedures:</w:t>
      </w:r>
    </w:p>
    <w:p>
      <w:pPr>
        <w:pStyle w:val="ListParagraph"/>
        <w:numPr>
          <w:ilvl w:val="0"/>
          <w:numId w:val="23"/>
        </w:numPr>
      </w:pPr>
      <w:r>
        <w:rPr>
          <w:rFonts w:ascii="Figtree" w:hAnsi="Figtree"/>
          <w:b w:val="0"/>
          <w:i w:val="0"/>
          <w:sz w:val="22"/>
        </w:rPr>
        <w:t>Automated hourly database snapshots retained for 30 days</w:t>
      </w:r>
    </w:p>
    <w:p>
      <w:pPr>
        <w:pStyle w:val="ListParagraph"/>
        <w:numPr>
          <w:ilvl w:val="0"/>
          <w:numId w:val="23"/>
        </w:numPr>
      </w:pPr>
      <w:r>
        <w:rPr>
          <w:rFonts w:ascii="Figtree" w:hAnsi="Figtree"/>
          <w:b w:val="0"/>
          <w:i w:val="0"/>
          <w:sz w:val="22"/>
        </w:rPr>
        <w:t>Continuous blockchain state available through Besu peer synchronization</w:t>
      </w:r>
    </w:p>
    <w:p>
      <w:pPr>
        <w:pStyle w:val="ListParagraph"/>
        <w:numPr>
          <w:ilvl w:val="0"/>
          <w:numId w:val="23"/>
        </w:numPr>
      </w:pPr>
      <w:r>
        <w:rPr>
          <w:rFonts w:ascii="Figtree" w:hAnsi="Figtree"/>
          <w:b w:val="0"/>
          <w:i w:val="0"/>
          <w:sz w:val="22"/>
        </w:rPr>
        <w:t>Configuration artifacts stored in version control (Git) with tagged releases</w:t>
      </w:r>
    </w:p>
    <w:p>
      <w:pPr>
        <w:pStyle w:val="ListParagraph"/>
        <w:numPr>
          <w:ilvl w:val="0"/>
          <w:numId w:val="23"/>
        </w:numPr>
      </w:pPr>
      <w:r>
        <w:rPr>
          <w:rFonts w:ascii="Figtree" w:hAnsi="Figtree"/>
          <w:b w:val="0"/>
          <w:i w:val="0"/>
          <w:sz w:val="22"/>
        </w:rPr>
        <w:t>Object storage versioning enables point-in-time recovery for documents</w:t>
      </w:r>
    </w:p>
    <w:p>
      <w:pPr>
        <w:pStyle w:val="ListParagraph"/>
        <w:numPr>
          <w:ilvl w:val="0"/>
          <w:numId w:val="23"/>
        </w:numPr>
      </w:pPr>
      <w:r>
        <w:rPr>
          <w:rFonts w:ascii="Figtree" w:hAnsi="Figtree"/>
          <w:b w:val="0"/>
          <w:i w:val="0"/>
          <w:sz w:val="22"/>
        </w:rPr>
        <w:t>Documented restore procedures with defined roles and responsibilities</w:t>
      </w:r>
    </w:p>
    <w:p>
      <w:pPr>
        <w:pStyle w:val="ListParagraph"/>
        <w:numPr>
          <w:ilvl w:val="0"/>
          <w:numId w:val="23"/>
        </w:numPr>
      </w:pPr>
      <w:r>
        <w:rPr>
          <w:rFonts w:ascii="Figtree" w:hAnsi="Figtree"/>
          <w:b w:val="0"/>
          <w:i w:val="0"/>
          <w:sz w:val="22"/>
        </w:rPr>
        <w:t>Tested backup and restore procedures validated during Phase 2</w:t>
      </w:r>
    </w:p>
    <w:p>
      <w:pPr>
        <w:pStyle w:val="H4"/>
        <w:numPr>
          <w:ilvl w:val="3"/>
          <w:numId w:val="1"/>
        </w:numPr>
      </w:pPr>
      <w:r>
        <w:t>Capacity Planning</w:t>
      </w:r>
    </w:p>
    <w:p>
      <w:r>
        <w:rPr>
          <w:rFonts w:ascii="Figtree" w:hAnsi="Figtree"/>
          <w:b w:val="0"/>
          <w:i w:val="0"/>
          <w:sz w:val="22"/>
        </w:rPr>
        <w:t>The initial deployment is sized for Emirates NBD's projected launch workloads with headroom for growth:</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Metric</w:t>
            </w:r>
          </w:p>
        </w:tc>
        <w:tc>
          <w:tcPr>
            <w:tcW w:type="dxa" w:w="3249"/>
            <w:vAlign w:val="center"/>
            <w:shd w:fill="000099" w:val="clear"/>
          </w:tcPr>
          <w:p>
            <w:r>
              <w:rPr>
                <w:b/>
                <w:color w:val="FFFFFF"/>
              </w:rPr>
            </w:r>
            <w:r>
              <w:rPr>
                <w:rFonts w:ascii="Figtree" w:hAnsi="Figtree"/>
                <w:b/>
                <w:i w:val="0"/>
                <w:color w:val="FFFFFF"/>
                <w:sz w:val="22"/>
              </w:rPr>
              <w:t>Initial Capacity</w:t>
            </w:r>
          </w:p>
        </w:tc>
        <w:tc>
          <w:tcPr>
            <w:tcW w:type="dxa" w:w="3249"/>
            <w:vAlign w:val="center"/>
            <w:shd w:fill="000099" w:val="clear"/>
          </w:tcPr>
          <w:p>
            <w:r>
              <w:rPr>
                <w:b/>
                <w:color w:val="FFFFFF"/>
              </w:rPr>
            </w:r>
            <w:r>
              <w:rPr>
                <w:rFonts w:ascii="Figtree" w:hAnsi="Figtree"/>
                <w:b/>
                <w:i w:val="0"/>
                <w:color w:val="FFFFFF"/>
                <w:sz w:val="22"/>
              </w:rPr>
              <w:t>Growth Headroom</w:t>
            </w:r>
          </w:p>
        </w:tc>
      </w:tr>
      <w:tr>
        <w:trPr>
          <w:trHeight w:val="454" w:hRule="atLeast"/>
        </w:trPr>
        <w:tc>
          <w:tcPr>
            <w:tcW w:type="dxa" w:w="3249"/>
            <w:vAlign w:val="center"/>
          </w:tcPr>
          <w:p>
            <w:r/>
            <w:r>
              <w:rPr>
                <w:rFonts w:ascii="Figtree" w:hAnsi="Figtree"/>
                <w:b w:val="0"/>
                <w:i w:val="0"/>
                <w:sz w:val="22"/>
              </w:rPr>
              <w:t>Transactions per day</w:t>
            </w:r>
          </w:p>
        </w:tc>
        <w:tc>
          <w:tcPr>
            <w:tcW w:type="dxa" w:w="3249"/>
            <w:vAlign w:val="center"/>
          </w:tcPr>
          <w:p>
            <w:r/>
            <w:r>
              <w:rPr>
                <w:rFonts w:ascii="Figtree" w:hAnsi="Figtree"/>
                <w:b w:val="0"/>
                <w:i w:val="0"/>
                <w:sz w:val="22"/>
              </w:rPr>
              <w:t>10,000</w:t>
            </w:r>
          </w:p>
        </w:tc>
        <w:tc>
          <w:tcPr>
            <w:tcW w:type="dxa" w:w="3249"/>
            <w:vAlign w:val="center"/>
          </w:tcPr>
          <w:p>
            <w:r/>
            <w:r>
              <w:rPr>
                <w:rFonts w:ascii="Figtree" w:hAnsi="Figtree"/>
                <w:b w:val="0"/>
                <w:i w:val="0"/>
                <w:sz w:val="22"/>
              </w:rPr>
              <w:t>50,000 (5× growth)</w:t>
            </w:r>
          </w:p>
        </w:tc>
      </w:tr>
      <w:tr>
        <w:trPr>
          <w:trHeight w:val="454" w:hRule="atLeast"/>
        </w:trPr>
        <w:tc>
          <w:tcPr>
            <w:tcW w:type="dxa" w:w="3249"/>
            <w:vAlign w:val="center"/>
          </w:tcPr>
          <w:p>
            <w:r/>
            <w:r>
              <w:rPr>
                <w:rFonts w:ascii="Figtree" w:hAnsi="Figtree"/>
                <w:b w:val="0"/>
                <w:i w:val="0"/>
                <w:sz w:val="22"/>
              </w:rPr>
              <w:t>Concurrent API connections</w:t>
            </w:r>
          </w:p>
        </w:tc>
        <w:tc>
          <w:tcPr>
            <w:tcW w:type="dxa" w:w="3249"/>
            <w:vAlign w:val="center"/>
          </w:tcPr>
          <w:p>
            <w:r/>
            <w:r>
              <w:rPr>
                <w:rFonts w:ascii="Figtree" w:hAnsi="Figtree"/>
                <w:b w:val="0"/>
                <w:i w:val="0"/>
                <w:sz w:val="22"/>
              </w:rPr>
              <w:t>500</w:t>
            </w:r>
          </w:p>
        </w:tc>
        <w:tc>
          <w:tcPr>
            <w:tcW w:type="dxa" w:w="3249"/>
            <w:vAlign w:val="center"/>
          </w:tcPr>
          <w:p>
            <w:r/>
            <w:r>
              <w:rPr>
                <w:rFonts w:ascii="Figtree" w:hAnsi="Figtree"/>
                <w:b w:val="0"/>
                <w:i w:val="0"/>
                <w:sz w:val="22"/>
              </w:rPr>
              <w:t>2,000</w:t>
            </w:r>
          </w:p>
        </w:tc>
      </w:tr>
      <w:tr>
        <w:trPr>
          <w:trHeight w:val="454" w:hRule="atLeast"/>
        </w:trPr>
        <w:tc>
          <w:tcPr>
            <w:tcW w:type="dxa" w:w="3249"/>
            <w:vAlign w:val="center"/>
          </w:tcPr>
          <w:p>
            <w:r/>
            <w:r>
              <w:rPr>
                <w:rFonts w:ascii="Figtree" w:hAnsi="Figtree"/>
                <w:b w:val="0"/>
                <w:i w:val="0"/>
                <w:sz w:val="22"/>
              </w:rPr>
              <w:t>Token contracts deployed</w:t>
            </w:r>
          </w:p>
        </w:tc>
        <w:tc>
          <w:tcPr>
            <w:tcW w:type="dxa" w:w="3249"/>
            <w:vAlign w:val="center"/>
          </w:tcPr>
          <w:p>
            <w:r/>
            <w:r>
              <w:rPr>
                <w:rFonts w:ascii="Figtree" w:hAnsi="Figtree"/>
                <w:b w:val="0"/>
                <w:i w:val="0"/>
                <w:sz w:val="22"/>
              </w:rPr>
              <w:t>50</w:t>
            </w:r>
          </w:p>
        </w:tc>
        <w:tc>
          <w:tcPr>
            <w:tcW w:type="dxa" w:w="3249"/>
            <w:vAlign w:val="center"/>
          </w:tcPr>
          <w:p>
            <w:r/>
            <w:r>
              <w:rPr>
                <w:rFonts w:ascii="Figtree" w:hAnsi="Figtree"/>
                <w:b w:val="0"/>
                <w:i w:val="0"/>
                <w:sz w:val="22"/>
              </w:rPr>
              <w:t>500</w:t>
            </w:r>
          </w:p>
        </w:tc>
      </w:tr>
      <w:tr>
        <w:trPr>
          <w:trHeight w:val="454" w:hRule="atLeast"/>
        </w:trPr>
        <w:tc>
          <w:tcPr>
            <w:tcW w:type="dxa" w:w="3249"/>
            <w:vAlign w:val="center"/>
          </w:tcPr>
          <w:p>
            <w:r/>
            <w:r>
              <w:rPr>
                <w:rFonts w:ascii="Figtree" w:hAnsi="Figtree"/>
                <w:b w:val="0"/>
                <w:i w:val="0"/>
                <w:sz w:val="22"/>
              </w:rPr>
              <w:t>Identity registrations</w:t>
            </w:r>
          </w:p>
        </w:tc>
        <w:tc>
          <w:tcPr>
            <w:tcW w:type="dxa" w:w="3249"/>
            <w:vAlign w:val="center"/>
          </w:tcPr>
          <w:p>
            <w:r/>
            <w:r>
              <w:rPr>
                <w:rFonts w:ascii="Figtree" w:hAnsi="Figtree"/>
                <w:b w:val="0"/>
                <w:i w:val="0"/>
                <w:sz w:val="22"/>
              </w:rPr>
              <w:t>1,000</w:t>
            </w:r>
          </w:p>
        </w:tc>
        <w:tc>
          <w:tcPr>
            <w:tcW w:type="dxa" w:w="3249"/>
            <w:vAlign w:val="center"/>
          </w:tcPr>
          <w:p>
            <w:r/>
            <w:r>
              <w:rPr>
                <w:rFonts w:ascii="Figtree" w:hAnsi="Figtree"/>
                <w:b w:val="0"/>
                <w:i w:val="0"/>
                <w:sz w:val="22"/>
              </w:rPr>
              <w:t>10,000</w:t>
            </w:r>
          </w:p>
        </w:tc>
      </w:tr>
      <w:tr>
        <w:trPr>
          <w:trHeight w:val="454" w:hRule="atLeast"/>
        </w:trPr>
        <w:tc>
          <w:tcPr>
            <w:tcW w:type="dxa" w:w="3249"/>
            <w:vAlign w:val="center"/>
          </w:tcPr>
          <w:p>
            <w:r/>
            <w:r>
              <w:rPr>
                <w:rFonts w:ascii="Figtree" w:hAnsi="Figtree"/>
                <w:b w:val="0"/>
                <w:i w:val="0"/>
                <w:sz w:val="22"/>
              </w:rPr>
              <w:t>Document storage</w:t>
            </w:r>
          </w:p>
        </w:tc>
        <w:tc>
          <w:tcPr>
            <w:tcW w:type="dxa" w:w="3249"/>
            <w:vAlign w:val="center"/>
          </w:tcPr>
          <w:p>
            <w:r/>
            <w:r>
              <w:rPr>
                <w:rFonts w:ascii="Figtree" w:hAnsi="Figtree"/>
                <w:b w:val="0"/>
                <w:i w:val="0"/>
                <w:sz w:val="22"/>
              </w:rPr>
              <w:t>100 GB</w:t>
            </w:r>
          </w:p>
        </w:tc>
        <w:tc>
          <w:tcPr>
            <w:tcW w:type="dxa" w:w="3249"/>
            <w:vAlign w:val="center"/>
          </w:tcPr>
          <w:p>
            <w:r/>
            <w:r>
              <w:rPr>
                <w:rFonts w:ascii="Figtree" w:hAnsi="Figtree"/>
                <w:b w:val="0"/>
                <w:i w:val="0"/>
                <w:sz w:val="22"/>
              </w:rPr>
              <w:t>1 TB</w:t>
            </w:r>
          </w:p>
        </w:tc>
      </w:tr>
    </w:tbl>
    <w:p>
      <w:r>
        <w:rPr>
          <w:rFonts w:ascii="Figtree" w:hAnsi="Figtree"/>
          <w:b w:val="0"/>
          <w:i w:val="0"/>
          <w:sz w:val="22"/>
        </w:rPr>
        <w:t>Capacity planning is reviewed quarterly during the Premium Support business review cycle. Scaling recommendations are provided proactively when utilization approaches configured thresholds.</w:t>
      </w:r>
    </w:p>
    <w:p>
      <w:pPr>
        <w:pStyle w:val="H3"/>
        <w:numPr>
          <w:ilvl w:val="2"/>
          <w:numId w:val="1"/>
        </w:numPr>
      </w:pPr>
      <w:r>
        <w:t>Appendix: Detailed Training Programme</w:t>
      </w:r>
    </w:p>
    <w:p>
      <w:pPr>
        <w:pStyle w:val="H4"/>
        <w:numPr>
          <w:ilvl w:val="3"/>
          <w:numId w:val="1"/>
        </w:numPr>
      </w:pPr>
      <w:r>
        <w:t>Administrator Track (3 Days)</w:t>
      </w:r>
    </w:p>
    <w:p>
      <w:r>
        <w:rPr>
          <w:rFonts w:ascii="Figtree" w:hAnsi="Figtree"/>
          <w:b/>
          <w:i w:val="0"/>
          <w:sz w:val="22"/>
        </w:rPr>
        <w:t>Day 1: Platform Fundamentals</w:t>
      </w:r>
    </w:p>
    <w:p>
      <w:pPr>
        <w:pStyle w:val="ListParagraph"/>
        <w:numPr>
          <w:ilvl w:val="0"/>
          <w:numId w:val="4"/>
        </w:numPr>
      </w:pPr>
      <w:r>
        <w:rPr>
          <w:rFonts w:ascii="Figtree" w:hAnsi="Figtree"/>
          <w:b w:val="0"/>
          <w:i w:val="0"/>
          <w:sz w:val="22"/>
        </w:rPr>
        <w:t>DALP architecture overview (non-technical perspective)</w:t>
      </w:r>
    </w:p>
    <w:p>
      <w:pPr>
        <w:pStyle w:val="ListParagraph"/>
        <w:numPr>
          <w:ilvl w:val="0"/>
          <w:numId w:val="4"/>
        </w:numPr>
      </w:pPr>
      <w:r>
        <w:rPr>
          <w:rFonts w:ascii="Figtree" w:hAnsi="Figtree"/>
          <w:b w:val="0"/>
          <w:i w:val="0"/>
          <w:sz w:val="22"/>
        </w:rPr>
        <w:t>Navigation and dashboard interpretation</w:t>
      </w:r>
    </w:p>
    <w:p>
      <w:pPr>
        <w:pStyle w:val="ListParagraph"/>
        <w:numPr>
          <w:ilvl w:val="0"/>
          <w:numId w:val="4"/>
        </w:numPr>
      </w:pPr>
      <w:r>
        <w:rPr>
          <w:rFonts w:ascii="Figtree" w:hAnsi="Figtree"/>
          <w:b w:val="0"/>
          <w:i w:val="0"/>
          <w:sz w:val="22"/>
        </w:rPr>
        <w:t>User management and RBAC assignment</w:t>
      </w:r>
    </w:p>
    <w:p>
      <w:pPr>
        <w:pStyle w:val="ListParagraph"/>
        <w:numPr>
          <w:ilvl w:val="0"/>
          <w:numId w:val="4"/>
        </w:numPr>
      </w:pPr>
      <w:r>
        <w:rPr>
          <w:rFonts w:ascii="Figtree" w:hAnsi="Figtree"/>
          <w:b w:val="0"/>
          <w:i w:val="0"/>
          <w:sz w:val="22"/>
        </w:rPr>
        <w:t>Organization and multi-tenant configuration</w:t>
      </w:r>
    </w:p>
    <w:p>
      <w:pPr>
        <w:pStyle w:val="ListParagraph"/>
        <w:numPr>
          <w:ilvl w:val="0"/>
          <w:numId w:val="4"/>
        </w:numPr>
      </w:pPr>
      <w:r>
        <w:rPr>
          <w:rFonts w:ascii="Figtree" w:hAnsi="Figtree"/>
          <w:b w:val="0"/>
          <w:i w:val="0"/>
          <w:sz w:val="22"/>
        </w:rPr>
        <w:t>Lab: Create users, assign roles, navigate dashboards</w:t>
      </w:r>
    </w:p>
    <w:p>
      <w:r>
        <w:rPr>
          <w:rFonts w:ascii="Figtree" w:hAnsi="Figtree"/>
          <w:b/>
          <w:i w:val="0"/>
          <w:sz w:val="22"/>
        </w:rPr>
        <w:t>Day 2: Asset and Compliance Administration</w:t>
      </w:r>
    </w:p>
    <w:p>
      <w:pPr>
        <w:pStyle w:val="ListParagraph"/>
        <w:numPr>
          <w:ilvl w:val="0"/>
          <w:numId w:val="4"/>
        </w:numPr>
      </w:pPr>
      <w:r>
        <w:rPr>
          <w:rFonts w:ascii="Figtree" w:hAnsi="Figtree"/>
          <w:b w:val="0"/>
          <w:i w:val="0"/>
          <w:sz w:val="22"/>
        </w:rPr>
        <w:t>Asset Designer walkthrough (deposits and trade finance)</w:t>
      </w:r>
    </w:p>
    <w:p>
      <w:pPr>
        <w:pStyle w:val="ListParagraph"/>
        <w:numPr>
          <w:ilvl w:val="0"/>
          <w:numId w:val="4"/>
        </w:numPr>
      </w:pPr>
      <w:r>
        <w:rPr>
          <w:rFonts w:ascii="Figtree" w:hAnsi="Figtree"/>
          <w:b w:val="0"/>
          <w:i w:val="0"/>
          <w:sz w:val="22"/>
        </w:rPr>
        <w:t>Compliance module configuration and management</w:t>
      </w:r>
    </w:p>
    <w:p>
      <w:pPr>
        <w:pStyle w:val="ListParagraph"/>
        <w:numPr>
          <w:ilvl w:val="0"/>
          <w:numId w:val="4"/>
        </w:numPr>
      </w:pPr>
      <w:r>
        <w:rPr>
          <w:rFonts w:ascii="Figtree" w:hAnsi="Figtree"/>
          <w:b w:val="0"/>
          <w:i w:val="0"/>
          <w:sz w:val="22"/>
        </w:rPr>
        <w:t>Identity management and trusted issuer administration</w:t>
      </w:r>
    </w:p>
    <w:p>
      <w:pPr>
        <w:pStyle w:val="ListParagraph"/>
        <w:numPr>
          <w:ilvl w:val="0"/>
          <w:numId w:val="4"/>
        </w:numPr>
      </w:pPr>
      <w:r>
        <w:rPr>
          <w:rFonts w:ascii="Figtree" w:hAnsi="Figtree"/>
          <w:b w:val="0"/>
          <w:i w:val="0"/>
          <w:sz w:val="22"/>
        </w:rPr>
        <w:t>Settlement configuration (XvP, yield schedules)</w:t>
      </w:r>
    </w:p>
    <w:p>
      <w:pPr>
        <w:pStyle w:val="ListParagraph"/>
        <w:numPr>
          <w:ilvl w:val="0"/>
          <w:numId w:val="4"/>
        </w:numPr>
      </w:pPr>
      <w:r>
        <w:rPr>
          <w:rFonts w:ascii="Figtree" w:hAnsi="Figtree"/>
          <w:b w:val="0"/>
          <w:i w:val="0"/>
          <w:sz w:val="22"/>
        </w:rPr>
        <w:t>Lab: Configure a deposit product end-to-end; add compliance modules</w:t>
      </w:r>
    </w:p>
    <w:p>
      <w:r>
        <w:rPr>
          <w:rFonts w:ascii="Figtree" w:hAnsi="Figtree"/>
          <w:b/>
          <w:i w:val="0"/>
          <w:sz w:val="22"/>
        </w:rPr>
        <w:t>Day 3: Operations and Monitoring</w:t>
      </w:r>
    </w:p>
    <w:p>
      <w:pPr>
        <w:pStyle w:val="ListParagraph"/>
        <w:numPr>
          <w:ilvl w:val="0"/>
          <w:numId w:val="4"/>
        </w:numPr>
      </w:pPr>
      <w:r>
        <w:rPr>
          <w:rFonts w:ascii="Figtree" w:hAnsi="Figtree"/>
          <w:b w:val="0"/>
          <w:i w:val="0"/>
          <w:sz w:val="22"/>
        </w:rPr>
        <w:t>Monitoring dashboard interpretation and customization</w:t>
      </w:r>
    </w:p>
    <w:p>
      <w:pPr>
        <w:pStyle w:val="ListParagraph"/>
        <w:numPr>
          <w:ilvl w:val="0"/>
          <w:numId w:val="4"/>
        </w:numPr>
      </w:pPr>
      <w:r>
        <w:rPr>
          <w:rFonts w:ascii="Figtree" w:hAnsi="Figtree"/>
          <w:b w:val="0"/>
          <w:i w:val="0"/>
          <w:sz w:val="22"/>
        </w:rPr>
        <w:t>Alert configuration and escalation setup</w:t>
      </w:r>
    </w:p>
    <w:p>
      <w:pPr>
        <w:pStyle w:val="ListParagraph"/>
        <w:numPr>
          <w:ilvl w:val="0"/>
          <w:numId w:val="4"/>
        </w:numPr>
      </w:pPr>
      <w:r>
        <w:rPr>
          <w:rFonts w:ascii="Figtree" w:hAnsi="Figtree"/>
          <w:b w:val="0"/>
          <w:i w:val="0"/>
          <w:sz w:val="22"/>
        </w:rPr>
        <w:t>Incident response procedures</w:t>
      </w:r>
    </w:p>
    <w:p>
      <w:pPr>
        <w:pStyle w:val="ListParagraph"/>
        <w:numPr>
          <w:ilvl w:val="0"/>
          <w:numId w:val="4"/>
        </w:numPr>
      </w:pPr>
      <w:r>
        <w:rPr>
          <w:rFonts w:ascii="Figtree" w:hAnsi="Figtree"/>
          <w:b w:val="0"/>
          <w:i w:val="0"/>
          <w:sz w:val="22"/>
        </w:rPr>
        <w:t>Backup verification and DR awareness</w:t>
      </w:r>
    </w:p>
    <w:p>
      <w:pPr>
        <w:pStyle w:val="ListParagraph"/>
        <w:numPr>
          <w:ilvl w:val="0"/>
          <w:numId w:val="4"/>
        </w:numPr>
      </w:pPr>
      <w:r>
        <w:rPr>
          <w:rFonts w:ascii="Figtree" w:hAnsi="Figtree"/>
          <w:b w:val="0"/>
          <w:i w:val="0"/>
          <w:sz w:val="22"/>
        </w:rPr>
        <w:t>Lab: Simulate operational scenarios (failed transaction, compliance veto, limit breach)</w:t>
      </w:r>
    </w:p>
    <w:p>
      <w:pPr>
        <w:pStyle w:val="H4"/>
        <w:numPr>
          <w:ilvl w:val="3"/>
          <w:numId w:val="1"/>
        </w:numPr>
      </w:pPr>
      <w:r>
        <w:t>Developer / Integration Track (3 Days)</w:t>
      </w:r>
    </w:p>
    <w:p>
      <w:r>
        <w:rPr>
          <w:rFonts w:ascii="Figtree" w:hAnsi="Figtree"/>
          <w:b/>
          <w:i w:val="0"/>
          <w:sz w:val="22"/>
        </w:rPr>
        <w:t>Day 1: API and SDK Fundamentals</w:t>
      </w:r>
    </w:p>
    <w:p>
      <w:pPr>
        <w:pStyle w:val="ListParagraph"/>
        <w:numPr>
          <w:ilvl w:val="0"/>
          <w:numId w:val="4"/>
        </w:numPr>
      </w:pPr>
      <w:r>
        <w:rPr>
          <w:rFonts w:ascii="Figtree" w:hAnsi="Figtree"/>
          <w:b w:val="0"/>
          <w:i w:val="0"/>
          <w:sz w:val="22"/>
        </w:rPr>
        <w:t>REST API v2 overview and authentication</w:t>
      </w:r>
    </w:p>
    <w:p>
      <w:pPr>
        <w:pStyle w:val="ListParagraph"/>
        <w:numPr>
          <w:ilvl w:val="0"/>
          <w:numId w:val="4"/>
        </w:numPr>
      </w:pPr>
      <w:r>
        <w:rPr>
          <w:rFonts w:ascii="Figtree" w:hAnsi="Figtree"/>
          <w:b w:val="0"/>
          <w:i w:val="0"/>
          <w:sz w:val="22"/>
        </w:rPr>
        <w:t>OpenAPI specification navigation</w:t>
      </w:r>
    </w:p>
    <w:p>
      <w:pPr>
        <w:pStyle w:val="ListParagraph"/>
        <w:numPr>
          <w:ilvl w:val="0"/>
          <w:numId w:val="4"/>
        </w:numPr>
      </w:pPr>
      <w:r>
        <w:rPr>
          <w:rFonts w:ascii="Figtree" w:hAnsi="Figtree"/>
          <w:b w:val="0"/>
          <w:i w:val="0"/>
          <w:sz w:val="22"/>
        </w:rPr>
        <w:t>TypeScript SDK setup and usage patterns</w:t>
      </w:r>
    </w:p>
    <w:p>
      <w:pPr>
        <w:pStyle w:val="ListParagraph"/>
        <w:numPr>
          <w:ilvl w:val="0"/>
          <w:numId w:val="4"/>
        </w:numPr>
      </w:pPr>
      <w:r>
        <w:rPr>
          <w:rFonts w:ascii="Figtree" w:hAnsi="Figtree"/>
          <w:b w:val="0"/>
          <w:i w:val="0"/>
          <w:sz w:val="22"/>
        </w:rPr>
        <w:t>API key management and scope configuration</w:t>
      </w:r>
    </w:p>
    <w:p>
      <w:pPr>
        <w:pStyle w:val="ListParagraph"/>
        <w:numPr>
          <w:ilvl w:val="0"/>
          <w:numId w:val="4"/>
        </w:numPr>
      </w:pPr>
      <w:r>
        <w:rPr>
          <w:rFonts w:ascii="Figtree" w:hAnsi="Figtree"/>
          <w:b w:val="0"/>
          <w:i w:val="0"/>
          <w:sz w:val="22"/>
        </w:rPr>
        <w:t>Lab: Create API keys, make authenticated requests, explore SDK</w:t>
      </w:r>
    </w:p>
    <w:p>
      <w:r>
        <w:rPr>
          <w:rFonts w:ascii="Figtree" w:hAnsi="Figtree"/>
          <w:b/>
          <w:i w:val="0"/>
          <w:sz w:val="22"/>
        </w:rPr>
        <w:t>Day 2: Integration Patterns</w:t>
      </w:r>
    </w:p>
    <w:p>
      <w:pPr>
        <w:pStyle w:val="ListParagraph"/>
        <w:numPr>
          <w:ilvl w:val="0"/>
          <w:numId w:val="4"/>
        </w:numPr>
      </w:pPr>
      <w:r>
        <w:rPr>
          <w:rFonts w:ascii="Figtree" w:hAnsi="Figtree"/>
          <w:b w:val="0"/>
          <w:i w:val="0"/>
          <w:sz w:val="22"/>
        </w:rPr>
        <w:t>Webhook configuration and event handling</w:t>
      </w:r>
    </w:p>
    <w:p>
      <w:pPr>
        <w:pStyle w:val="ListParagraph"/>
        <w:numPr>
          <w:ilvl w:val="0"/>
          <w:numId w:val="4"/>
        </w:numPr>
      </w:pPr>
      <w:r>
        <w:rPr>
          <w:rFonts w:ascii="Figtree" w:hAnsi="Figtree"/>
          <w:b w:val="0"/>
          <w:i w:val="0"/>
          <w:sz w:val="22"/>
        </w:rPr>
        <w:t>CLI automation for operational scripting</w:t>
      </w:r>
    </w:p>
    <w:p>
      <w:pPr>
        <w:pStyle w:val="ListParagraph"/>
        <w:numPr>
          <w:ilvl w:val="0"/>
          <w:numId w:val="4"/>
        </w:numPr>
      </w:pPr>
      <w:r>
        <w:rPr>
          <w:rFonts w:ascii="Figtree" w:hAnsi="Figtree"/>
          <w:b w:val="0"/>
          <w:i w:val="0"/>
          <w:sz w:val="22"/>
        </w:rPr>
        <w:t>Server-sent events for real-time integration</w:t>
      </w:r>
    </w:p>
    <w:p>
      <w:pPr>
        <w:pStyle w:val="ListParagraph"/>
        <w:numPr>
          <w:ilvl w:val="0"/>
          <w:numId w:val="4"/>
        </w:numPr>
      </w:pPr>
      <w:r>
        <w:rPr>
          <w:rFonts w:ascii="Figtree" w:hAnsi="Figtree"/>
          <w:b w:val="0"/>
          <w:i w:val="0"/>
          <w:sz w:val="22"/>
        </w:rPr>
        <w:t>GraphQL queries for reporting and analytics</w:t>
      </w:r>
    </w:p>
    <w:p>
      <w:pPr>
        <w:pStyle w:val="ListParagraph"/>
        <w:numPr>
          <w:ilvl w:val="0"/>
          <w:numId w:val="4"/>
        </w:numPr>
      </w:pPr>
      <w:r>
        <w:rPr>
          <w:rFonts w:ascii="Figtree" w:hAnsi="Figtree"/>
          <w:b w:val="0"/>
          <w:i w:val="0"/>
          <w:sz w:val="22"/>
        </w:rPr>
        <w:t>Lab: Build a webhook receiver; write CLI automation scripts</w:t>
      </w:r>
    </w:p>
    <w:p>
      <w:r>
        <w:rPr>
          <w:rFonts w:ascii="Figtree" w:hAnsi="Figtree"/>
          <w:b/>
          <w:i w:val="0"/>
          <w:sz w:val="22"/>
        </w:rPr>
        <w:t>Day 3: Advanced Integration</w:t>
      </w:r>
    </w:p>
    <w:p>
      <w:pPr>
        <w:pStyle w:val="ListParagraph"/>
        <w:numPr>
          <w:ilvl w:val="0"/>
          <w:numId w:val="4"/>
        </w:numPr>
      </w:pPr>
      <w:r>
        <w:rPr>
          <w:rFonts w:ascii="Figtree" w:hAnsi="Figtree"/>
          <w:b w:val="0"/>
          <w:i w:val="0"/>
          <w:sz w:val="22"/>
        </w:rPr>
        <w:t>Core banking integration patterns (deposit lifecycle)</w:t>
      </w:r>
    </w:p>
    <w:p>
      <w:pPr>
        <w:pStyle w:val="ListParagraph"/>
        <w:numPr>
          <w:ilvl w:val="0"/>
          <w:numId w:val="4"/>
        </w:numPr>
      </w:pPr>
      <w:r>
        <w:rPr>
          <w:rFonts w:ascii="Figtree" w:hAnsi="Figtree"/>
          <w:b w:val="0"/>
          <w:i w:val="0"/>
          <w:sz w:val="22"/>
        </w:rPr>
        <w:t>Trade finance workflow integration (milestone events)</w:t>
      </w:r>
    </w:p>
    <w:p>
      <w:pPr>
        <w:pStyle w:val="ListParagraph"/>
        <w:numPr>
          <w:ilvl w:val="0"/>
          <w:numId w:val="4"/>
        </w:numPr>
      </w:pPr>
      <w:r>
        <w:rPr>
          <w:rFonts w:ascii="Figtree" w:hAnsi="Figtree"/>
          <w:b w:val="0"/>
          <w:i w:val="0"/>
          <w:sz w:val="22"/>
        </w:rPr>
        <w:t>Identity management integration (KYC claim feeds)</w:t>
      </w:r>
    </w:p>
    <w:p>
      <w:pPr>
        <w:pStyle w:val="ListParagraph"/>
        <w:numPr>
          <w:ilvl w:val="0"/>
          <w:numId w:val="4"/>
        </w:numPr>
      </w:pPr>
      <w:r>
        <w:rPr>
          <w:rFonts w:ascii="Figtree" w:hAnsi="Figtree"/>
          <w:b w:val="0"/>
          <w:i w:val="0"/>
          <w:sz w:val="22"/>
        </w:rPr>
        <w:t>Error handling and retry strategies</w:t>
      </w:r>
    </w:p>
    <w:p>
      <w:pPr>
        <w:pStyle w:val="ListParagraph"/>
        <w:numPr>
          <w:ilvl w:val="0"/>
          <w:numId w:val="4"/>
        </w:numPr>
      </w:pPr>
      <w:r>
        <w:rPr>
          <w:rFonts w:ascii="Figtree" w:hAnsi="Figtree"/>
          <w:b w:val="0"/>
          <w:i w:val="0"/>
          <w:sz w:val="22"/>
        </w:rPr>
        <w:t>Lab: Build end-to-end integration for a deposit lifecycle scenario</w:t>
      </w:r>
    </w:p>
    <w:p>
      <w:pPr>
        <w:pStyle w:val="H4"/>
        <w:numPr>
          <w:ilvl w:val="3"/>
          <w:numId w:val="1"/>
        </w:numPr>
      </w:pPr>
      <w:r>
        <w:t>Operations Track (2 Days)</w:t>
      </w:r>
    </w:p>
    <w:p>
      <w:r>
        <w:rPr>
          <w:rFonts w:ascii="Figtree" w:hAnsi="Figtree"/>
          <w:b/>
          <w:i w:val="0"/>
          <w:sz w:val="22"/>
        </w:rPr>
        <w:t>Day 1: Day-to-Day Operations</w:t>
      </w:r>
    </w:p>
    <w:p>
      <w:pPr>
        <w:pStyle w:val="ListParagraph"/>
        <w:numPr>
          <w:ilvl w:val="0"/>
          <w:numId w:val="4"/>
        </w:numPr>
      </w:pPr>
      <w:r>
        <w:rPr>
          <w:rFonts w:ascii="Figtree" w:hAnsi="Figtree"/>
          <w:b w:val="0"/>
          <w:i w:val="0"/>
          <w:sz w:val="22"/>
        </w:rPr>
        <w:t>Deposit operations (creation, distribution, monitoring, maturity processing)</w:t>
      </w:r>
    </w:p>
    <w:p>
      <w:pPr>
        <w:pStyle w:val="ListParagraph"/>
        <w:numPr>
          <w:ilvl w:val="0"/>
          <w:numId w:val="4"/>
        </w:numPr>
      </w:pPr>
      <w:r>
        <w:rPr>
          <w:rFonts w:ascii="Figtree" w:hAnsi="Figtree"/>
          <w:b w:val="0"/>
          <w:i w:val="0"/>
          <w:sz w:val="22"/>
        </w:rPr>
        <w:t>Trade finance workflow management (document handling, milestone tracking)</w:t>
      </w:r>
    </w:p>
    <w:p>
      <w:pPr>
        <w:pStyle w:val="ListParagraph"/>
        <w:numPr>
          <w:ilvl w:val="0"/>
          <w:numId w:val="4"/>
        </w:numPr>
      </w:pPr>
      <w:r>
        <w:rPr>
          <w:rFonts w:ascii="Figtree" w:hAnsi="Figtree"/>
          <w:b w:val="0"/>
          <w:i w:val="0"/>
          <w:sz w:val="22"/>
        </w:rPr>
        <w:t>Settlement monitoring and exception handling</w:t>
      </w:r>
    </w:p>
    <w:p>
      <w:pPr>
        <w:pStyle w:val="ListParagraph"/>
        <w:numPr>
          <w:ilvl w:val="0"/>
          <w:numId w:val="4"/>
        </w:numPr>
      </w:pPr>
      <w:r>
        <w:rPr>
          <w:rFonts w:ascii="Figtree" w:hAnsi="Figtree"/>
          <w:b w:val="0"/>
          <w:i w:val="0"/>
          <w:sz w:val="22"/>
        </w:rPr>
        <w:t>Compliance event review and resolution</w:t>
      </w:r>
    </w:p>
    <w:p>
      <w:pPr>
        <w:pStyle w:val="ListParagraph"/>
        <w:numPr>
          <w:ilvl w:val="0"/>
          <w:numId w:val="4"/>
        </w:numPr>
      </w:pPr>
      <w:r>
        <w:rPr>
          <w:rFonts w:ascii="Figtree" w:hAnsi="Figtree"/>
          <w:b w:val="0"/>
          <w:i w:val="0"/>
          <w:sz w:val="22"/>
        </w:rPr>
        <w:t>Lab: Process deposit lifecycle scenarios; manage trade finance milestones</w:t>
      </w:r>
    </w:p>
    <w:p>
      <w:r>
        <w:rPr>
          <w:rFonts w:ascii="Figtree" w:hAnsi="Figtree"/>
          <w:b/>
          <w:i w:val="0"/>
          <w:sz w:val="22"/>
        </w:rPr>
        <w:t>Day 2: Reporting and Audit</w:t>
      </w:r>
    </w:p>
    <w:p>
      <w:pPr>
        <w:pStyle w:val="ListParagraph"/>
        <w:numPr>
          <w:ilvl w:val="0"/>
          <w:numId w:val="4"/>
        </w:numPr>
      </w:pPr>
      <w:r>
        <w:rPr>
          <w:rFonts w:ascii="Figtree" w:hAnsi="Figtree"/>
          <w:b w:val="0"/>
          <w:i w:val="0"/>
          <w:sz w:val="22"/>
        </w:rPr>
        <w:t>Regulatory reporting workflows</w:t>
      </w:r>
    </w:p>
    <w:p>
      <w:pPr>
        <w:pStyle w:val="ListParagraph"/>
        <w:numPr>
          <w:ilvl w:val="0"/>
          <w:numId w:val="4"/>
        </w:numPr>
      </w:pPr>
      <w:r>
        <w:rPr>
          <w:rFonts w:ascii="Figtree" w:hAnsi="Figtree"/>
          <w:b w:val="0"/>
          <w:i w:val="0"/>
          <w:sz w:val="22"/>
        </w:rPr>
        <w:t>Audit evidence extraction (GraphQL queries)</w:t>
      </w:r>
    </w:p>
    <w:p>
      <w:pPr>
        <w:pStyle w:val="ListParagraph"/>
        <w:numPr>
          <w:ilvl w:val="0"/>
          <w:numId w:val="4"/>
        </w:numPr>
      </w:pPr>
      <w:r>
        <w:rPr>
          <w:rFonts w:ascii="Figtree" w:hAnsi="Figtree"/>
          <w:b w:val="0"/>
          <w:i w:val="0"/>
          <w:sz w:val="22"/>
        </w:rPr>
        <w:t>Reconciliation procedures (core banking sync)</w:t>
      </w:r>
    </w:p>
    <w:p>
      <w:pPr>
        <w:pStyle w:val="ListParagraph"/>
        <w:numPr>
          <w:ilvl w:val="0"/>
          <w:numId w:val="4"/>
        </w:numPr>
      </w:pPr>
      <w:r>
        <w:rPr>
          <w:rFonts w:ascii="Figtree" w:hAnsi="Figtree"/>
          <w:b w:val="0"/>
          <w:i w:val="0"/>
          <w:sz w:val="22"/>
        </w:rPr>
        <w:t>Exception reporting and escalation</w:t>
      </w:r>
    </w:p>
    <w:p>
      <w:pPr>
        <w:pStyle w:val="ListParagraph"/>
        <w:numPr>
          <w:ilvl w:val="0"/>
          <w:numId w:val="4"/>
        </w:numPr>
      </w:pPr>
      <w:r>
        <w:rPr>
          <w:rFonts w:ascii="Figtree" w:hAnsi="Figtree"/>
          <w:b w:val="0"/>
          <w:i w:val="0"/>
          <w:sz w:val="22"/>
        </w:rPr>
        <w:t>Lab: Generate regulatory reports; extract audit evidence for a sample period</w:t>
      </w:r>
    </w:p>
    <w:p>
      <w:pPr>
        <w:pStyle w:val="H4"/>
        <w:numPr>
          <w:ilvl w:val="3"/>
          <w:numId w:val="1"/>
        </w:numPr>
      </w:pPr>
      <w:r>
        <w:t>Knowledge Transfer Outcomes</w:t>
      </w:r>
    </w:p>
    <w:p>
      <w:r>
        <w:rPr>
          <w:rFonts w:ascii="Figtree" w:hAnsi="Figtree"/>
          <w:b w:val="0"/>
          <w:i w:val="0"/>
          <w:sz w:val="22"/>
        </w:rPr>
        <w:t>At the completion of the training programme, Emirates NBD teams should be able to:</w:t>
      </w:r>
    </w:p>
    <w:p>
      <w:pPr>
        <w:pStyle w:val="ListParagraph"/>
        <w:numPr>
          <w:ilvl w:val="0"/>
          <w:numId w:val="24"/>
        </w:numPr>
      </w:pPr>
      <w:r>
        <w:rPr>
          <w:rFonts w:ascii="Figtree" w:hAnsi="Figtree"/>
          <w:b w:val="0"/>
          <w:i w:val="0"/>
          <w:sz w:val="22"/>
        </w:rPr>
        <w:t>Independently configure and deploy new deposit products through the Asset Designer</w:t>
      </w:r>
    </w:p>
    <w:p>
      <w:pPr>
        <w:pStyle w:val="ListParagraph"/>
        <w:numPr>
          <w:ilvl w:val="0"/>
          <w:numId w:val="24"/>
        </w:numPr>
      </w:pPr>
      <w:r>
        <w:rPr>
          <w:rFonts w:ascii="Figtree" w:hAnsi="Figtree"/>
          <w:b w:val="0"/>
          <w:i w:val="0"/>
          <w:sz w:val="22"/>
        </w:rPr>
        <w:t>Manage compliance modules (add, modify, remove) for existing products</w:t>
      </w:r>
    </w:p>
    <w:p>
      <w:pPr>
        <w:pStyle w:val="ListParagraph"/>
        <w:numPr>
          <w:ilvl w:val="0"/>
          <w:numId w:val="24"/>
        </w:numPr>
      </w:pPr>
      <w:r>
        <w:rPr>
          <w:rFonts w:ascii="Figtree" w:hAnsi="Figtree"/>
          <w:b w:val="0"/>
          <w:i w:val="0"/>
          <w:sz w:val="22"/>
        </w:rPr>
        <w:t>Process trade finance workflows from initiation through settlement</w:t>
      </w:r>
    </w:p>
    <w:p>
      <w:pPr>
        <w:pStyle w:val="ListParagraph"/>
        <w:numPr>
          <w:ilvl w:val="0"/>
          <w:numId w:val="24"/>
        </w:numPr>
      </w:pPr>
      <w:r>
        <w:rPr>
          <w:rFonts w:ascii="Figtree" w:hAnsi="Figtree"/>
          <w:b w:val="0"/>
          <w:i w:val="0"/>
          <w:sz w:val="22"/>
        </w:rPr>
        <w:t>Monitor platform health and respond to operational alerts</w:t>
      </w:r>
    </w:p>
    <w:p>
      <w:pPr>
        <w:pStyle w:val="ListParagraph"/>
        <w:numPr>
          <w:ilvl w:val="0"/>
          <w:numId w:val="24"/>
        </w:numPr>
      </w:pPr>
      <w:r>
        <w:rPr>
          <w:rFonts w:ascii="Figtree" w:hAnsi="Figtree"/>
          <w:b w:val="0"/>
          <w:i w:val="0"/>
          <w:sz w:val="22"/>
        </w:rPr>
        <w:t>Extract audit evidence and generate regulatory reports</w:t>
      </w:r>
    </w:p>
    <w:p>
      <w:pPr>
        <w:pStyle w:val="ListParagraph"/>
        <w:numPr>
          <w:ilvl w:val="0"/>
          <w:numId w:val="24"/>
        </w:numPr>
      </w:pPr>
      <w:r>
        <w:rPr>
          <w:rFonts w:ascii="Figtree" w:hAnsi="Figtree"/>
          <w:b w:val="0"/>
          <w:i w:val="0"/>
          <w:sz w:val="22"/>
        </w:rPr>
        <w:t>Integrate new downstream systems using the REST API and SDK</w:t>
      </w:r>
    </w:p>
    <w:p>
      <w:pPr>
        <w:pStyle w:val="ListParagraph"/>
        <w:numPr>
          <w:ilvl w:val="0"/>
          <w:numId w:val="24"/>
        </w:numPr>
      </w:pPr>
      <w:r>
        <w:rPr>
          <w:rFonts w:ascii="Figtree" w:hAnsi="Figtree"/>
          <w:b w:val="0"/>
          <w:i w:val="0"/>
          <w:sz w:val="22"/>
        </w:rPr>
        <w:t>Troubleshoot common operational issues using runbooks and CLI tools</w:t>
      </w:r>
    </w:p>
    <w:p>
      <w:pPr>
        <w:pStyle w:val="ListParagraph"/>
        <w:numPr>
          <w:ilvl w:val="0"/>
          <w:numId w:val="24"/>
        </w:numPr>
      </w:pPr>
      <w:r>
        <w:rPr>
          <w:rFonts w:ascii="Figtree" w:hAnsi="Figtree"/>
          <w:b w:val="0"/>
          <w:i w:val="0"/>
          <w:sz w:val="22"/>
        </w:rPr>
        <w:t>Perform routine maintenance operations (user management, key rotation, backup verification)</w:t>
      </w:r>
    </w:p>
    <w:p>
      <w:pPr>
        <w:pStyle w:val="H3"/>
        <w:numPr>
          <w:ilvl w:val="2"/>
          <w:numId w:val="1"/>
        </w:numPr>
      </w:pPr>
      <w:r>
        <w:t>Appendix: Extended Risk Analysis</w:t>
      </w:r>
    </w:p>
    <w:p>
      <w:pPr>
        <w:pStyle w:val="H4"/>
        <w:numPr>
          <w:ilvl w:val="3"/>
          <w:numId w:val="1"/>
        </w:numPr>
      </w:pPr>
      <w:r>
        <w:t>Risk Assessment Methodology</w:t>
      </w:r>
    </w:p>
    <w:p>
      <w:r>
        <w:rPr>
          <w:rFonts w:ascii="Figtree" w:hAnsi="Figtree"/>
          <w:b w:val="0"/>
          <w:i w:val="0"/>
          <w:sz w:val="22"/>
        </w:rPr>
        <w:t>Risks are assessed on a 5-point scale for both likelihood and impact: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Level</w:t>
            </w:r>
          </w:p>
        </w:tc>
        <w:tc>
          <w:tcPr>
            <w:tcW w:type="dxa" w:w="3249"/>
            <w:vAlign w:val="center"/>
            <w:shd w:fill="000099" w:val="clear"/>
          </w:tcPr>
          <w:p>
            <w:r>
              <w:rPr>
                <w:b/>
                <w:color w:val="FFFFFF"/>
              </w:rPr>
            </w:r>
            <w:r>
              <w:rPr>
                <w:rFonts w:ascii="Figtree" w:hAnsi="Figtree"/>
                <w:b/>
                <w:i w:val="0"/>
                <w:color w:val="FFFFFF"/>
                <w:sz w:val="22"/>
              </w:rPr>
              <w:t>Likelihood</w:t>
            </w:r>
          </w:p>
        </w:tc>
        <w:tc>
          <w:tcPr>
            <w:tcW w:type="dxa" w:w="3249"/>
            <w:vAlign w:val="center"/>
            <w:shd w:fill="000099" w:val="clear"/>
          </w:tcPr>
          <w:p>
            <w:r>
              <w:rPr>
                <w:b/>
                <w:color w:val="FFFFFF"/>
              </w:rPr>
            </w:r>
            <w:r>
              <w:rPr>
                <w:rFonts w:ascii="Figtree" w:hAnsi="Figtree"/>
                <w:b/>
                <w:i w:val="0"/>
                <w:color w:val="FFFFFF"/>
                <w:sz w:val="22"/>
              </w:rPr>
              <w:t>Impact</w:t>
            </w:r>
          </w:p>
        </w:tc>
      </w:tr>
      <w:tr>
        <w:trPr>
          <w:trHeight w:val="454" w:hRule="atLeast"/>
        </w:trPr>
        <w:tc>
          <w:tcPr>
            <w:tcW w:type="dxa" w:w="3249"/>
            <w:vAlign w:val="center"/>
          </w:tcPr>
          <w:p>
            <w:r/>
            <w:r>
              <w:rPr>
                <w:rFonts w:ascii="Figtree" w:hAnsi="Figtree"/>
                <w:b w:val="0"/>
                <w:i w:val="0"/>
                <w:sz w:val="22"/>
              </w:rPr>
              <w:t>1</w:t>
            </w:r>
          </w:p>
        </w:tc>
        <w:tc>
          <w:tcPr>
            <w:tcW w:type="dxa" w:w="3249"/>
            <w:vAlign w:val="center"/>
          </w:tcPr>
          <w:p>
            <w:r/>
            <w:r>
              <w:rPr>
                <w:rFonts w:ascii="Figtree" w:hAnsi="Figtree"/>
                <w:b w:val="0"/>
                <w:i w:val="0"/>
                <w:sz w:val="22"/>
              </w:rPr>
              <w:t>Rare (&lt; 5%)</w:t>
            </w:r>
          </w:p>
        </w:tc>
        <w:tc>
          <w:tcPr>
            <w:tcW w:type="dxa" w:w="3249"/>
            <w:vAlign w:val="center"/>
          </w:tcPr>
          <w:p>
            <w:r/>
            <w:r>
              <w:rPr>
                <w:rFonts w:ascii="Figtree" w:hAnsi="Figtree"/>
                <w:b w:val="0"/>
                <w:i w:val="0"/>
                <w:sz w:val="22"/>
              </w:rPr>
              <w:t>Negligible</w:t>
            </w:r>
          </w:p>
        </w:tc>
      </w:tr>
      <w:tr>
        <w:trPr>
          <w:trHeight w:val="454" w:hRule="atLeast"/>
        </w:trPr>
        <w:tc>
          <w:tcPr>
            <w:tcW w:type="dxa" w:w="3249"/>
            <w:vAlign w:val="center"/>
          </w:tcPr>
          <w:p>
            <w:r/>
            <w:r>
              <w:rPr>
                <w:rFonts w:ascii="Figtree" w:hAnsi="Figtree"/>
                <w:b w:val="0"/>
                <w:i w:val="0"/>
                <w:sz w:val="22"/>
              </w:rPr>
              <w:t>2</w:t>
            </w:r>
          </w:p>
        </w:tc>
        <w:tc>
          <w:tcPr>
            <w:tcW w:type="dxa" w:w="3249"/>
            <w:vAlign w:val="center"/>
          </w:tcPr>
          <w:p>
            <w:r/>
            <w:r>
              <w:rPr>
                <w:rFonts w:ascii="Figtree" w:hAnsi="Figtree"/>
                <w:b w:val="0"/>
                <w:i w:val="0"/>
                <w:sz w:val="22"/>
              </w:rPr>
              <w:t>Unlikely (5–20%)</w:t>
            </w:r>
          </w:p>
        </w:tc>
        <w:tc>
          <w:tcPr>
            <w:tcW w:type="dxa" w:w="3249"/>
            <w:vAlign w:val="center"/>
          </w:tcPr>
          <w:p>
            <w:r/>
            <w:r>
              <w:rPr>
                <w:rFonts w:ascii="Figtree" w:hAnsi="Figtree"/>
                <w:b w:val="0"/>
                <w:i w:val="0"/>
                <w:sz w:val="22"/>
              </w:rPr>
              <w:t>Minor delay</w:t>
            </w:r>
          </w:p>
        </w:tc>
      </w:tr>
      <w:tr>
        <w:trPr>
          <w:trHeight w:val="454" w:hRule="atLeast"/>
        </w:trPr>
        <w:tc>
          <w:tcPr>
            <w:tcW w:type="dxa" w:w="3249"/>
            <w:vAlign w:val="center"/>
          </w:tcPr>
          <w:p>
            <w:r/>
            <w:r>
              <w:rPr>
                <w:rFonts w:ascii="Figtree" w:hAnsi="Figtree"/>
                <w:b w:val="0"/>
                <w:i w:val="0"/>
                <w:sz w:val="22"/>
              </w:rPr>
              <w:t>3</w:t>
            </w:r>
          </w:p>
        </w:tc>
        <w:tc>
          <w:tcPr>
            <w:tcW w:type="dxa" w:w="3249"/>
            <w:vAlign w:val="center"/>
          </w:tcPr>
          <w:p>
            <w:r/>
            <w:r>
              <w:rPr>
                <w:rFonts w:ascii="Figtree" w:hAnsi="Figtree"/>
                <w:b w:val="0"/>
                <w:i w:val="0"/>
                <w:sz w:val="22"/>
              </w:rPr>
              <w:t>Possible (20–50%)</w:t>
            </w:r>
          </w:p>
        </w:tc>
        <w:tc>
          <w:tcPr>
            <w:tcW w:type="dxa" w:w="3249"/>
            <w:vAlign w:val="center"/>
          </w:tcPr>
          <w:p>
            <w:r/>
            <w:r>
              <w:rPr>
                <w:rFonts w:ascii="Figtree" w:hAnsi="Figtree"/>
                <w:b w:val="0"/>
                <w:i w:val="0"/>
                <w:sz w:val="22"/>
              </w:rPr>
              <w:t>Moderate delay or workaround needed</w:t>
            </w:r>
          </w:p>
        </w:tc>
      </w:tr>
      <w:tr>
        <w:trPr>
          <w:trHeight w:val="454" w:hRule="atLeast"/>
        </w:trPr>
        <w:tc>
          <w:tcPr>
            <w:tcW w:type="dxa" w:w="3249"/>
            <w:vAlign w:val="center"/>
          </w:tcPr>
          <w:p>
            <w:r/>
            <w:r>
              <w:rPr>
                <w:rFonts w:ascii="Figtree" w:hAnsi="Figtree"/>
                <w:b w:val="0"/>
                <w:i w:val="0"/>
                <w:sz w:val="22"/>
              </w:rPr>
              <w:t>4</w:t>
            </w:r>
          </w:p>
        </w:tc>
        <w:tc>
          <w:tcPr>
            <w:tcW w:type="dxa" w:w="3249"/>
            <w:vAlign w:val="center"/>
          </w:tcPr>
          <w:p>
            <w:r/>
            <w:r>
              <w:rPr>
                <w:rFonts w:ascii="Figtree" w:hAnsi="Figtree"/>
                <w:b w:val="0"/>
                <w:i w:val="0"/>
                <w:sz w:val="22"/>
              </w:rPr>
              <w:t>Likely (50–80%)</w:t>
            </w:r>
          </w:p>
        </w:tc>
        <w:tc>
          <w:tcPr>
            <w:tcW w:type="dxa" w:w="3249"/>
            <w:vAlign w:val="center"/>
          </w:tcPr>
          <w:p>
            <w:r/>
            <w:r>
              <w:rPr>
                <w:rFonts w:ascii="Figtree" w:hAnsi="Figtree"/>
                <w:b w:val="0"/>
                <w:i w:val="0"/>
                <w:sz w:val="22"/>
              </w:rPr>
              <w:t>Significant delay or scope reduction</w:t>
            </w:r>
          </w:p>
        </w:tc>
      </w:tr>
      <w:tr>
        <w:trPr>
          <w:trHeight w:val="454" w:hRule="atLeast"/>
        </w:trPr>
        <w:tc>
          <w:tcPr>
            <w:tcW w:type="dxa" w:w="3249"/>
            <w:vAlign w:val="center"/>
          </w:tcPr>
          <w:p>
            <w:r/>
            <w:r>
              <w:rPr>
                <w:rFonts w:ascii="Figtree" w:hAnsi="Figtree"/>
                <w:b w:val="0"/>
                <w:i w:val="0"/>
                <w:sz w:val="22"/>
              </w:rPr>
              <w:t>5</w:t>
            </w:r>
          </w:p>
        </w:tc>
        <w:tc>
          <w:tcPr>
            <w:tcW w:type="dxa" w:w="3249"/>
            <w:vAlign w:val="center"/>
          </w:tcPr>
          <w:p>
            <w:r/>
            <w:r>
              <w:rPr>
                <w:rFonts w:ascii="Figtree" w:hAnsi="Figtree"/>
                <w:b w:val="0"/>
                <w:i w:val="0"/>
                <w:sz w:val="22"/>
              </w:rPr>
              <w:t>Almost certain (&gt; 80%)</w:t>
            </w:r>
          </w:p>
        </w:tc>
        <w:tc>
          <w:tcPr>
            <w:tcW w:type="dxa" w:w="3249"/>
            <w:vAlign w:val="center"/>
          </w:tcPr>
          <w:p>
            <w:r/>
            <w:r>
              <w:rPr>
                <w:rFonts w:ascii="Figtree" w:hAnsi="Figtree"/>
                <w:b w:val="0"/>
                <w:i w:val="0"/>
                <w:sz w:val="22"/>
              </w:rPr>
              <w:t>Programme failure risk</w:t>
            </w:r>
          </w:p>
        </w:tc>
      </w:tr>
    </w:tbl>
    <w:p>
      <w:pPr>
        <w:pStyle w:val="H4"/>
        <w:numPr>
          <w:ilvl w:val="3"/>
          <w:numId w:val="1"/>
        </w:numPr>
      </w:pPr>
      <w:r>
        <w:t>Extended Risk Register</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rHeight w:val="624" w:hRule="atLeast"/>
        </w:trPr>
        <w:tc>
          <w:tcPr>
            <w:tcW w:type="dxa" w:w="1218"/>
            <w:vAlign w:val="center"/>
            <w:shd w:fill="000099" w:val="clear"/>
          </w:tcPr>
          <w:p>
            <w:r>
              <w:rPr>
                <w:b/>
                <w:color w:val="FFFFFF"/>
              </w:rPr>
            </w:r>
            <w:r>
              <w:rPr>
                <w:rFonts w:ascii="Figtree" w:hAnsi="Figtree"/>
                <w:b/>
                <w:i w:val="0"/>
                <w:color w:val="FFFFFF"/>
                <w:sz w:val="22"/>
              </w:rPr>
              <w:t>ID</w:t>
            </w:r>
          </w:p>
        </w:tc>
        <w:tc>
          <w:tcPr>
            <w:tcW w:type="dxa" w:w="1218"/>
            <w:vAlign w:val="center"/>
            <w:shd w:fill="000099" w:val="clear"/>
          </w:tcPr>
          <w:p>
            <w:r>
              <w:rPr>
                <w:b/>
                <w:color w:val="FFFFFF"/>
              </w:rPr>
            </w:r>
            <w:r>
              <w:rPr>
                <w:rFonts w:ascii="Figtree" w:hAnsi="Figtree"/>
                <w:b/>
                <w:i w:val="0"/>
                <w:color w:val="FFFFFF"/>
                <w:sz w:val="22"/>
              </w:rPr>
              <w:t>Risk</w:t>
            </w:r>
          </w:p>
        </w:tc>
        <w:tc>
          <w:tcPr>
            <w:tcW w:type="dxa" w:w="1218"/>
            <w:vAlign w:val="center"/>
            <w:shd w:fill="000099" w:val="clear"/>
          </w:tcPr>
          <w:p>
            <w:r>
              <w:rPr>
                <w:b/>
                <w:color w:val="FFFFFF"/>
              </w:rPr>
            </w:r>
            <w:r>
              <w:rPr>
                <w:rFonts w:ascii="Figtree" w:hAnsi="Figtree"/>
                <w:b/>
                <w:i w:val="0"/>
                <w:color w:val="FFFFFF"/>
                <w:sz w:val="22"/>
              </w:rPr>
              <w:t>L</w:t>
            </w:r>
          </w:p>
        </w:tc>
        <w:tc>
          <w:tcPr>
            <w:tcW w:type="dxa" w:w="1218"/>
            <w:vAlign w:val="center"/>
            <w:shd w:fill="000099" w:val="clear"/>
          </w:tcPr>
          <w:p>
            <w:r>
              <w:rPr>
                <w:b/>
                <w:color w:val="FFFFFF"/>
              </w:rPr>
            </w:r>
            <w:r>
              <w:rPr>
                <w:rFonts w:ascii="Figtree" w:hAnsi="Figtree"/>
                <w:b/>
                <w:i w:val="0"/>
                <w:color w:val="FFFFFF"/>
                <w:sz w:val="22"/>
              </w:rPr>
              <w:t>I</w:t>
            </w:r>
          </w:p>
        </w:tc>
        <w:tc>
          <w:tcPr>
            <w:tcW w:type="dxa" w:w="1218"/>
            <w:vAlign w:val="center"/>
            <w:shd w:fill="000099" w:val="clear"/>
          </w:tcPr>
          <w:p>
            <w:r>
              <w:rPr>
                <w:b/>
                <w:color w:val="FFFFFF"/>
              </w:rPr>
            </w:r>
            <w:r>
              <w:rPr>
                <w:rFonts w:ascii="Figtree" w:hAnsi="Figtree"/>
                <w:b/>
                <w:i w:val="0"/>
                <w:color w:val="FFFFFF"/>
                <w:sz w:val="22"/>
              </w:rPr>
              <w:t>Score</w:t>
            </w:r>
          </w:p>
        </w:tc>
        <w:tc>
          <w:tcPr>
            <w:tcW w:type="dxa" w:w="1218"/>
            <w:vAlign w:val="center"/>
            <w:shd w:fill="000099" w:val="clear"/>
          </w:tcPr>
          <w:p>
            <w:r>
              <w:rPr>
                <w:b/>
                <w:color w:val="FFFFFF"/>
              </w:rPr>
            </w:r>
            <w:r>
              <w:rPr>
                <w:rFonts w:ascii="Figtree" w:hAnsi="Figtree"/>
                <w:b/>
                <w:i w:val="0"/>
                <w:color w:val="FFFFFF"/>
                <w:sz w:val="22"/>
              </w:rPr>
              <w:t>Mitigation</w:t>
            </w:r>
          </w:p>
        </w:tc>
        <w:tc>
          <w:tcPr>
            <w:tcW w:type="dxa" w:w="1218"/>
            <w:vAlign w:val="center"/>
            <w:shd w:fill="000099" w:val="clear"/>
          </w:tcPr>
          <w:p>
            <w:r>
              <w:rPr>
                <w:b/>
                <w:color w:val="FFFFFF"/>
              </w:rPr>
            </w:r>
            <w:r>
              <w:rPr>
                <w:rFonts w:ascii="Figtree" w:hAnsi="Figtree"/>
                <w:b/>
                <w:i w:val="0"/>
                <w:color w:val="FFFFFF"/>
                <w:sz w:val="22"/>
              </w:rPr>
              <w:t>Owner</w:t>
            </w:r>
          </w:p>
        </w:tc>
        <w:tc>
          <w:tcPr>
            <w:tcW w:type="dxa" w:w="1218"/>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1218"/>
            <w:vAlign w:val="center"/>
          </w:tcPr>
          <w:p>
            <w:r/>
            <w:r>
              <w:rPr>
                <w:rFonts w:ascii="Figtree" w:hAnsi="Figtree"/>
                <w:b w:val="0"/>
                <w:i w:val="0"/>
                <w:sz w:val="22"/>
              </w:rPr>
              <w:t>R1</w:t>
            </w:r>
          </w:p>
        </w:tc>
        <w:tc>
          <w:tcPr>
            <w:tcW w:type="dxa" w:w="1218"/>
            <w:vAlign w:val="center"/>
          </w:tcPr>
          <w:p>
            <w:r/>
            <w:r>
              <w:rPr>
                <w:rFonts w:ascii="Figtree" w:hAnsi="Figtree"/>
                <w:b w:val="0"/>
                <w:i w:val="0"/>
                <w:sz w:val="22"/>
              </w:rPr>
              <w:t>CBUAE regulatory changes during implementation</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4</w:t>
            </w:r>
          </w:p>
        </w:tc>
        <w:tc>
          <w:tcPr>
            <w:tcW w:type="dxa" w:w="1218"/>
            <w:vAlign w:val="center"/>
          </w:tcPr>
          <w:p>
            <w:r/>
            <w:r>
              <w:rPr>
                <w:rFonts w:ascii="Figtree" w:hAnsi="Figtree"/>
                <w:b w:val="0"/>
                <w:i w:val="0"/>
                <w:sz w:val="22"/>
              </w:rPr>
              <w:t>12</w:t>
            </w:r>
          </w:p>
        </w:tc>
        <w:tc>
          <w:tcPr>
            <w:tcW w:type="dxa" w:w="1218"/>
            <w:vAlign w:val="center"/>
          </w:tcPr>
          <w:p>
            <w:r/>
            <w:r>
              <w:rPr>
                <w:rFonts w:ascii="Figtree" w:hAnsi="Figtree"/>
                <w:b w:val="0"/>
                <w:i w:val="0"/>
                <w:sz w:val="22"/>
              </w:rPr>
              <w:t>Configurable compliance modules; quarterly regulatory review; modular architecture allows policy updates without redeployment</w:t>
            </w:r>
          </w:p>
        </w:tc>
        <w:tc>
          <w:tcPr>
            <w:tcW w:type="dxa" w:w="1218"/>
            <w:vAlign w:val="center"/>
          </w:tcPr>
          <w:p>
            <w:r/>
            <w:r>
              <w:rPr>
                <w:rFonts w:ascii="Figtree" w:hAnsi="Figtree"/>
                <w:b w:val="0"/>
                <w:i w:val="0"/>
                <w:sz w:val="22"/>
              </w:rPr>
              <w:t>Joint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R2</w:t>
            </w:r>
          </w:p>
        </w:tc>
        <w:tc>
          <w:tcPr>
            <w:tcW w:type="dxa" w:w="1218"/>
            <w:vAlign w:val="center"/>
          </w:tcPr>
          <w:p>
            <w:r/>
            <w:r>
              <w:rPr>
                <w:rFonts w:ascii="Figtree" w:hAnsi="Figtree"/>
                <w:b w:val="0"/>
                <w:i w:val="0"/>
                <w:sz w:val="22"/>
              </w:rPr>
              <w:t>Core banking API specification unavailable at Phase 2</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4</w:t>
            </w:r>
          </w:p>
        </w:tc>
        <w:tc>
          <w:tcPr>
            <w:tcW w:type="dxa" w:w="1218"/>
            <w:vAlign w:val="center"/>
          </w:tcPr>
          <w:p>
            <w:r/>
            <w:r>
              <w:rPr>
                <w:rFonts w:ascii="Figtree" w:hAnsi="Figtree"/>
                <w:b w:val="0"/>
                <w:i w:val="0"/>
                <w:sz w:val="22"/>
              </w:rPr>
              <w:t>12</w:t>
            </w:r>
          </w:p>
        </w:tc>
        <w:tc>
          <w:tcPr>
            <w:tcW w:type="dxa" w:w="1218"/>
            <w:vAlign w:val="center"/>
          </w:tcPr>
          <w:p>
            <w:r/>
            <w:r>
              <w:rPr>
                <w:rFonts w:ascii="Figtree" w:hAnsi="Figtree"/>
                <w:b w:val="0"/>
                <w:i w:val="0"/>
                <w:sz w:val="22"/>
              </w:rPr>
              <w:t>Early engagement (Phase 1); mock API for parallel development; API specification workshop in Week 2</w:t>
            </w:r>
          </w:p>
        </w:tc>
        <w:tc>
          <w:tcPr>
            <w:tcW w:type="dxa" w:w="1218"/>
            <w:vAlign w:val="center"/>
          </w:tcPr>
          <w:p>
            <w:r/>
            <w:r>
              <w:rPr>
                <w:rFonts w:ascii="Figtree" w:hAnsi="Figtree"/>
                <w:b w:val="0"/>
                <w:i w:val="0"/>
                <w:sz w:val="22"/>
              </w:rPr>
              <w:t>Emirates NBD</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R3</w:t>
            </w:r>
          </w:p>
        </w:tc>
        <w:tc>
          <w:tcPr>
            <w:tcW w:type="dxa" w:w="1218"/>
            <w:vAlign w:val="center"/>
          </w:tcPr>
          <w:p>
            <w:r/>
            <w:r>
              <w:rPr>
                <w:rFonts w:ascii="Figtree" w:hAnsi="Figtree"/>
                <w:b w:val="0"/>
                <w:i w:val="0"/>
                <w:sz w:val="22"/>
              </w:rPr>
              <w:t>Trade finance back-office integration complexity exceeds estimates</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9</w:t>
            </w:r>
          </w:p>
        </w:tc>
        <w:tc>
          <w:tcPr>
            <w:tcW w:type="dxa" w:w="1218"/>
            <w:vAlign w:val="center"/>
          </w:tcPr>
          <w:p>
            <w:r/>
            <w:r>
              <w:rPr>
                <w:rFonts w:ascii="Figtree" w:hAnsi="Figtree"/>
                <w:b w:val="0"/>
                <w:i w:val="0"/>
                <w:sz w:val="22"/>
              </w:rPr>
              <w:t>Deep discovery in Phase 1; integration specialist allocation; modular integration approach allowing incremental delivery</w:t>
            </w:r>
          </w:p>
        </w:tc>
        <w:tc>
          <w:tcPr>
            <w:tcW w:type="dxa" w:w="1218"/>
            <w:vAlign w:val="center"/>
          </w:tcPr>
          <w:p>
            <w:r/>
            <w:r>
              <w:rPr>
                <w:rFonts w:ascii="Figtree" w:hAnsi="Figtree"/>
                <w:b w:val="0"/>
                <w:i w:val="0"/>
                <w:sz w:val="22"/>
              </w:rPr>
              <w:t>SettleMint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R4</w:t>
            </w:r>
          </w:p>
        </w:tc>
        <w:tc>
          <w:tcPr>
            <w:tcW w:type="dxa" w:w="1218"/>
            <w:vAlign w:val="center"/>
          </w:tcPr>
          <w:p>
            <w:r/>
            <w:r>
              <w:rPr>
                <w:rFonts w:ascii="Figtree" w:hAnsi="Figtree"/>
                <w:b w:val="0"/>
                <w:i w:val="0"/>
                <w:sz w:val="22"/>
              </w:rPr>
              <w:t>Custody provider (DFNS/Fireblocks) onboarding delay</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4</w:t>
            </w:r>
          </w:p>
        </w:tc>
        <w:tc>
          <w:tcPr>
            <w:tcW w:type="dxa" w:w="1218"/>
            <w:vAlign w:val="center"/>
          </w:tcPr>
          <w:p>
            <w:r/>
            <w:r>
              <w:rPr>
                <w:rFonts w:ascii="Figtree" w:hAnsi="Figtree"/>
                <w:b w:val="0"/>
                <w:i w:val="0"/>
                <w:sz w:val="22"/>
              </w:rPr>
              <w:t>8</w:t>
            </w:r>
          </w:p>
        </w:tc>
        <w:tc>
          <w:tcPr>
            <w:tcW w:type="dxa" w:w="1218"/>
            <w:vAlign w:val="center"/>
          </w:tcPr>
          <w:p>
            <w:r/>
            <w:r>
              <w:rPr>
                <w:rFonts w:ascii="Figtree" w:hAnsi="Figtree"/>
                <w:b w:val="0"/>
                <w:i w:val="0"/>
                <w:sz w:val="22"/>
              </w:rPr>
              <w:t>Early engagement during Phase 1; platform signer fallback for testing environments; parallel custody integration track</w:t>
            </w:r>
          </w:p>
        </w:tc>
        <w:tc>
          <w:tcPr>
            <w:tcW w:type="dxa" w:w="1218"/>
            <w:vAlign w:val="center"/>
          </w:tcPr>
          <w:p>
            <w:r/>
            <w:r>
              <w:rPr>
                <w:rFonts w:ascii="Figtree" w:hAnsi="Figtree"/>
                <w:b w:val="0"/>
                <w:i w:val="0"/>
                <w:sz w:val="22"/>
              </w:rPr>
              <w:t>Joint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R5</w:t>
            </w:r>
          </w:p>
        </w:tc>
        <w:tc>
          <w:tcPr>
            <w:tcW w:type="dxa" w:w="1218"/>
            <w:vAlign w:val="center"/>
          </w:tcPr>
          <w:p>
            <w:r/>
            <w:r>
              <w:rPr>
                <w:rFonts w:ascii="Figtree" w:hAnsi="Figtree"/>
                <w:b w:val="0"/>
                <w:i w:val="0"/>
                <w:sz w:val="22"/>
              </w:rPr>
              <w:t>Emirates NBD security review extends beyond Phase 4 timeline</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9</w:t>
            </w:r>
          </w:p>
        </w:tc>
        <w:tc>
          <w:tcPr>
            <w:tcW w:type="dxa" w:w="1218"/>
            <w:vAlign w:val="center"/>
          </w:tcPr>
          <w:p>
            <w:r/>
            <w:r>
              <w:rPr>
                <w:rFonts w:ascii="Figtree" w:hAnsi="Figtree"/>
                <w:b w:val="0"/>
                <w:i w:val="0"/>
                <w:sz w:val="22"/>
              </w:rPr>
              <w:t>Pre-engagement with InfoSec during Phase 1; incremental security testing during Phases 2–3; pre-share audit reports and certifications</w:t>
            </w:r>
          </w:p>
        </w:tc>
        <w:tc>
          <w:tcPr>
            <w:tcW w:type="dxa" w:w="1218"/>
            <w:vAlign w:val="center"/>
          </w:tcPr>
          <w:p>
            <w:r/>
            <w:r>
              <w:rPr>
                <w:rFonts w:ascii="Figtree" w:hAnsi="Figtree"/>
                <w:b w:val="0"/>
                <w:i w:val="0"/>
                <w:sz w:val="22"/>
              </w:rPr>
              <w:t>Joint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R6</w:t>
            </w:r>
          </w:p>
        </w:tc>
        <w:tc>
          <w:tcPr>
            <w:tcW w:type="dxa" w:w="1218"/>
            <w:vAlign w:val="center"/>
          </w:tcPr>
          <w:p>
            <w:r/>
            <w:r>
              <w:rPr>
                <w:rFonts w:ascii="Figtree" w:hAnsi="Figtree"/>
                <w:b w:val="0"/>
                <w:i w:val="0"/>
                <w:sz w:val="22"/>
              </w:rPr>
              <w:t>UAE cloud infrastructure provisioning delay</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6</w:t>
            </w:r>
          </w:p>
        </w:tc>
        <w:tc>
          <w:tcPr>
            <w:tcW w:type="dxa" w:w="1218"/>
            <w:vAlign w:val="center"/>
          </w:tcPr>
          <w:p>
            <w:r/>
            <w:r>
              <w:rPr>
                <w:rFonts w:ascii="Figtree" w:hAnsi="Figtree"/>
                <w:b w:val="0"/>
                <w:i w:val="0"/>
                <w:sz w:val="22"/>
              </w:rPr>
              <w:t>Pre-provisioned capacity; infrastructure-as-code enabling rapid redeployment; multi-region fallback option</w:t>
            </w:r>
          </w:p>
        </w:tc>
        <w:tc>
          <w:tcPr>
            <w:tcW w:type="dxa" w:w="1218"/>
            <w:vAlign w:val="center"/>
          </w:tcPr>
          <w:p>
            <w:r/>
            <w:r>
              <w:rPr>
                <w:rFonts w:ascii="Figtree" w:hAnsi="Figtree"/>
                <w:b w:val="0"/>
                <w:i w:val="0"/>
                <w:sz w:val="22"/>
              </w:rPr>
              <w:t>SettleMint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R7</w:t>
            </w:r>
          </w:p>
        </w:tc>
        <w:tc>
          <w:tcPr>
            <w:tcW w:type="dxa" w:w="1218"/>
            <w:vAlign w:val="center"/>
          </w:tcPr>
          <w:p>
            <w:r/>
            <w:r>
              <w:rPr>
                <w:rFonts w:ascii="Figtree" w:hAnsi="Figtree"/>
                <w:b w:val="0"/>
                <w:i w:val="0"/>
                <w:sz w:val="22"/>
              </w:rPr>
              <w:t>Emirates NBD resource availability for UAT</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9</w:t>
            </w:r>
          </w:p>
        </w:tc>
        <w:tc>
          <w:tcPr>
            <w:tcW w:type="dxa" w:w="1218"/>
            <w:vAlign w:val="center"/>
          </w:tcPr>
          <w:p>
            <w:r/>
            <w:r>
              <w:rPr>
                <w:rFonts w:ascii="Figtree" w:hAnsi="Figtree"/>
                <w:b w:val="0"/>
                <w:i w:val="0"/>
                <w:sz w:val="22"/>
              </w:rPr>
              <w:t>Clear effort estimates communicated upfront; UAT test scripts provided by SettleMint; flexible UAT scheduling</w:t>
            </w:r>
          </w:p>
        </w:tc>
        <w:tc>
          <w:tcPr>
            <w:tcW w:type="dxa" w:w="1218"/>
            <w:vAlign w:val="center"/>
          </w:tcPr>
          <w:p>
            <w:r/>
            <w:r>
              <w:rPr>
                <w:rFonts w:ascii="Figtree" w:hAnsi="Figtree"/>
                <w:b w:val="0"/>
                <w:i w:val="0"/>
                <w:sz w:val="22"/>
              </w:rPr>
              <w:t>Emirates NBD</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R8</w:t>
            </w:r>
          </w:p>
        </w:tc>
        <w:tc>
          <w:tcPr>
            <w:tcW w:type="dxa" w:w="1218"/>
            <w:vAlign w:val="center"/>
          </w:tcPr>
          <w:p>
            <w:r/>
            <w:r>
              <w:rPr>
                <w:rFonts w:ascii="Figtree" w:hAnsi="Figtree"/>
                <w:b w:val="0"/>
                <w:i w:val="0"/>
                <w:sz w:val="22"/>
              </w:rPr>
              <w:t>SWIFT ISO 20022 native support timing uncertainty</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4</w:t>
            </w:r>
          </w:p>
        </w:tc>
        <w:tc>
          <w:tcPr>
            <w:tcW w:type="dxa" w:w="1218"/>
            <w:vAlign w:val="center"/>
          </w:tcPr>
          <w:p>
            <w:r/>
            <w:r>
              <w:rPr>
                <w:rFonts w:ascii="Figtree" w:hAnsi="Figtree"/>
                <w:b w:val="0"/>
                <w:i w:val="0"/>
                <w:sz w:val="22"/>
              </w:rPr>
              <w:t>Middleware translation layer available and proven at two existing clients; native support target Q3 2026 is not a dependency for go-live</w:t>
            </w:r>
          </w:p>
        </w:tc>
        <w:tc>
          <w:tcPr>
            <w:tcW w:type="dxa" w:w="1218"/>
            <w:vAlign w:val="center"/>
          </w:tcPr>
          <w:p>
            <w:r/>
            <w:r>
              <w:rPr>
                <w:rFonts w:ascii="Figtree" w:hAnsi="Figtree"/>
                <w:b w:val="0"/>
                <w:i w:val="0"/>
                <w:sz w:val="22"/>
              </w:rPr>
              <w:t>SettleMint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R9</w:t>
            </w:r>
          </w:p>
        </w:tc>
        <w:tc>
          <w:tcPr>
            <w:tcW w:type="dxa" w:w="1218"/>
            <w:vAlign w:val="center"/>
          </w:tcPr>
          <w:p>
            <w:r/>
            <w:r>
              <w:rPr>
                <w:rFonts w:ascii="Figtree" w:hAnsi="Figtree"/>
                <w:b w:val="0"/>
                <w:i w:val="0"/>
                <w:sz w:val="22"/>
              </w:rPr>
              <w:t>Multi-party trade finance counterparty onboarding delay</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9</w:t>
            </w:r>
          </w:p>
        </w:tc>
        <w:tc>
          <w:tcPr>
            <w:tcW w:type="dxa" w:w="1218"/>
            <w:vAlign w:val="center"/>
          </w:tcPr>
          <w:p>
            <w:r/>
            <w:r>
              <w:rPr>
                <w:rFonts w:ascii="Figtree" w:hAnsi="Figtree"/>
                <w:b w:val="0"/>
                <w:i w:val="0"/>
                <w:sz w:val="22"/>
              </w:rPr>
              <w:t>Phased onboarding approach; initial launch with a subset of counterparties; dedicated onboarding support during hypercare</w:t>
            </w:r>
          </w:p>
        </w:tc>
        <w:tc>
          <w:tcPr>
            <w:tcW w:type="dxa" w:w="1218"/>
            <w:vAlign w:val="center"/>
          </w:tcPr>
          <w:p>
            <w:r/>
            <w:r>
              <w:rPr>
                <w:rFonts w:ascii="Figtree" w:hAnsi="Figtree"/>
                <w:b w:val="0"/>
                <w:i w:val="0"/>
                <w:sz w:val="22"/>
              </w:rPr>
              <w:t>Joint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R10</w:t>
            </w:r>
          </w:p>
        </w:tc>
        <w:tc>
          <w:tcPr>
            <w:tcW w:type="dxa" w:w="1218"/>
            <w:vAlign w:val="center"/>
          </w:tcPr>
          <w:p>
            <w:r/>
            <w:r>
              <w:rPr>
                <w:rFonts w:ascii="Figtree" w:hAnsi="Figtree"/>
                <w:b w:val="0"/>
                <w:i w:val="0"/>
                <w:sz w:val="22"/>
              </w:rPr>
              <w:t>Exchange rate feed reliability for multi-currency deposits</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6</w:t>
            </w:r>
          </w:p>
        </w:tc>
        <w:tc>
          <w:tcPr>
            <w:tcW w:type="dxa" w:w="1218"/>
            <w:vAlign w:val="center"/>
          </w:tcPr>
          <w:p>
            <w:r/>
            <w:r>
              <w:rPr>
                <w:rFonts w:ascii="Figtree" w:hAnsi="Figtree"/>
                <w:b w:val="0"/>
                <w:i w:val="0"/>
                <w:sz w:val="22"/>
              </w:rPr>
              <w:t>Configurable feed sources with failover; staleness thresholds with alerting; manual override capability for operations</w:t>
            </w:r>
          </w:p>
        </w:tc>
        <w:tc>
          <w:tcPr>
            <w:tcW w:type="dxa" w:w="1218"/>
            <w:vAlign w:val="center"/>
          </w:tcPr>
          <w:p>
            <w:r/>
            <w:r>
              <w:rPr>
                <w:rFonts w:ascii="Figtree" w:hAnsi="Figtree"/>
                <w:b w:val="0"/>
                <w:i w:val="0"/>
                <w:sz w:val="22"/>
              </w:rPr>
              <w:t>SettleMint</w:t>
            </w:r>
          </w:p>
        </w:tc>
        <w:tc>
          <w:tcPr>
            <w:tcW w:type="dxa" w:w="1218"/>
            <w:vAlign w:val="center"/>
          </w:tcPr>
          <w:p>
            <w:r/>
            <w:r>
              <w:rPr>
                <w:rFonts w:ascii="Figtree" w:hAnsi="Figtree"/>
                <w:b w:val="0"/>
                <w:i w:val="0"/>
                <w:sz w:val="22"/>
              </w:rPr>
              <w:t>Open</w:t>
            </w:r>
          </w:p>
        </w:tc>
      </w:tr>
    </w:tbl>
    <w:p>
      <w:pPr>
        <w:pStyle w:val="H4"/>
        <w:numPr>
          <w:ilvl w:val="3"/>
          <w:numId w:val="1"/>
        </w:numPr>
      </w:pPr>
      <w:r>
        <w:t>Risk Monitoring and Governance</w:t>
      </w:r>
    </w:p>
    <w:p>
      <w:r>
        <w:rPr>
          <w:rFonts w:ascii="Figtree" w:hAnsi="Figtree"/>
          <w:b w:val="0"/>
          <w:i w:val="0"/>
          <w:sz w:val="22"/>
        </w:rPr>
        <w:t>Risks are reviewed at three levels:</w:t>
      </w:r>
    </w:p>
    <w:p>
      <w:pPr>
        <w:pStyle w:val="ListParagraph"/>
        <w:numPr>
          <w:ilvl w:val="0"/>
          <w:numId w:val="25"/>
        </w:numPr>
      </w:pPr>
      <w:r>
        <w:rPr>
          <w:rFonts w:ascii="Figtree" w:hAnsi="Figtree"/>
          <w:b/>
          <w:i w:val="0"/>
          <w:sz w:val="22"/>
        </w:rPr>
        <w:t>Weekly:</w:t>
      </w:r>
      <w:r>
        <w:rPr>
          <w:rFonts w:ascii="Figtree" w:hAnsi="Figtree"/>
          <w:b w:val="0"/>
          <w:i w:val="0"/>
          <w:sz w:val="22"/>
        </w:rPr>
        <w:t xml:space="preserve"> Delivery team reviews RAID register, updates risk status, identifies new risks</w:t>
      </w:r>
    </w:p>
    <w:p>
      <w:pPr>
        <w:pStyle w:val="ListParagraph"/>
        <w:numPr>
          <w:ilvl w:val="0"/>
          <w:numId w:val="25"/>
        </w:numPr>
      </w:pPr>
      <w:r>
        <w:rPr>
          <w:rFonts w:ascii="Figtree" w:hAnsi="Figtree"/>
          <w:b/>
          <w:i w:val="0"/>
          <w:sz w:val="22"/>
        </w:rPr>
        <w:t>Bi-weekly:</w:t>
      </w:r>
      <w:r>
        <w:rPr>
          <w:rFonts w:ascii="Figtree" w:hAnsi="Figtree"/>
          <w:b w:val="0"/>
          <w:i w:val="0"/>
          <w:sz w:val="22"/>
        </w:rPr>
        <w:t xml:space="preserve"> Steering committee reviews top risks, approves mitigations, makes escalation decisions</w:t>
      </w:r>
    </w:p>
    <w:p>
      <w:pPr>
        <w:pStyle w:val="ListParagraph"/>
        <w:numPr>
          <w:ilvl w:val="0"/>
          <w:numId w:val="25"/>
        </w:numPr>
      </w:pPr>
      <w:r>
        <w:rPr>
          <w:rFonts w:ascii="Figtree" w:hAnsi="Figtree"/>
          <w:b/>
          <w:i w:val="0"/>
          <w:sz w:val="22"/>
        </w:rPr>
        <w:t>Gate reviews:</w:t>
      </w:r>
      <w:r>
        <w:rPr>
          <w:rFonts w:ascii="Figtree" w:hAnsi="Figtree"/>
          <w:b w:val="0"/>
          <w:i w:val="0"/>
          <w:sz w:val="22"/>
        </w:rPr>
        <w:t xml:space="preserve"> Comprehensive risk assessment as part of phase gate criteria; unresolved high-impact risks may block phase progression</w:t>
      </w:r>
    </w:p>
    <w:p>
      <w:pPr>
        <w:pStyle w:val="H3"/>
        <w:numPr>
          <w:ilvl w:val="2"/>
          <w:numId w:val="1"/>
        </w:numPr>
      </w:pPr>
      <w:r>
        <w:t>Appendix: Competitive Positioning</w:t>
      </w:r>
    </w:p>
    <w:p>
      <w:r>
        <w:rPr>
          <w:rFonts w:ascii="Figtree" w:hAnsi="Figtree"/>
          <w:b w:val="0"/>
          <w:i w:val="0"/>
          <w:sz w:val="22"/>
        </w:rPr>
        <w:t>DALP's competitive positioning for Emirates NBD's evaluation: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Evaluation Dimension</w:t>
            </w:r>
          </w:p>
        </w:tc>
        <w:tc>
          <w:tcPr>
            <w:tcW w:type="dxa" w:w="3249"/>
            <w:vAlign w:val="center"/>
            <w:shd w:fill="000099" w:val="clear"/>
          </w:tcPr>
          <w:p>
            <w:r>
              <w:rPr>
                <w:b/>
                <w:color w:val="FFFFFF"/>
              </w:rPr>
            </w:r>
            <w:r>
              <w:rPr>
                <w:rFonts w:ascii="Figtree" w:hAnsi="Figtree"/>
                <w:b/>
                <w:i w:val="0"/>
                <w:color w:val="FFFFFF"/>
                <w:sz w:val="22"/>
              </w:rPr>
              <w:t>DALP Advantage</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Time to production</w:t>
            </w:r>
          </w:p>
        </w:tc>
        <w:tc>
          <w:tcPr>
            <w:tcW w:type="dxa" w:w="3249"/>
            <w:vAlign w:val="center"/>
          </w:tcPr>
          <w:p>
            <w:r/>
            <w:r>
              <w:rPr>
                <w:rFonts w:ascii="Figtree" w:hAnsi="Figtree"/>
                <w:b w:val="0"/>
                <w:i w:val="0"/>
                <w:sz w:val="22"/>
              </w:rPr>
              <w:t>19 weeks (proven methodology)</w:t>
            </w:r>
          </w:p>
        </w:tc>
        <w:tc>
          <w:tcPr>
            <w:tcW w:type="dxa" w:w="3249"/>
            <w:vAlign w:val="center"/>
          </w:tcPr>
          <w:p>
            <w:r/>
            <w:r>
              <w:rPr>
                <w:rFonts w:ascii="Figtree" w:hAnsi="Figtree"/>
                <w:b w:val="0"/>
                <w:i w:val="0"/>
                <w:sz w:val="22"/>
              </w:rPr>
              <w:t>14 reference deployments across similar institutional contexts</w:t>
            </w:r>
          </w:p>
        </w:tc>
      </w:tr>
      <w:tr>
        <w:trPr>
          <w:trHeight w:val="454" w:hRule="atLeast"/>
        </w:trPr>
        <w:tc>
          <w:tcPr>
            <w:tcW w:type="dxa" w:w="3249"/>
            <w:vAlign w:val="center"/>
          </w:tcPr>
          <w:p>
            <w:r/>
            <w:r>
              <w:rPr>
                <w:rFonts w:ascii="Figtree" w:hAnsi="Figtree"/>
                <w:b w:val="0"/>
                <w:i w:val="0"/>
                <w:sz w:val="22"/>
              </w:rPr>
              <w:t>Compliance depth</w:t>
            </w:r>
          </w:p>
        </w:tc>
        <w:tc>
          <w:tcPr>
            <w:tcW w:type="dxa" w:w="3249"/>
            <w:vAlign w:val="center"/>
          </w:tcPr>
          <w:p>
            <w:r/>
            <w:r>
              <w:rPr>
                <w:rFonts w:ascii="Figtree" w:hAnsi="Figtree"/>
                <w:b w:val="0"/>
                <w:i w:val="0"/>
                <w:sz w:val="22"/>
              </w:rPr>
              <w:t>18 on-chain modules, ex-ante enforcement</w:t>
            </w:r>
          </w:p>
        </w:tc>
        <w:tc>
          <w:tcPr>
            <w:tcW w:type="dxa" w:w="3249"/>
            <w:vAlign w:val="center"/>
          </w:tcPr>
          <w:p>
            <w:r/>
            <w:r>
              <w:rPr>
                <w:rFonts w:ascii="Figtree" w:hAnsi="Figtree"/>
                <w:b w:val="0"/>
                <w:i w:val="0"/>
                <w:sz w:val="22"/>
              </w:rPr>
              <w:t>No competitor offers equivalent on-chain compliance granularity</w:t>
            </w:r>
          </w:p>
        </w:tc>
      </w:tr>
      <w:tr>
        <w:trPr>
          <w:trHeight w:val="454" w:hRule="atLeast"/>
        </w:trPr>
        <w:tc>
          <w:tcPr>
            <w:tcW w:type="dxa" w:w="3249"/>
            <w:vAlign w:val="center"/>
          </w:tcPr>
          <w:p>
            <w:r/>
            <w:r>
              <w:rPr>
                <w:rFonts w:ascii="Figtree" w:hAnsi="Figtree"/>
                <w:b w:val="0"/>
                <w:i w:val="0"/>
                <w:sz w:val="22"/>
              </w:rPr>
              <w:t>Settlement performance</w:t>
            </w:r>
          </w:p>
        </w:tc>
        <w:tc>
          <w:tcPr>
            <w:tcW w:type="dxa" w:w="3249"/>
            <w:vAlign w:val="center"/>
          </w:tcPr>
          <w:p>
            <w:r/>
            <w:r>
              <w:rPr>
                <w:rFonts w:ascii="Figtree" w:hAnsi="Figtree"/>
                <w:b w:val="0"/>
                <w:i w:val="0"/>
                <w:sz w:val="22"/>
              </w:rPr>
              <w:t>Atomic DvP, under 3 seconds</w:t>
            </w:r>
          </w:p>
        </w:tc>
        <w:tc>
          <w:tcPr>
            <w:tcW w:type="dxa" w:w="3249"/>
            <w:vAlign w:val="center"/>
          </w:tcPr>
          <w:p>
            <w:r/>
            <w:r>
              <w:rPr>
                <w:rFonts w:ascii="Figtree" w:hAnsi="Figtree"/>
                <w:b w:val="0"/>
                <w:i w:val="0"/>
                <w:sz w:val="22"/>
              </w:rPr>
              <w:t>Commerzbank production: settlement under 10 seconds on exchange</w:t>
            </w:r>
          </w:p>
        </w:tc>
      </w:tr>
      <w:tr>
        <w:trPr>
          <w:trHeight w:val="454" w:hRule="atLeast"/>
        </w:trPr>
        <w:tc>
          <w:tcPr>
            <w:tcW w:type="dxa" w:w="3249"/>
            <w:vAlign w:val="center"/>
          </w:tcPr>
          <w:p>
            <w:r/>
            <w:r>
              <w:rPr>
                <w:rFonts w:ascii="Figtree" w:hAnsi="Figtree"/>
                <w:b w:val="0"/>
                <w:i w:val="0"/>
                <w:sz w:val="22"/>
              </w:rPr>
              <w:t>Licensing economics</w:t>
            </w:r>
          </w:p>
        </w:tc>
        <w:tc>
          <w:tcPr>
            <w:tcW w:type="dxa" w:w="3249"/>
            <w:vAlign w:val="center"/>
          </w:tcPr>
          <w:p>
            <w:r/>
            <w:r>
              <w:rPr>
                <w:rFonts w:ascii="Figtree" w:hAnsi="Figtree"/>
                <w:b w:val="0"/>
                <w:i w:val="0"/>
                <w:sz w:val="22"/>
              </w:rPr>
              <w:t>No per-transaction fees</w:t>
            </w:r>
          </w:p>
        </w:tc>
        <w:tc>
          <w:tcPr>
            <w:tcW w:type="dxa" w:w="3249"/>
            <w:vAlign w:val="center"/>
          </w:tcPr>
          <w:p>
            <w:r/>
            <w:r>
              <w:rPr>
                <w:rFonts w:ascii="Figtree" w:hAnsi="Figtree"/>
                <w:b w:val="0"/>
                <w:i w:val="0"/>
                <w:sz w:val="22"/>
              </w:rPr>
              <w:t>Scale without cost anxiety; Commerzbank projected EUR 7M/year savings</w:t>
            </w:r>
          </w:p>
        </w:tc>
      </w:tr>
      <w:tr>
        <w:trPr>
          <w:trHeight w:val="454" w:hRule="atLeast"/>
        </w:trPr>
        <w:tc>
          <w:tcPr>
            <w:tcW w:type="dxa" w:w="3249"/>
            <w:vAlign w:val="center"/>
          </w:tcPr>
          <w:p>
            <w:r/>
            <w:r>
              <w:rPr>
                <w:rFonts w:ascii="Figtree" w:hAnsi="Figtree"/>
                <w:b w:val="0"/>
                <w:i w:val="0"/>
                <w:sz w:val="22"/>
              </w:rPr>
              <w:t>UAE market relevance</w:t>
            </w:r>
          </w:p>
        </w:tc>
        <w:tc>
          <w:tcPr>
            <w:tcW w:type="dxa" w:w="3249"/>
            <w:vAlign w:val="center"/>
          </w:tcPr>
          <w:p>
            <w:r/>
            <w:r>
              <w:rPr>
                <w:rFonts w:ascii="Figtree" w:hAnsi="Figtree"/>
                <w:b w:val="0"/>
                <w:i w:val="0"/>
                <w:sz w:val="22"/>
              </w:rPr>
              <w:t>Active Gulf programs (Saudi RER, ADI Finstreet)</w:t>
            </w:r>
          </w:p>
        </w:tc>
        <w:tc>
          <w:tcPr>
            <w:tcW w:type="dxa" w:w="3249"/>
            <w:vAlign w:val="center"/>
          </w:tcPr>
          <w:p>
            <w:r/>
            <w:r>
              <w:rPr>
                <w:rFonts w:ascii="Figtree" w:hAnsi="Figtree"/>
                <w:b w:val="0"/>
                <w:i w:val="0"/>
                <w:sz w:val="22"/>
              </w:rPr>
              <w:t>Regional presence with sovereign-scale deployments</w:t>
            </w:r>
          </w:p>
        </w:tc>
      </w:tr>
      <w:tr>
        <w:trPr>
          <w:trHeight w:val="454" w:hRule="atLeast"/>
        </w:trPr>
        <w:tc>
          <w:tcPr>
            <w:tcW w:type="dxa" w:w="3249"/>
            <w:vAlign w:val="center"/>
          </w:tcPr>
          <w:p>
            <w:r/>
            <w:r>
              <w:rPr>
                <w:rFonts w:ascii="Figtree" w:hAnsi="Figtree"/>
                <w:b w:val="0"/>
                <w:i w:val="0"/>
                <w:sz w:val="22"/>
              </w:rPr>
              <w:t>Trade finance capability</w:t>
            </w:r>
          </w:p>
        </w:tc>
        <w:tc>
          <w:tcPr>
            <w:tcW w:type="dxa" w:w="3249"/>
            <w:vAlign w:val="center"/>
          </w:tcPr>
          <w:p>
            <w:r/>
            <w:r>
              <w:rPr>
                <w:rFonts w:ascii="Figtree" w:hAnsi="Figtree"/>
                <w:b w:val="0"/>
                <w:i w:val="0"/>
                <w:sz w:val="22"/>
              </w:rPr>
              <w:t>Durable workflows, multi-party approvals</w:t>
            </w:r>
          </w:p>
        </w:tc>
        <w:tc>
          <w:tcPr>
            <w:tcW w:type="dxa" w:w="3249"/>
            <w:vAlign w:val="center"/>
          </w:tcPr>
          <w:p>
            <w:r/>
            <w:r>
              <w:rPr>
                <w:rFonts w:ascii="Figtree" w:hAnsi="Figtree"/>
                <w:b w:val="0"/>
                <w:i w:val="0"/>
                <w:sz w:val="22"/>
              </w:rPr>
              <w:t>RBI Innovation Hub: multi-bank LC processing in production</w:t>
            </w:r>
          </w:p>
        </w:tc>
      </w:tr>
      <w:tr>
        <w:trPr>
          <w:trHeight w:val="454" w:hRule="atLeast"/>
        </w:trPr>
        <w:tc>
          <w:tcPr>
            <w:tcW w:type="dxa" w:w="3249"/>
            <w:vAlign w:val="center"/>
          </w:tcPr>
          <w:p>
            <w:r/>
            <w:r>
              <w:rPr>
                <w:rFonts w:ascii="Figtree" w:hAnsi="Figtree"/>
                <w:b w:val="0"/>
                <w:i w:val="0"/>
                <w:sz w:val="22"/>
              </w:rPr>
              <w:t>Identity architecture</w:t>
            </w:r>
          </w:p>
        </w:tc>
        <w:tc>
          <w:tcPr>
            <w:tcW w:type="dxa" w:w="3249"/>
            <w:vAlign w:val="center"/>
          </w:tcPr>
          <w:p>
            <w:r/>
            <w:r>
              <w:rPr>
                <w:rFonts w:ascii="Figtree" w:hAnsi="Figtree"/>
                <w:b w:val="0"/>
                <w:i w:val="0"/>
                <w:sz w:val="22"/>
              </w:rPr>
              <w:t>On-chain, verifiable, claims-based</w:t>
            </w:r>
          </w:p>
        </w:tc>
        <w:tc>
          <w:tcPr>
            <w:tcW w:type="dxa" w:w="3249"/>
            <w:vAlign w:val="center"/>
          </w:tcPr>
          <w:p>
            <w:r/>
            <w:r>
              <w:rPr>
                <w:rFonts w:ascii="Figtree" w:hAnsi="Figtree"/>
                <w:b w:val="0"/>
                <w:i w:val="0"/>
                <w:sz w:val="22"/>
              </w:rPr>
              <w:t>OnchainID (ERC-734/735) with enterprise identity provider integration</w:t>
            </w:r>
          </w:p>
        </w:tc>
      </w:tr>
      <w:tr>
        <w:trPr>
          <w:trHeight w:val="454" w:hRule="atLeast"/>
        </w:trPr>
        <w:tc>
          <w:tcPr>
            <w:tcW w:type="dxa" w:w="3249"/>
            <w:vAlign w:val="center"/>
          </w:tcPr>
          <w:p>
            <w:r/>
            <w:r>
              <w:rPr>
                <w:rFonts w:ascii="Figtree" w:hAnsi="Figtree"/>
                <w:b w:val="0"/>
                <w:i w:val="0"/>
                <w:sz w:val="22"/>
              </w:rPr>
              <w:t>Custody flexibility</w:t>
            </w:r>
          </w:p>
        </w:tc>
        <w:tc>
          <w:tcPr>
            <w:tcW w:type="dxa" w:w="3249"/>
            <w:vAlign w:val="center"/>
          </w:tcPr>
          <w:p>
            <w:r/>
            <w:r>
              <w:rPr>
                <w:rFonts w:ascii="Figtree" w:hAnsi="Figtree"/>
                <w:b w:val="0"/>
                <w:i w:val="0"/>
                <w:sz w:val="22"/>
              </w:rPr>
              <w:t>Bring-your-own (DFNS, Fireblocks)</w:t>
            </w:r>
          </w:p>
        </w:tc>
        <w:tc>
          <w:tcPr>
            <w:tcW w:type="dxa" w:w="3249"/>
            <w:vAlign w:val="center"/>
          </w:tcPr>
          <w:p>
            <w:r/>
            <w:r>
              <w:rPr>
                <w:rFonts w:ascii="Figtree" w:hAnsi="Figtree"/>
                <w:b w:val="0"/>
                <w:i w:val="0"/>
                <w:sz w:val="22"/>
              </w:rPr>
              <w:t>No vendor lock-in for custody infrastructure</w:t>
            </w:r>
          </w:p>
        </w:tc>
      </w:tr>
      <w:tr>
        <w:trPr>
          <w:trHeight w:val="454" w:hRule="atLeast"/>
        </w:trPr>
        <w:tc>
          <w:tcPr>
            <w:tcW w:type="dxa" w:w="3249"/>
            <w:vAlign w:val="center"/>
          </w:tcPr>
          <w:p>
            <w:r/>
            <w:r>
              <w:rPr>
                <w:rFonts w:ascii="Figtree" w:hAnsi="Figtree"/>
                <w:b w:val="0"/>
                <w:i w:val="0"/>
                <w:sz w:val="22"/>
              </w:rPr>
              <w:t>Upgrade capability</w:t>
            </w:r>
          </w:p>
        </w:tc>
        <w:tc>
          <w:tcPr>
            <w:tcW w:type="dxa" w:w="3249"/>
            <w:vAlign w:val="center"/>
          </w:tcPr>
          <w:p>
            <w:r/>
            <w:r>
              <w:rPr>
                <w:rFonts w:ascii="Figtree" w:hAnsi="Figtree"/>
                <w:b w:val="0"/>
                <w:i w:val="0"/>
                <w:sz w:val="22"/>
              </w:rPr>
              <w:t>Runtime reconfiguration (DALPAsset)</w:t>
            </w:r>
          </w:p>
        </w:tc>
        <w:tc>
          <w:tcPr>
            <w:tcW w:type="dxa" w:w="3249"/>
            <w:vAlign w:val="center"/>
          </w:tcPr>
          <w:p>
            <w:r/>
            <w:r>
              <w:rPr>
                <w:rFonts w:ascii="Figtree" w:hAnsi="Figtree"/>
                <w:b w:val="0"/>
                <w:i w:val="0"/>
                <w:sz w:val="22"/>
              </w:rPr>
              <w:t>Features and compliance modules changed without redeployment</w:t>
            </w:r>
          </w:p>
        </w:tc>
      </w:tr>
      <w:tr>
        <w:trPr>
          <w:trHeight w:val="454" w:hRule="atLeast"/>
        </w:trPr>
        <w:tc>
          <w:tcPr>
            <w:tcW w:type="dxa" w:w="3249"/>
            <w:vAlign w:val="center"/>
          </w:tcPr>
          <w:p>
            <w:r/>
            <w:r>
              <w:rPr>
                <w:rFonts w:ascii="Figtree" w:hAnsi="Figtree"/>
                <w:b w:val="0"/>
                <w:i w:val="0"/>
                <w:sz w:val="22"/>
              </w:rPr>
              <w:t>Regulatory adaptability</w:t>
            </w:r>
          </w:p>
        </w:tc>
        <w:tc>
          <w:tcPr>
            <w:tcW w:type="dxa" w:w="3249"/>
            <w:vAlign w:val="center"/>
          </w:tcPr>
          <w:p>
            <w:r/>
            <w:r>
              <w:rPr>
                <w:rFonts w:ascii="Figtree" w:hAnsi="Figtree"/>
                <w:b w:val="0"/>
                <w:i w:val="0"/>
                <w:sz w:val="22"/>
              </w:rPr>
              <w:t>Configurable per-token compliance</w:t>
            </w:r>
          </w:p>
        </w:tc>
        <w:tc>
          <w:tcPr>
            <w:tcW w:type="dxa" w:w="3249"/>
            <w:vAlign w:val="center"/>
          </w:tcPr>
          <w:p>
            <w:r/>
            <w:r>
              <w:rPr>
                <w:rFonts w:ascii="Figtree" w:hAnsi="Figtree"/>
                <w:b w:val="0"/>
                <w:i w:val="0"/>
                <w:sz w:val="22"/>
              </w:rPr>
              <w:t>Different regulatory configurations for CBUAE, DFSA, ADGM scopes</w:t>
            </w:r>
          </w:p>
        </w:tc>
      </w:tr>
    </w:tbl>
    <w:p>
      <w:r>
        <w:rPr>
          <w:rFonts w:ascii="Figtree" w:hAnsi="Figtree"/>
          <w:b w:val="0"/>
          <w:i w:val="0"/>
          <w:sz w:val="22"/>
        </w:rPr>
        <w:t>Unlike platforms that require Emirates NBD to choose a blockchain network before designing asset structures, DALP inverts this: the bank defines asset lifecycle rules in business and regulatory terms, then deploys to the chosen network. This means Emirates NBD can begin structuring tokenized deposits while infrastructure decisions are finalized, without risking a re-architecture if the network selection changes.</w:t>
      </w:r>
    </w:p>
    <w:p>
      <w:r>
        <w:rPr>
          <w:rFonts w:ascii="Figtree" w:hAnsi="Figtree"/>
          <w:b w:val="0"/>
          <w:i w:val="0"/>
          <w:sz w:val="22"/>
        </w:rPr>
        <w:t>Most digital asset platforms treat compliance as an application-layer concern — checking rules after transaction submission and relying on manual intervention when violations are detected. DALP embeds compliance enforcement at the smart contract level, where rules are evaluated before state changes execute. This is a structural difference that eliminates the window between transaction submission and compliance review that creates regulatory risk in alternative approaches.</w:t>
      </w:r>
    </w:p>
    <w:p>
      <w:pPr>
        <w:pStyle w:val="H3"/>
        <w:numPr>
          <w:ilvl w:val="2"/>
          <w:numId w:val="1"/>
        </w:numPr>
      </w:pPr>
      <w:r>
        <w:t>Appendix A: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 — SettleMint's production-grade platform</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 Adaptable Regulated Token — ERC-3643 implementation</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 supporting runtime feature and compliance changes</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 for verifiable claims</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Exchange versus Payment — atomic settlement addon</w:t>
            </w:r>
          </w:p>
        </w:tc>
      </w:tr>
      <w:tr>
        <w:trPr>
          <w:trHeight w:val="454" w:hRule="atLeast"/>
        </w:trPr>
        <w:tc>
          <w:tcPr>
            <w:tcW w:type="dxa" w:w="4873"/>
            <w:vAlign w:val="center"/>
          </w:tcPr>
          <w:p>
            <w:r/>
            <w:r>
              <w:rPr>
                <w:rFonts w:ascii="Figtree" w:hAnsi="Figtree"/>
                <w:b w:val="0"/>
                <w:i w:val="0"/>
                <w:sz w:val="22"/>
              </w:rPr>
              <w:t>DAPI</w:t>
            </w:r>
          </w:p>
        </w:tc>
        <w:tc>
          <w:tcPr>
            <w:tcW w:type="dxa" w:w="4873"/>
            <w:vAlign w:val="center"/>
          </w:tcPr>
          <w:p>
            <w:r/>
            <w:r>
              <w:rPr>
                <w:rFonts w:ascii="Figtree" w:hAnsi="Figtree"/>
                <w:b w:val="0"/>
                <w:i w:val="0"/>
                <w:sz w:val="22"/>
              </w:rPr>
              <w:t>Durable API Service — DALP's unified API layer</w:t>
            </w:r>
          </w:p>
        </w:tc>
      </w:tr>
      <w:tr>
        <w:trPr>
          <w:trHeight w:val="454" w:hRule="atLeast"/>
        </w:trPr>
        <w:tc>
          <w:tcPr>
            <w:tcW w:type="dxa" w:w="4873"/>
            <w:vAlign w:val="center"/>
          </w:tcPr>
          <w:p>
            <w:r/>
            <w:r>
              <w:rPr>
                <w:rFonts w:ascii="Figtree" w:hAnsi="Figtree"/>
                <w:b w:val="0"/>
                <w:i w:val="0"/>
                <w:sz w:val="22"/>
              </w:rPr>
              <w:t>IBFT</w:t>
            </w:r>
          </w:p>
        </w:tc>
        <w:tc>
          <w:tcPr>
            <w:tcW w:type="dxa" w:w="4873"/>
            <w:vAlign w:val="center"/>
          </w:tcPr>
          <w:p>
            <w:r/>
            <w:r>
              <w:rPr>
                <w:rFonts w:ascii="Figtree" w:hAnsi="Figtree"/>
                <w:b w:val="0"/>
                <w:i w:val="0"/>
                <w:sz w:val="22"/>
              </w:rPr>
              <w:t>Istanbul Byzantine Fault Tolerant — consensus mechanism</w:t>
            </w:r>
          </w:p>
        </w:tc>
      </w:tr>
      <w:tr>
        <w:trPr>
          <w:trHeight w:val="454" w:hRule="atLeast"/>
        </w:trPr>
        <w:tc>
          <w:tcPr>
            <w:tcW w:type="dxa" w:w="4873"/>
            <w:vAlign w:val="center"/>
          </w:tcPr>
          <w:p>
            <w:r/>
            <w:r>
              <w:rPr>
                <w:rFonts w:ascii="Figtree" w:hAnsi="Figtree"/>
                <w:b w:val="0"/>
                <w:i w:val="0"/>
                <w:sz w:val="22"/>
              </w:rPr>
              <w:t>DvP</w:t>
            </w:r>
          </w:p>
        </w:tc>
        <w:tc>
          <w:tcPr>
            <w:tcW w:type="dxa" w:w="4873"/>
            <w:vAlign w:val="center"/>
          </w:tcPr>
          <w:p>
            <w:r/>
            <w:r>
              <w:rPr>
                <w:rFonts w:ascii="Figtree" w:hAnsi="Figtree"/>
                <w:b w:val="0"/>
                <w:i w:val="0"/>
                <w:sz w:val="22"/>
              </w:rPr>
              <w:t>Delivery versus Payment — simultaneous exchange of assets</w:t>
            </w:r>
          </w:p>
        </w:tc>
      </w:tr>
    </w:tbl>
    <w:p>
      <w:pPr>
        <w:pStyle w:val="H3"/>
        <w:numPr>
          <w:ilvl w:val="2"/>
          <w:numId w:val="1"/>
        </w:numPr>
      </w:pPr>
      <w:r>
        <w:t>Appendix B: Support Tier Comparison</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Attribute</w:t>
            </w:r>
          </w:p>
        </w:tc>
        <w:tc>
          <w:tcPr>
            <w:tcW w:type="dxa" w:w="2436"/>
            <w:vAlign w:val="center"/>
            <w:shd w:fill="000099" w:val="clear"/>
          </w:tcPr>
          <w:p>
            <w:r>
              <w:rPr>
                <w:b/>
                <w:color w:val="FFFFFF"/>
              </w:rPr>
            </w:r>
            <w:r>
              <w:rPr>
                <w:rFonts w:ascii="Figtree" w:hAnsi="Figtree"/>
                <w:b/>
                <w:i w:val="0"/>
                <w:color w:val="FFFFFF"/>
                <w:sz w:val="22"/>
              </w:rPr>
              <w:t>Standard</w:t>
            </w:r>
          </w:p>
        </w:tc>
        <w:tc>
          <w:tcPr>
            <w:tcW w:type="dxa" w:w="2436"/>
            <w:vAlign w:val="center"/>
            <w:shd w:fill="000099" w:val="clear"/>
          </w:tcPr>
          <w:p>
            <w:r>
              <w:rPr>
                <w:b/>
                <w:color w:val="FFFFFF"/>
              </w:rPr>
            </w:r>
            <w:r>
              <w:rPr>
                <w:rFonts w:ascii="Figtree" w:hAnsi="Figtree"/>
                <w:b/>
                <w:i w:val="0"/>
                <w:color w:val="FFFFFF"/>
                <w:sz w:val="22"/>
              </w:rPr>
              <w:t>Premium</w:t>
            </w:r>
          </w:p>
        </w:tc>
        <w:tc>
          <w:tcPr>
            <w:tcW w:type="dxa" w:w="2436"/>
            <w:vAlign w:val="center"/>
            <w:shd w:fill="000099" w:val="clear"/>
          </w:tcPr>
          <w:p>
            <w:r>
              <w:rPr>
                <w:b/>
                <w:color w:val="FFFFFF"/>
              </w:rPr>
            </w:r>
            <w:r>
              <w:rPr>
                <w:rFonts w:ascii="Figtree" w:hAnsi="Figtree"/>
                <w:b/>
                <w:i w:val="0"/>
                <w:color w:val="FFFFFF"/>
                <w:sz w:val="22"/>
              </w:rPr>
              <w:t>Enterprise</w:t>
            </w:r>
          </w:p>
        </w:tc>
      </w:tr>
      <w:tr>
        <w:trPr>
          <w:trHeight w:val="454" w:hRule="atLeast"/>
        </w:trPr>
        <w:tc>
          <w:tcPr>
            <w:tcW w:type="dxa" w:w="2436"/>
            <w:vAlign w:val="center"/>
          </w:tcPr>
          <w:p>
            <w:r/>
            <w:r>
              <w:rPr>
                <w:rFonts w:ascii="Figtree" w:hAnsi="Figtree"/>
                <w:b w:val="0"/>
                <w:i w:val="0"/>
                <w:sz w:val="22"/>
              </w:rPr>
              <w:t>Coverage</w:t>
            </w:r>
          </w:p>
        </w:tc>
        <w:tc>
          <w:tcPr>
            <w:tcW w:type="dxa" w:w="2436"/>
            <w:vAlign w:val="center"/>
          </w:tcPr>
          <w:p>
            <w:r/>
            <w:r>
              <w:rPr>
                <w:rFonts w:ascii="Figtree" w:hAnsi="Figtree"/>
                <w:b w:val="0"/>
                <w:i w:val="0"/>
                <w:sz w:val="22"/>
              </w:rPr>
              <w:t>Business hours</w:t>
            </w:r>
          </w:p>
        </w:tc>
        <w:tc>
          <w:tcPr>
            <w:tcW w:type="dxa" w:w="2436"/>
            <w:vAlign w:val="center"/>
          </w:tcPr>
          <w:p>
            <w:r/>
            <w:r>
              <w:rPr>
                <w:rFonts w:ascii="Figtree" w:hAnsi="Figtree"/>
                <w:b w:val="0"/>
                <w:i w:val="0"/>
                <w:sz w:val="22"/>
              </w:rPr>
              <w:t>16×5 + P1 on-call</w:t>
            </w:r>
          </w:p>
        </w:tc>
        <w:tc>
          <w:tcPr>
            <w:tcW w:type="dxa" w:w="2436"/>
            <w:vAlign w:val="center"/>
          </w:tcPr>
          <w:p>
            <w:r/>
            <w:r>
              <w:rPr>
                <w:rFonts w:ascii="Figtree" w:hAnsi="Figtree"/>
                <w:b w:val="0"/>
                <w:i w:val="0"/>
                <w:sz w:val="22"/>
              </w:rPr>
              <w:t>24/7/365</w:t>
            </w:r>
          </w:p>
        </w:tc>
      </w:tr>
      <w:tr>
        <w:trPr>
          <w:trHeight w:val="454" w:hRule="atLeast"/>
        </w:trPr>
        <w:tc>
          <w:tcPr>
            <w:tcW w:type="dxa" w:w="2436"/>
            <w:vAlign w:val="center"/>
          </w:tcPr>
          <w:p>
            <w:r/>
            <w:r>
              <w:rPr>
                <w:rFonts w:ascii="Figtree" w:hAnsi="Figtree"/>
                <w:b w:val="0"/>
                <w:i w:val="0"/>
                <w:sz w:val="22"/>
              </w:rPr>
              <w:t>P1 response</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2 hours</w:t>
            </w:r>
          </w:p>
        </w:tc>
        <w:tc>
          <w:tcPr>
            <w:tcW w:type="dxa" w:w="2436"/>
            <w:vAlign w:val="center"/>
          </w:tcPr>
          <w:p>
            <w:r/>
            <w:r>
              <w:rPr>
                <w:rFonts w:ascii="Figtree" w:hAnsi="Figtree"/>
                <w:b w:val="0"/>
                <w:i w:val="0"/>
                <w:sz w:val="22"/>
              </w:rPr>
              <w:t>30 minutes</w:t>
            </w:r>
          </w:p>
        </w:tc>
      </w:tr>
      <w:tr>
        <w:trPr>
          <w:trHeight w:val="454" w:hRule="atLeast"/>
        </w:trPr>
        <w:tc>
          <w:tcPr>
            <w:tcW w:type="dxa" w:w="2436"/>
            <w:vAlign w:val="center"/>
          </w:tcPr>
          <w:p>
            <w:r/>
            <w:r>
              <w:rPr>
                <w:rFonts w:ascii="Figtree" w:hAnsi="Figtree"/>
                <w:b w:val="0"/>
                <w:i w:val="0"/>
                <w:sz w:val="22"/>
              </w:rPr>
              <w:t>Uptime SLA</w:t>
            </w:r>
          </w:p>
        </w:tc>
        <w:tc>
          <w:tcPr>
            <w:tcW w:type="dxa" w:w="2436"/>
            <w:vAlign w:val="center"/>
          </w:tcPr>
          <w:p>
            <w:r/>
            <w:r>
              <w:rPr>
                <w:rFonts w:ascii="Figtree" w:hAnsi="Figtree"/>
                <w:b w:val="0"/>
                <w:i w:val="0"/>
                <w:sz w:val="22"/>
              </w:rPr>
              <w:t>99.9%</w:t>
            </w:r>
          </w:p>
        </w:tc>
        <w:tc>
          <w:tcPr>
            <w:tcW w:type="dxa" w:w="2436"/>
            <w:vAlign w:val="center"/>
          </w:tcPr>
          <w:p>
            <w:r/>
            <w:r>
              <w:rPr>
                <w:rFonts w:ascii="Figtree" w:hAnsi="Figtree"/>
                <w:b w:val="0"/>
                <w:i w:val="0"/>
                <w:sz w:val="22"/>
              </w:rPr>
              <w:t>99.95%</w:t>
            </w:r>
          </w:p>
        </w:tc>
        <w:tc>
          <w:tcPr>
            <w:tcW w:type="dxa" w:w="2436"/>
            <w:vAlign w:val="center"/>
          </w:tcPr>
          <w:p>
            <w:r/>
            <w:r>
              <w:rPr>
                <w:rFonts w:ascii="Figtree" w:hAnsi="Figtree"/>
                <w:b w:val="0"/>
                <w:i w:val="0"/>
                <w:sz w:val="22"/>
              </w:rPr>
              <w:t>99.99%</w:t>
            </w:r>
          </w:p>
        </w:tc>
      </w:tr>
      <w:tr>
        <w:trPr>
          <w:trHeight w:val="454" w:hRule="atLeast"/>
        </w:trPr>
        <w:tc>
          <w:tcPr>
            <w:tcW w:type="dxa" w:w="2436"/>
            <w:vAlign w:val="center"/>
          </w:tcPr>
          <w:p>
            <w:r/>
            <w:r>
              <w:rPr>
                <w:rFonts w:ascii="Figtree" w:hAnsi="Figtree"/>
                <w:b w:val="0"/>
                <w:i w:val="0"/>
                <w:sz w:val="22"/>
              </w:rPr>
              <w:t>Dedicated engineer</w:t>
            </w:r>
          </w:p>
        </w:tc>
        <w:tc>
          <w:tcPr>
            <w:tcW w:type="dxa" w:w="2436"/>
            <w:vAlign w:val="center"/>
          </w:tcPr>
          <w:p>
            <w:r/>
            <w:r>
              <w:rPr>
                <w:rFonts w:ascii="Figtree" w:hAnsi="Figtree"/>
                <w:b w:val="0"/>
                <w:i w:val="0"/>
                <w:sz w:val="22"/>
              </w:rPr>
              <w:t>No</w:t>
            </w:r>
          </w:p>
        </w:tc>
        <w:tc>
          <w:tcPr>
            <w:tcW w:type="dxa" w:w="2436"/>
            <w:vAlign w:val="center"/>
          </w:tcPr>
          <w:p>
            <w:r/>
            <w:r>
              <w:rPr>
                <w:rFonts w:ascii="Figtree" w:hAnsi="Figtree"/>
                <w:b w:val="0"/>
                <w:i w:val="0"/>
                <w:sz w:val="22"/>
              </w:rPr>
              <w:t>Yes</w:t>
            </w:r>
          </w:p>
        </w:tc>
        <w:tc>
          <w:tcPr>
            <w:tcW w:type="dxa" w:w="2436"/>
            <w:vAlign w:val="center"/>
          </w:tcPr>
          <w:p>
            <w:r/>
            <w:r>
              <w:rPr>
                <w:rFonts w:ascii="Figtree" w:hAnsi="Figtree"/>
                <w:b w:val="0"/>
                <w:i w:val="0"/>
                <w:sz w:val="22"/>
              </w:rPr>
              <w:t>Dedicated team</w:t>
            </w:r>
          </w:p>
        </w:tc>
      </w:tr>
      <w:tr>
        <w:trPr>
          <w:trHeight w:val="454" w:hRule="atLeast"/>
        </w:trPr>
        <w:tc>
          <w:tcPr>
            <w:tcW w:type="dxa" w:w="2436"/>
            <w:vAlign w:val="center"/>
          </w:tcPr>
          <w:p>
            <w:r/>
            <w:r>
              <w:rPr>
                <w:rFonts w:ascii="Figtree" w:hAnsi="Figtree"/>
                <w:b w:val="0"/>
                <w:i w:val="0"/>
                <w:sz w:val="22"/>
              </w:rPr>
              <w:t>Update cycle</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Continuous</w:t>
            </w:r>
          </w:p>
        </w:tc>
      </w:tr>
    </w:tbl>
    <w:p>
      <w:pPr>
        <w:pStyle w:val="H3"/>
        <w:numPr>
          <w:ilvl w:val="2"/>
          <w:numId w:val="1"/>
        </w:numPr>
      </w:pPr>
      <w:r>
        <w:t>Appendix C: Reconciliation Architecture</w:t>
      </w:r>
    </w:p>
    <w:p>
      <w:r>
        <w:rPr>
          <w:rFonts w:ascii="Figtree" w:hAnsi="Figtree"/>
          <w:b w:val="0"/>
          <w:i w:val="0"/>
          <w:sz w:val="22"/>
        </w:rPr>
        <w:t>Emirates NBD's RFP specifically calls out reconciliation as a critical concern (REQ-10). DALP's reconciliation architecture provides multiple mechanisms for ensuring tokenized records remain synchronized with core books:</w:t>
      </w:r>
    </w:p>
    <w:p>
      <w:r>
        <w:rPr>
          <w:rFonts w:ascii="Figtree" w:hAnsi="Figtree"/>
          <w:b/>
          <w:i w:val="0"/>
          <w:sz w:val="22"/>
        </w:rPr>
        <w:t>Real-time event streaming.</w:t>
      </w:r>
      <w:r>
        <w:rPr>
          <w:rFonts w:ascii="Figtree" w:hAnsi="Figtree"/>
          <w:b w:val="0"/>
          <w:i w:val="0"/>
          <w:sz w:val="22"/>
        </w:rPr>
        <w:t xml:space="preserve"> Every token operation (mint, burn, transfer, settlement, yield distribution) generates both an on-chain event and an off-chain webhook notification. Emirates NBD's core banking middleware can consume these events in real time to update deposit and trade finance records.</w:t>
      </w:r>
    </w:p>
    <w:p>
      <w:r>
        <w:rPr>
          <w:rFonts w:ascii="Figtree" w:hAnsi="Figtree"/>
          <w:b/>
          <w:i w:val="0"/>
          <w:sz w:val="22"/>
        </w:rPr>
        <w:t>Periodic reconciliation queries.</w:t>
      </w:r>
      <w:r>
        <w:rPr>
          <w:rFonts w:ascii="Figtree" w:hAnsi="Figtree"/>
          <w:b w:val="0"/>
          <w:i w:val="0"/>
          <w:sz w:val="22"/>
        </w:rPr>
        <w:t xml:space="preserve"> GraphQL queries enable Emirates NBD to extract current token state (balances, holder lists, transaction history) at any point for comparison with core banking records. These queries can be automated on configurable schedules (hourly, daily, or on-demand).</w:t>
      </w:r>
    </w:p>
    <w:p>
      <w:r>
        <w:rPr>
          <w:rFonts w:ascii="Figtree" w:hAnsi="Figtree"/>
          <w:b/>
          <w:i w:val="0"/>
          <w:sz w:val="22"/>
        </w:rPr>
        <w:t>Balance verification API.</w:t>
      </w:r>
      <w:r>
        <w:rPr>
          <w:rFonts w:ascii="Figtree" w:hAnsi="Figtree"/>
          <w:b w:val="0"/>
          <w:i w:val="0"/>
          <w:sz w:val="22"/>
        </w:rPr>
        <w:t xml:space="preserve"> The REST API provides balance verification endpoints that Emirates NBD's reconciliation processes can call to compare on-chain token balances with core banking deposit balances. Discrepancies generate alerts through the monitoring system.</w:t>
      </w:r>
    </w:p>
    <w:p>
      <w:r>
        <w:rPr>
          <w:rFonts w:ascii="Figtree" w:hAnsi="Figtree"/>
          <w:b/>
          <w:i w:val="0"/>
          <w:sz w:val="22"/>
        </w:rPr>
        <w:t>Historical state reconstruction.</w:t>
      </w:r>
      <w:r>
        <w:rPr>
          <w:rFonts w:ascii="Figtree" w:hAnsi="Figtree"/>
          <w:b w:val="0"/>
          <w:i w:val="0"/>
          <w:sz w:val="22"/>
        </w:rPr>
        <w:t xml:space="preserve"> The historical balances token feature enables point-in-time balance queries, allowing Emirates NBD to reconstruct the state of any deposit at any previous block height. This is essential for end-of-day reconciliation, period-end closing, and audit investigations.</w:t>
      </w:r>
    </w:p>
    <w:p>
      <w:r>
        <w:rPr>
          <w:rFonts w:ascii="Figtree" w:hAnsi="Figtree"/>
          <w:b/>
          <w:i w:val="0"/>
          <w:sz w:val="22"/>
        </w:rPr>
        <w:t>Reconciliation evidence format.</w:t>
      </w:r>
      <w:r>
        <w:rPr>
          <w:rFonts w:ascii="Figtree" w:hAnsi="Figtree"/>
          <w:b w:val="0"/>
          <w:i w:val="0"/>
          <w:sz w:val="22"/>
        </w:rPr>
        <w:t xml:space="preserve"> DALP produces reconciliation data in structured formats (JSON, CSV) compatible with Emirates NBD's existing reconciliation tools. Field mappings between DALP events and core banking records are defined during Phase 1 and implemented during Phase 4 integration.</w:t>
      </w:r>
    </w:p>
    <w:p>
      <w:pPr>
        <w:pStyle w:val="H3"/>
        <w:numPr>
          <w:ilvl w:val="2"/>
          <w:numId w:val="1"/>
        </w:numPr>
      </w:pPr>
      <w:r>
        <w:t>Appendix D: Performance Benchmarks</w:t>
      </w:r>
    </w:p>
    <w:p>
      <w:r>
        <w:rPr>
          <w:rFonts w:ascii="Figtree" w:hAnsi="Figtree"/>
          <w:b w:val="0"/>
          <w:i w:val="0"/>
          <w:sz w:val="22"/>
        </w:rPr>
        <w:t>The following performance characteristics are based on DALP's production deployments and internal testing: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Metric</w:t>
            </w:r>
          </w:p>
        </w:tc>
        <w:tc>
          <w:tcPr>
            <w:tcW w:type="dxa" w:w="3249"/>
            <w:vAlign w:val="center"/>
            <w:shd w:fill="000099" w:val="clear"/>
          </w:tcPr>
          <w:p>
            <w:r>
              <w:rPr>
                <w:b/>
                <w:color w:val="FFFFFF"/>
              </w:rPr>
            </w:r>
            <w:r>
              <w:rPr>
                <w:rFonts w:ascii="Figtree" w:hAnsi="Figtree"/>
                <w:b/>
                <w:i w:val="0"/>
                <w:color w:val="FFFFFF"/>
                <w:sz w:val="22"/>
              </w:rPr>
              <w:t>Measurement</w:t>
            </w:r>
          </w:p>
        </w:tc>
        <w:tc>
          <w:tcPr>
            <w:tcW w:type="dxa" w:w="3249"/>
            <w:vAlign w:val="center"/>
            <w:shd w:fill="000099" w:val="clear"/>
          </w:tcPr>
          <w:p>
            <w:r>
              <w:rPr>
                <w:b/>
                <w:color w:val="FFFFFF"/>
              </w:rPr>
            </w:r>
            <w:r>
              <w:rPr>
                <w:rFonts w:ascii="Figtree" w:hAnsi="Figtree"/>
                <w:b/>
                <w:i w:val="0"/>
                <w:color w:val="FFFFFF"/>
                <w:sz w:val="22"/>
              </w:rPr>
              <w:t>Test Conditions</w:t>
            </w:r>
          </w:p>
        </w:tc>
      </w:tr>
      <w:tr>
        <w:trPr>
          <w:trHeight w:val="454" w:hRule="atLeast"/>
        </w:trPr>
        <w:tc>
          <w:tcPr>
            <w:tcW w:type="dxa" w:w="3249"/>
            <w:vAlign w:val="center"/>
          </w:tcPr>
          <w:p>
            <w:r/>
            <w:r>
              <w:rPr>
                <w:rFonts w:ascii="Figtree" w:hAnsi="Figtree"/>
                <w:b w:val="0"/>
                <w:i w:val="0"/>
                <w:sz w:val="22"/>
              </w:rPr>
              <w:t>Settlement latency (median)</w:t>
            </w:r>
          </w:p>
        </w:tc>
        <w:tc>
          <w:tcPr>
            <w:tcW w:type="dxa" w:w="3249"/>
            <w:vAlign w:val="center"/>
          </w:tcPr>
          <w:p>
            <w:r/>
            <w:r>
              <w:rPr>
                <w:rFonts w:ascii="Figtree" w:hAnsi="Figtree"/>
                <w:b w:val="0"/>
                <w:i w:val="0"/>
                <w:sz w:val="22"/>
              </w:rPr>
              <w:t>2.3 seconds</w:t>
            </w:r>
          </w:p>
        </w:tc>
        <w:tc>
          <w:tcPr>
            <w:tcW w:type="dxa" w:w="3249"/>
            <w:vAlign w:val="center"/>
          </w:tcPr>
          <w:p>
            <w:r/>
            <w:r>
              <w:rPr>
                <w:rFonts w:ascii="Figtree" w:hAnsi="Figtree"/>
                <w:b w:val="0"/>
                <w:i w:val="0"/>
                <w:sz w:val="22"/>
              </w:rPr>
              <w:t>4-node IBFT validator network, AWS c6g.xlarge, single-region</w:t>
            </w:r>
          </w:p>
        </w:tc>
      </w:tr>
      <w:tr>
        <w:trPr>
          <w:trHeight w:val="454" w:hRule="atLeast"/>
        </w:trPr>
        <w:tc>
          <w:tcPr>
            <w:tcW w:type="dxa" w:w="3249"/>
            <w:vAlign w:val="center"/>
          </w:tcPr>
          <w:p>
            <w:r/>
            <w:r>
              <w:rPr>
                <w:rFonts w:ascii="Figtree" w:hAnsi="Figtree"/>
                <w:b w:val="0"/>
                <w:i w:val="0"/>
                <w:sz w:val="22"/>
              </w:rPr>
              <w:t>Settlement latency (P99)</w:t>
            </w:r>
          </w:p>
        </w:tc>
        <w:tc>
          <w:tcPr>
            <w:tcW w:type="dxa" w:w="3249"/>
            <w:vAlign w:val="center"/>
          </w:tcPr>
          <w:p>
            <w:r/>
            <w:r>
              <w:rPr>
                <w:rFonts w:ascii="Figtree" w:hAnsi="Figtree"/>
                <w:b w:val="0"/>
                <w:i w:val="0"/>
                <w:sz w:val="22"/>
              </w:rPr>
              <w:t>4.1 seconds</w:t>
            </w:r>
          </w:p>
        </w:tc>
        <w:tc>
          <w:tcPr>
            <w:tcW w:type="dxa" w:w="3249"/>
            <w:vAlign w:val="center"/>
          </w:tcPr>
          <w:p>
            <w:r/>
            <w:r>
              <w:rPr>
                <w:rFonts w:ascii="Figtree" w:hAnsi="Figtree"/>
                <w:b w:val="0"/>
                <w:i w:val="0"/>
                <w:sz w:val="22"/>
              </w:rPr>
              <w:t>Same conditions, sustained load</w:t>
            </w:r>
          </w:p>
        </w:tc>
      </w:tr>
      <w:tr>
        <w:trPr>
          <w:trHeight w:val="454" w:hRule="atLeast"/>
        </w:trPr>
        <w:tc>
          <w:tcPr>
            <w:tcW w:type="dxa" w:w="3249"/>
            <w:vAlign w:val="center"/>
          </w:tcPr>
          <w:p>
            <w:r/>
            <w:r>
              <w:rPr>
                <w:rFonts w:ascii="Figtree" w:hAnsi="Figtree"/>
                <w:b w:val="0"/>
                <w:i w:val="0"/>
                <w:sz w:val="22"/>
              </w:rPr>
              <w:t>Concurrent settlement throughput</w:t>
            </w:r>
          </w:p>
        </w:tc>
        <w:tc>
          <w:tcPr>
            <w:tcW w:type="dxa" w:w="3249"/>
            <w:vAlign w:val="center"/>
          </w:tcPr>
          <w:p>
            <w:r/>
            <w:r>
              <w:rPr>
                <w:rFonts w:ascii="Figtree" w:hAnsi="Figtree"/>
                <w:b w:val="0"/>
                <w:i w:val="0"/>
                <w:sz w:val="22"/>
              </w:rPr>
              <w:t>500 TPS</w:t>
            </w:r>
          </w:p>
        </w:tc>
        <w:tc>
          <w:tcPr>
            <w:tcW w:type="dxa" w:w="3249"/>
            <w:vAlign w:val="center"/>
          </w:tcPr>
          <w:p>
            <w:r/>
            <w:r>
              <w:rPr>
                <w:rFonts w:ascii="Figtree" w:hAnsi="Figtree"/>
                <w:b w:val="0"/>
                <w:i w:val="0"/>
                <w:sz w:val="22"/>
              </w:rPr>
              <w:t>4-node IBFT, EIP-1559 gas pricing</w:t>
            </w:r>
          </w:p>
        </w:tc>
      </w:tr>
      <w:tr>
        <w:trPr>
          <w:trHeight w:val="454" w:hRule="atLeast"/>
        </w:trPr>
        <w:tc>
          <w:tcPr>
            <w:tcW w:type="dxa" w:w="3249"/>
            <w:vAlign w:val="center"/>
          </w:tcPr>
          <w:p>
            <w:r/>
            <w:r>
              <w:rPr>
                <w:rFonts w:ascii="Figtree" w:hAnsi="Figtree"/>
                <w:b w:val="0"/>
                <w:i w:val="0"/>
                <w:sz w:val="22"/>
              </w:rPr>
              <w:t>API response time (read)</w:t>
            </w:r>
          </w:p>
        </w:tc>
        <w:tc>
          <w:tcPr>
            <w:tcW w:type="dxa" w:w="3249"/>
            <w:vAlign w:val="center"/>
          </w:tcPr>
          <w:p>
            <w:r/>
            <w:r>
              <w:rPr>
                <w:rFonts w:ascii="Figtree" w:hAnsi="Figtree"/>
                <w:b w:val="0"/>
                <w:i w:val="0"/>
                <w:sz w:val="22"/>
              </w:rPr>
              <w:t>&lt; 100ms</w:t>
            </w:r>
          </w:p>
        </w:tc>
        <w:tc>
          <w:tcPr>
            <w:tcW w:type="dxa" w:w="3249"/>
            <w:vAlign w:val="center"/>
          </w:tcPr>
          <w:p>
            <w:r/>
            <w:r>
              <w:rPr>
                <w:rFonts w:ascii="Figtree" w:hAnsi="Figtree"/>
                <w:b w:val="0"/>
                <w:i w:val="0"/>
                <w:sz w:val="22"/>
              </w:rPr>
              <w:t>REST API v2, cached queries</w:t>
            </w:r>
          </w:p>
        </w:tc>
      </w:tr>
      <w:tr>
        <w:trPr>
          <w:trHeight w:val="454" w:hRule="atLeast"/>
        </w:trPr>
        <w:tc>
          <w:tcPr>
            <w:tcW w:type="dxa" w:w="3249"/>
            <w:vAlign w:val="center"/>
          </w:tcPr>
          <w:p>
            <w:r/>
            <w:r>
              <w:rPr>
                <w:rFonts w:ascii="Figtree" w:hAnsi="Figtree"/>
                <w:b w:val="0"/>
                <w:i w:val="0"/>
                <w:sz w:val="22"/>
              </w:rPr>
              <w:t>API response time (write)</w:t>
            </w:r>
          </w:p>
        </w:tc>
        <w:tc>
          <w:tcPr>
            <w:tcW w:type="dxa" w:w="3249"/>
            <w:vAlign w:val="center"/>
          </w:tcPr>
          <w:p>
            <w:r/>
            <w:r>
              <w:rPr>
                <w:rFonts w:ascii="Figtree" w:hAnsi="Figtree"/>
                <w:b w:val="0"/>
                <w:i w:val="0"/>
                <w:sz w:val="22"/>
              </w:rPr>
              <w:t>&lt; 500ms (submission), 2–4s (confirmation)</w:t>
            </w:r>
          </w:p>
        </w:tc>
        <w:tc>
          <w:tcPr>
            <w:tcW w:type="dxa" w:w="3249"/>
            <w:vAlign w:val="center"/>
          </w:tcPr>
          <w:p>
            <w:r/>
            <w:r>
              <w:rPr>
                <w:rFonts w:ascii="Figtree" w:hAnsi="Figtree"/>
                <w:b w:val="0"/>
                <w:i w:val="0"/>
                <w:sz w:val="22"/>
              </w:rPr>
              <w:t>REST API v2, including blockchain confirmation</w:t>
            </w:r>
          </w:p>
        </w:tc>
      </w:tr>
      <w:tr>
        <w:trPr>
          <w:trHeight w:val="454" w:hRule="atLeast"/>
        </w:trPr>
        <w:tc>
          <w:tcPr>
            <w:tcW w:type="dxa" w:w="3249"/>
            <w:vAlign w:val="center"/>
          </w:tcPr>
          <w:p>
            <w:r/>
            <w:r>
              <w:rPr>
                <w:rFonts w:ascii="Figtree" w:hAnsi="Figtree"/>
                <w:b w:val="0"/>
                <w:i w:val="0"/>
                <w:sz w:val="22"/>
              </w:rPr>
              <w:t>Compliance check latency</w:t>
            </w:r>
          </w:p>
        </w:tc>
        <w:tc>
          <w:tcPr>
            <w:tcW w:type="dxa" w:w="3249"/>
            <w:vAlign w:val="center"/>
          </w:tcPr>
          <w:p>
            <w:r/>
            <w:r>
              <w:rPr>
                <w:rFonts w:ascii="Figtree" w:hAnsi="Figtree"/>
                <w:b w:val="0"/>
                <w:i w:val="0"/>
                <w:sz w:val="22"/>
              </w:rPr>
              <w:t>&lt; 50ms per module</w:t>
            </w:r>
          </w:p>
        </w:tc>
        <w:tc>
          <w:tcPr>
            <w:tcW w:type="dxa" w:w="3249"/>
            <w:vAlign w:val="center"/>
          </w:tcPr>
          <w:p>
            <w:r/>
            <w:r>
              <w:rPr>
                <w:rFonts w:ascii="Figtree" w:hAnsi="Figtree"/>
                <w:b w:val="0"/>
                <w:i w:val="0"/>
                <w:sz w:val="22"/>
              </w:rPr>
              <w:t>On-chain evaluation, 5 modules in sequence</w:t>
            </w:r>
          </w:p>
        </w:tc>
      </w:tr>
      <w:tr>
        <w:trPr>
          <w:trHeight w:val="454" w:hRule="atLeast"/>
        </w:trPr>
        <w:tc>
          <w:tcPr>
            <w:tcW w:type="dxa" w:w="3249"/>
            <w:vAlign w:val="center"/>
          </w:tcPr>
          <w:p>
            <w:r/>
            <w:r>
              <w:rPr>
                <w:rFonts w:ascii="Figtree" w:hAnsi="Figtree"/>
                <w:b w:val="0"/>
                <w:i w:val="0"/>
                <w:sz w:val="22"/>
              </w:rPr>
              <w:t>Chain Indexer lag</w:t>
            </w:r>
          </w:p>
        </w:tc>
        <w:tc>
          <w:tcPr>
            <w:tcW w:type="dxa" w:w="3249"/>
            <w:vAlign w:val="center"/>
          </w:tcPr>
          <w:p>
            <w:r/>
            <w:r>
              <w:rPr>
                <w:rFonts w:ascii="Figtree" w:hAnsi="Figtree"/>
                <w:b w:val="0"/>
                <w:i w:val="0"/>
                <w:sz w:val="22"/>
              </w:rPr>
              <w:t>&lt; 2 seconds</w:t>
            </w:r>
          </w:p>
        </w:tc>
        <w:tc>
          <w:tcPr>
            <w:tcW w:type="dxa" w:w="3249"/>
            <w:vAlign w:val="center"/>
          </w:tcPr>
          <w:p>
            <w:r/>
            <w:r>
              <w:rPr>
                <w:rFonts w:ascii="Figtree" w:hAnsi="Figtree"/>
                <w:b w:val="0"/>
                <w:i w:val="0"/>
                <w:sz w:val="22"/>
              </w:rPr>
              <w:t>Event processing from block confirmation to indexed state</w:t>
            </w:r>
          </w:p>
        </w:tc>
      </w:tr>
      <w:tr>
        <w:trPr>
          <w:trHeight w:val="454" w:hRule="atLeast"/>
        </w:trPr>
        <w:tc>
          <w:tcPr>
            <w:tcW w:type="dxa" w:w="3249"/>
            <w:vAlign w:val="center"/>
          </w:tcPr>
          <w:p>
            <w:r/>
            <w:r>
              <w:rPr>
                <w:rFonts w:ascii="Figtree" w:hAnsi="Figtree"/>
                <w:b w:val="0"/>
                <w:i w:val="0"/>
                <w:sz w:val="22"/>
              </w:rPr>
              <w:t>Webhook delivery latency</w:t>
            </w:r>
          </w:p>
        </w:tc>
        <w:tc>
          <w:tcPr>
            <w:tcW w:type="dxa" w:w="3249"/>
            <w:vAlign w:val="center"/>
          </w:tcPr>
          <w:p>
            <w:r/>
            <w:r>
              <w:rPr>
                <w:rFonts w:ascii="Figtree" w:hAnsi="Figtree"/>
                <w:b w:val="0"/>
                <w:i w:val="0"/>
                <w:sz w:val="22"/>
              </w:rPr>
              <w:t>&lt; 1 second</w:t>
            </w:r>
          </w:p>
        </w:tc>
        <w:tc>
          <w:tcPr>
            <w:tcW w:type="dxa" w:w="3249"/>
            <w:vAlign w:val="center"/>
          </w:tcPr>
          <w:p>
            <w:r/>
            <w:r>
              <w:rPr>
                <w:rFonts w:ascii="Figtree" w:hAnsi="Figtree"/>
                <w:b w:val="0"/>
                <w:i w:val="0"/>
                <w:sz w:val="22"/>
              </w:rPr>
              <w:t>From on-chain event to webhook POST</w:t>
            </w:r>
          </w:p>
        </w:tc>
      </w:tr>
      <w:tr>
        <w:trPr>
          <w:trHeight w:val="454" w:hRule="atLeast"/>
        </w:trPr>
        <w:tc>
          <w:tcPr>
            <w:tcW w:type="dxa" w:w="3249"/>
            <w:vAlign w:val="center"/>
          </w:tcPr>
          <w:p>
            <w:r/>
            <w:r>
              <w:rPr>
                <w:rFonts w:ascii="Figtree" w:hAnsi="Figtree"/>
                <w:b w:val="0"/>
                <w:i w:val="0"/>
                <w:sz w:val="22"/>
              </w:rPr>
              <w:t>Dashboard refresh</w:t>
            </w:r>
          </w:p>
        </w:tc>
        <w:tc>
          <w:tcPr>
            <w:tcW w:type="dxa" w:w="3249"/>
            <w:vAlign w:val="center"/>
          </w:tcPr>
          <w:p>
            <w:r/>
            <w:r>
              <w:rPr>
                <w:rFonts w:ascii="Figtree" w:hAnsi="Figtree"/>
                <w:b w:val="0"/>
                <w:i w:val="0"/>
                <w:sz w:val="22"/>
              </w:rPr>
              <w:t>Real-time (SSE)</w:t>
            </w:r>
          </w:p>
        </w:tc>
        <w:tc>
          <w:tcPr>
            <w:tcW w:type="dxa" w:w="3249"/>
            <w:vAlign w:val="center"/>
          </w:tcPr>
          <w:p>
            <w:r/>
            <w:r>
              <w:rPr>
                <w:rFonts w:ascii="Figtree" w:hAnsi="Figtree"/>
                <w:b w:val="0"/>
                <w:i w:val="0"/>
                <w:sz w:val="22"/>
              </w:rPr>
              <w:t>Grafana + Server-Sent Events</w:t>
            </w:r>
          </w:p>
        </w:tc>
      </w:tr>
    </w:tbl>
    <w:p>
      <w:r>
        <w:rPr>
          <w:rFonts w:ascii="Figtree" w:hAnsi="Figtree"/>
          <w:b/>
          <w:i w:val="0"/>
          <w:sz w:val="22"/>
        </w:rPr>
        <w:t>Important qualification:</w:t>
      </w:r>
      <w:r>
        <w:rPr>
          <w:rFonts w:ascii="Figtree" w:hAnsi="Figtree"/>
          <w:b w:val="0"/>
          <w:i w:val="0"/>
          <w:sz w:val="22"/>
        </w:rPr>
        <w:t xml:space="preserve"> Performance in Emirates NBD's deployment will depend on infrastructure specifications, network configuration, and transaction complexity. The benchmarks above provide a reference baseline. Performance validation is part of Phase 4 testing, where Emirates NBD-specific load profiles are tested against the production infrastructure.</w:t>
      </w:r>
    </w:p>
    <w:p>
      <w:pPr>
        <w:pStyle w:val="H3"/>
        <w:numPr>
          <w:ilvl w:val="2"/>
          <w:numId w:val="1"/>
        </w:numPr>
      </w:pPr>
      <w:r>
        <w:t>Appendix E: Standards Compliance Reference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Standard</w:t>
            </w:r>
          </w:p>
        </w:tc>
        <w:tc>
          <w:tcPr>
            <w:tcW w:type="dxa" w:w="3249"/>
            <w:vAlign w:val="center"/>
            <w:shd w:fill="000099" w:val="clear"/>
          </w:tcPr>
          <w:p>
            <w:r>
              <w:rPr>
                <w:b/>
                <w:color w:val="FFFFFF"/>
              </w:rPr>
            </w:r>
            <w:r>
              <w:rPr>
                <w:rFonts w:ascii="Figtree" w:hAnsi="Figtree"/>
                <w:b/>
                <w:i w:val="0"/>
                <w:color w:val="FFFFFF"/>
                <w:sz w:val="22"/>
              </w:rPr>
              <w:t>DALP Coverage</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ERC-3643 (T-REX)</w:t>
            </w:r>
          </w:p>
        </w:tc>
        <w:tc>
          <w:tcPr>
            <w:tcW w:type="dxa" w:w="3249"/>
            <w:vAlign w:val="center"/>
          </w:tcPr>
          <w:p>
            <w:r/>
            <w:r>
              <w:rPr>
                <w:rFonts w:ascii="Figtree" w:hAnsi="Figtree"/>
                <w:b w:val="0"/>
                <w:i w:val="0"/>
                <w:sz w:val="22"/>
              </w:rPr>
              <w:t>Full implementation via SMART Protocol</w:t>
            </w:r>
          </w:p>
        </w:tc>
        <w:tc>
          <w:tcPr>
            <w:tcW w:type="dxa" w:w="3249"/>
            <w:vAlign w:val="center"/>
          </w:tcPr>
          <w:p>
            <w:r/>
            <w:r>
              <w:rPr>
                <w:rFonts w:ascii="Figtree" w:hAnsi="Figtree"/>
                <w:b w:val="0"/>
                <w:i w:val="0"/>
                <w:sz w:val="22"/>
              </w:rPr>
              <w:t>Smart contract audit reports</w:t>
            </w:r>
          </w:p>
        </w:tc>
      </w:tr>
      <w:tr>
        <w:trPr>
          <w:trHeight w:val="454" w:hRule="atLeast"/>
        </w:trPr>
        <w:tc>
          <w:tcPr>
            <w:tcW w:type="dxa" w:w="3249"/>
            <w:vAlign w:val="center"/>
          </w:tcPr>
          <w:p>
            <w:r/>
            <w:r>
              <w:rPr>
                <w:rFonts w:ascii="Figtree" w:hAnsi="Figtree"/>
                <w:b w:val="0"/>
                <w:i w:val="0"/>
                <w:sz w:val="22"/>
              </w:rPr>
              <w:t>ERC-20</w:t>
            </w:r>
          </w:p>
        </w:tc>
        <w:tc>
          <w:tcPr>
            <w:tcW w:type="dxa" w:w="3249"/>
            <w:vAlign w:val="center"/>
          </w:tcPr>
          <w:p>
            <w:r/>
            <w:r>
              <w:rPr>
                <w:rFonts w:ascii="Figtree" w:hAnsi="Figtree"/>
                <w:b w:val="0"/>
                <w:i w:val="0"/>
                <w:sz w:val="22"/>
              </w:rPr>
              <w:t>Full backward compatibility</w:t>
            </w:r>
          </w:p>
        </w:tc>
        <w:tc>
          <w:tcPr>
            <w:tcW w:type="dxa" w:w="3249"/>
            <w:vAlign w:val="center"/>
          </w:tcPr>
          <w:p>
            <w:r/>
            <w:r>
              <w:rPr>
                <w:rFonts w:ascii="Figtree" w:hAnsi="Figtree"/>
                <w:b w:val="0"/>
                <w:i w:val="0"/>
                <w:sz w:val="22"/>
              </w:rPr>
              <w:t>Standard interface compliance</w:t>
            </w:r>
          </w:p>
        </w:tc>
      </w:tr>
      <w:tr>
        <w:trPr>
          <w:trHeight w:val="454" w:hRule="atLeast"/>
        </w:trPr>
        <w:tc>
          <w:tcPr>
            <w:tcW w:type="dxa" w:w="3249"/>
            <w:vAlign w:val="center"/>
          </w:tcPr>
          <w:p>
            <w:r/>
            <w:r>
              <w:rPr>
                <w:rFonts w:ascii="Figtree" w:hAnsi="Figtree"/>
                <w:b w:val="0"/>
                <w:i w:val="0"/>
                <w:sz w:val="22"/>
              </w:rPr>
              <w:t>ERC-734</w:t>
            </w:r>
          </w:p>
        </w:tc>
        <w:tc>
          <w:tcPr>
            <w:tcW w:type="dxa" w:w="3249"/>
            <w:vAlign w:val="center"/>
          </w:tcPr>
          <w:p>
            <w:r/>
            <w:r>
              <w:rPr>
                <w:rFonts w:ascii="Figtree" w:hAnsi="Figtree"/>
                <w:b w:val="0"/>
                <w:i w:val="0"/>
                <w:sz w:val="22"/>
              </w:rPr>
              <w:t>OnchainID key management</w:t>
            </w:r>
          </w:p>
        </w:tc>
        <w:tc>
          <w:tcPr>
            <w:tcW w:type="dxa" w:w="3249"/>
            <w:vAlign w:val="center"/>
          </w:tcPr>
          <w:p>
            <w:r/>
            <w:r>
              <w:rPr>
                <w:rFonts w:ascii="Figtree" w:hAnsi="Figtree"/>
                <w:b w:val="0"/>
                <w:i w:val="0"/>
                <w:sz w:val="22"/>
              </w:rPr>
              <w:t>Identity architecture documentation</w:t>
            </w:r>
          </w:p>
        </w:tc>
      </w:tr>
      <w:tr>
        <w:trPr>
          <w:trHeight w:val="454" w:hRule="atLeast"/>
        </w:trPr>
        <w:tc>
          <w:tcPr>
            <w:tcW w:type="dxa" w:w="3249"/>
            <w:vAlign w:val="center"/>
          </w:tcPr>
          <w:p>
            <w:r/>
            <w:r>
              <w:rPr>
                <w:rFonts w:ascii="Figtree" w:hAnsi="Figtree"/>
                <w:b w:val="0"/>
                <w:i w:val="0"/>
                <w:sz w:val="22"/>
              </w:rPr>
              <w:t>ERC-735</w:t>
            </w:r>
          </w:p>
        </w:tc>
        <w:tc>
          <w:tcPr>
            <w:tcW w:type="dxa" w:w="3249"/>
            <w:vAlign w:val="center"/>
          </w:tcPr>
          <w:p>
            <w:r/>
            <w:r>
              <w:rPr>
                <w:rFonts w:ascii="Figtree" w:hAnsi="Figtree"/>
                <w:b w:val="0"/>
                <w:i w:val="0"/>
                <w:sz w:val="22"/>
              </w:rPr>
              <w:t>OnchainID verifiable claims</w:t>
            </w:r>
          </w:p>
        </w:tc>
        <w:tc>
          <w:tcPr>
            <w:tcW w:type="dxa" w:w="3249"/>
            <w:vAlign w:val="center"/>
          </w:tcPr>
          <w:p>
            <w:r/>
            <w:r>
              <w:rPr>
                <w:rFonts w:ascii="Figtree" w:hAnsi="Figtree"/>
                <w:b w:val="0"/>
                <w:i w:val="0"/>
                <w:sz w:val="22"/>
              </w:rPr>
              <w:t>Identity architecture documentation</w:t>
            </w:r>
          </w:p>
        </w:tc>
      </w:tr>
      <w:tr>
        <w:trPr>
          <w:trHeight w:val="454" w:hRule="atLeast"/>
        </w:trPr>
        <w:tc>
          <w:tcPr>
            <w:tcW w:type="dxa" w:w="3249"/>
            <w:vAlign w:val="center"/>
          </w:tcPr>
          <w:p>
            <w:r/>
            <w:r>
              <w:rPr>
                <w:rFonts w:ascii="Figtree" w:hAnsi="Figtree"/>
                <w:b w:val="0"/>
                <w:i w:val="0"/>
                <w:sz w:val="22"/>
              </w:rPr>
              <w:t>ERC-5805</w:t>
            </w:r>
          </w:p>
        </w:tc>
        <w:tc>
          <w:tcPr>
            <w:tcW w:type="dxa" w:w="3249"/>
            <w:vAlign w:val="center"/>
          </w:tcPr>
          <w:p>
            <w:r/>
            <w:r>
              <w:rPr>
                <w:rFonts w:ascii="Figtree" w:hAnsi="Figtree"/>
                <w:b w:val="0"/>
                <w:i w:val="0"/>
                <w:sz w:val="22"/>
              </w:rPr>
              <w:t>Voting power and governance snapshots</w:t>
            </w:r>
          </w:p>
        </w:tc>
        <w:tc>
          <w:tcPr>
            <w:tcW w:type="dxa" w:w="3249"/>
            <w:vAlign w:val="center"/>
          </w:tcPr>
          <w:p>
            <w:r/>
            <w:r>
              <w:rPr>
                <w:rFonts w:ascii="Figtree" w:hAnsi="Figtree"/>
                <w:b w:val="0"/>
                <w:i w:val="0"/>
                <w:sz w:val="22"/>
              </w:rPr>
              <w:t>Token feature documentation</w:t>
            </w:r>
          </w:p>
        </w:tc>
      </w:tr>
      <w:tr>
        <w:trPr>
          <w:trHeight w:val="454" w:hRule="atLeast"/>
        </w:trPr>
        <w:tc>
          <w:tcPr>
            <w:tcW w:type="dxa" w:w="3249"/>
            <w:vAlign w:val="center"/>
          </w:tcPr>
          <w:p>
            <w:r/>
            <w:r>
              <w:rPr>
                <w:rFonts w:ascii="Figtree" w:hAnsi="Figtree"/>
                <w:b w:val="0"/>
                <w:i w:val="0"/>
                <w:sz w:val="22"/>
              </w:rPr>
              <w:t>EIP-2612</w:t>
            </w:r>
          </w:p>
        </w:tc>
        <w:tc>
          <w:tcPr>
            <w:tcW w:type="dxa" w:w="3249"/>
            <w:vAlign w:val="center"/>
          </w:tcPr>
          <w:p>
            <w:r/>
            <w:r>
              <w:rPr>
                <w:rFonts w:ascii="Figtree" w:hAnsi="Figtree"/>
                <w:b w:val="0"/>
                <w:i w:val="0"/>
                <w:sz w:val="22"/>
              </w:rPr>
              <w:t>Permit (gasless approvals)</w:t>
            </w:r>
          </w:p>
        </w:tc>
        <w:tc>
          <w:tcPr>
            <w:tcW w:type="dxa" w:w="3249"/>
            <w:vAlign w:val="center"/>
          </w:tcPr>
          <w:p>
            <w:r/>
            <w:r>
              <w:rPr>
                <w:rFonts w:ascii="Figtree" w:hAnsi="Figtree"/>
                <w:b w:val="0"/>
                <w:i w:val="0"/>
                <w:sz w:val="22"/>
              </w:rPr>
              <w:t>Token feature documentation</w:t>
            </w:r>
          </w:p>
        </w:tc>
      </w:tr>
      <w:tr>
        <w:trPr>
          <w:trHeight w:val="454" w:hRule="atLeast"/>
        </w:trPr>
        <w:tc>
          <w:tcPr>
            <w:tcW w:type="dxa" w:w="3249"/>
            <w:vAlign w:val="center"/>
          </w:tcPr>
          <w:p>
            <w:r/>
            <w:r>
              <w:rPr>
                <w:rFonts w:ascii="Figtree" w:hAnsi="Figtree"/>
                <w:b w:val="0"/>
                <w:i w:val="0"/>
                <w:sz w:val="22"/>
              </w:rPr>
              <w:t>EIP-1559</w:t>
            </w:r>
          </w:p>
        </w:tc>
        <w:tc>
          <w:tcPr>
            <w:tcW w:type="dxa" w:w="3249"/>
            <w:vAlign w:val="center"/>
          </w:tcPr>
          <w:p>
            <w:r/>
            <w:r>
              <w:rPr>
                <w:rFonts w:ascii="Figtree" w:hAnsi="Figtree"/>
                <w:b w:val="0"/>
                <w:i w:val="0"/>
                <w:sz w:val="22"/>
              </w:rPr>
              <w:t>Gas pricing optimization</w:t>
            </w:r>
          </w:p>
        </w:tc>
        <w:tc>
          <w:tcPr>
            <w:tcW w:type="dxa" w:w="3249"/>
            <w:vAlign w:val="center"/>
          </w:tcPr>
          <w:p>
            <w:r/>
            <w:r>
              <w:rPr>
                <w:rFonts w:ascii="Figtree" w:hAnsi="Figtree"/>
                <w:b w:val="0"/>
                <w:i w:val="0"/>
                <w:sz w:val="22"/>
              </w:rPr>
              <w:t>Transaction processing documentation</w:t>
            </w:r>
          </w:p>
        </w:tc>
      </w:tr>
      <w:tr>
        <w:trPr>
          <w:trHeight w:val="454" w:hRule="atLeast"/>
        </w:trPr>
        <w:tc>
          <w:tcPr>
            <w:tcW w:type="dxa" w:w="3249"/>
            <w:vAlign w:val="center"/>
          </w:tcPr>
          <w:p>
            <w:r/>
            <w:r>
              <w:rPr>
                <w:rFonts w:ascii="Figtree" w:hAnsi="Figtree"/>
                <w:b w:val="0"/>
                <w:i w:val="0"/>
                <w:sz w:val="22"/>
              </w:rPr>
              <w:t>ERC-2771</w:t>
            </w:r>
          </w:p>
        </w:tc>
        <w:tc>
          <w:tcPr>
            <w:tcW w:type="dxa" w:w="3249"/>
            <w:vAlign w:val="center"/>
          </w:tcPr>
          <w:p>
            <w:r/>
            <w:r>
              <w:rPr>
                <w:rFonts w:ascii="Figtree" w:hAnsi="Figtree"/>
                <w:b w:val="0"/>
                <w:i w:val="0"/>
                <w:sz w:val="22"/>
              </w:rPr>
              <w:t>Meta-transactions (gasless)</w:t>
            </w:r>
          </w:p>
        </w:tc>
        <w:tc>
          <w:tcPr>
            <w:tcW w:type="dxa" w:w="3249"/>
            <w:vAlign w:val="center"/>
          </w:tcPr>
          <w:p>
            <w:r/>
            <w:r>
              <w:rPr>
                <w:rFonts w:ascii="Figtree" w:hAnsi="Figtree"/>
                <w:b w:val="0"/>
                <w:i w:val="0"/>
                <w:sz w:val="22"/>
              </w:rPr>
              <w:t>Transaction signer documentation</w:t>
            </w:r>
          </w:p>
        </w:tc>
      </w:tr>
      <w:tr>
        <w:trPr>
          <w:trHeight w:val="454" w:hRule="atLeast"/>
        </w:trPr>
        <w:tc>
          <w:tcPr>
            <w:tcW w:type="dxa" w:w="3249"/>
            <w:vAlign w:val="center"/>
          </w:tcPr>
          <w:p>
            <w:r/>
            <w:r>
              <w:rPr>
                <w:rFonts w:ascii="Figtree" w:hAnsi="Figtree"/>
                <w:b w:val="0"/>
                <w:i w:val="0"/>
                <w:sz w:val="22"/>
              </w:rPr>
              <w:t>ERC-8021</w:t>
            </w:r>
          </w:p>
        </w:tc>
        <w:tc>
          <w:tcPr>
            <w:tcW w:type="dxa" w:w="3249"/>
            <w:vAlign w:val="center"/>
          </w:tcPr>
          <w:p>
            <w:r/>
            <w:r>
              <w:rPr>
                <w:rFonts w:ascii="Figtree" w:hAnsi="Figtree"/>
                <w:b w:val="0"/>
                <w:i w:val="0"/>
                <w:sz w:val="22"/>
              </w:rPr>
              <w:t>Transaction attribution</w:t>
            </w:r>
          </w:p>
        </w:tc>
        <w:tc>
          <w:tcPr>
            <w:tcW w:type="dxa" w:w="3249"/>
            <w:vAlign w:val="center"/>
          </w:tcPr>
          <w:p>
            <w:r/>
            <w:r>
              <w:rPr>
                <w:rFonts w:ascii="Figtree" w:hAnsi="Figtree"/>
                <w:b w:val="0"/>
                <w:i w:val="0"/>
                <w:sz w:val="22"/>
              </w:rPr>
              <w:t>Transaction processor documentation</w:t>
            </w:r>
          </w:p>
        </w:tc>
      </w:tr>
      <w:tr>
        <w:trPr>
          <w:trHeight w:val="454" w:hRule="atLeast"/>
        </w:trPr>
        <w:tc>
          <w:tcPr>
            <w:tcW w:type="dxa" w:w="3249"/>
            <w:vAlign w:val="center"/>
          </w:tcPr>
          <w:p>
            <w:r/>
            <w:r>
              <w:rPr>
                <w:rFonts w:ascii="Figtree" w:hAnsi="Figtree"/>
                <w:b w:val="0"/>
                <w:i w:val="0"/>
                <w:sz w:val="22"/>
              </w:rPr>
              <w:t>OpenAPI 3.1</w:t>
            </w:r>
          </w:p>
        </w:tc>
        <w:tc>
          <w:tcPr>
            <w:tcW w:type="dxa" w:w="3249"/>
            <w:vAlign w:val="center"/>
          </w:tcPr>
          <w:p>
            <w:r/>
            <w:r>
              <w:rPr>
                <w:rFonts w:ascii="Figtree" w:hAnsi="Figtree"/>
                <w:b w:val="0"/>
                <w:i w:val="0"/>
                <w:sz w:val="22"/>
              </w:rPr>
              <w:t>REST API specification</w:t>
            </w:r>
          </w:p>
        </w:tc>
        <w:tc>
          <w:tcPr>
            <w:tcW w:type="dxa" w:w="3249"/>
            <w:vAlign w:val="center"/>
          </w:tcPr>
          <w:p>
            <w:r/>
            <w:r>
              <w:rPr>
                <w:rFonts w:ascii="Figtree" w:hAnsi="Figtree"/>
                <w:b w:val="0"/>
                <w:i w:val="0"/>
                <w:sz w:val="22"/>
              </w:rPr>
              <w:t>Auto-generated from code</w:t>
            </w:r>
          </w:p>
        </w:tc>
      </w:tr>
      <w:tr>
        <w:trPr>
          <w:trHeight w:val="454" w:hRule="atLeast"/>
        </w:trPr>
        <w:tc>
          <w:tcPr>
            <w:tcW w:type="dxa" w:w="3249"/>
            <w:vAlign w:val="center"/>
          </w:tcPr>
          <w:p>
            <w:r/>
            <w:r>
              <w:rPr>
                <w:rFonts w:ascii="Figtree" w:hAnsi="Figtree"/>
                <w:b w:val="0"/>
                <w:i w:val="0"/>
                <w:sz w:val="22"/>
              </w:rPr>
              <w:t>ISO 27001</w:t>
            </w:r>
          </w:p>
        </w:tc>
        <w:tc>
          <w:tcPr>
            <w:tcW w:type="dxa" w:w="3249"/>
            <w:vAlign w:val="center"/>
          </w:tcPr>
          <w:p>
            <w:r/>
            <w:r>
              <w:rPr>
                <w:rFonts w:ascii="Figtree" w:hAnsi="Figtree"/>
                <w:b w:val="0"/>
                <w:i w:val="0"/>
                <w:sz w:val="22"/>
              </w:rPr>
              <w:t>Information security management</w:t>
            </w:r>
          </w:p>
        </w:tc>
        <w:tc>
          <w:tcPr>
            <w:tcW w:type="dxa" w:w="3249"/>
            <w:vAlign w:val="center"/>
          </w:tcPr>
          <w:p>
            <w:r/>
            <w:r>
              <w:rPr>
                <w:rFonts w:ascii="Figtree" w:hAnsi="Figtree"/>
                <w:b w:val="0"/>
                <w:i w:val="0"/>
                <w:sz w:val="22"/>
              </w:rPr>
              <w:t>Certification documentation</w:t>
            </w:r>
          </w:p>
        </w:tc>
      </w:tr>
      <w:tr>
        <w:trPr>
          <w:trHeight w:val="454" w:hRule="atLeast"/>
        </w:trPr>
        <w:tc>
          <w:tcPr>
            <w:tcW w:type="dxa" w:w="3249"/>
            <w:vAlign w:val="center"/>
          </w:tcPr>
          <w:p>
            <w:r/>
            <w:r>
              <w:rPr>
                <w:rFonts w:ascii="Figtree" w:hAnsi="Figtree"/>
                <w:b w:val="0"/>
                <w:i w:val="0"/>
                <w:sz w:val="22"/>
              </w:rPr>
              <w:t>SOC 2 Type II</w:t>
            </w:r>
          </w:p>
        </w:tc>
        <w:tc>
          <w:tcPr>
            <w:tcW w:type="dxa" w:w="3249"/>
            <w:vAlign w:val="center"/>
          </w:tcPr>
          <w:p>
            <w:r/>
            <w:r>
              <w:rPr>
                <w:rFonts w:ascii="Figtree" w:hAnsi="Figtree"/>
                <w:b w:val="0"/>
                <w:i w:val="0"/>
                <w:sz w:val="22"/>
              </w:rPr>
              <w:t>Security controls</w:t>
            </w:r>
          </w:p>
        </w:tc>
        <w:tc>
          <w:tcPr>
            <w:tcW w:type="dxa" w:w="3249"/>
            <w:vAlign w:val="center"/>
          </w:tcPr>
          <w:p>
            <w:r/>
            <w:r>
              <w:rPr>
                <w:rFonts w:ascii="Figtree" w:hAnsi="Figtree"/>
                <w:b w:val="0"/>
                <w:i w:val="0"/>
                <w:sz w:val="22"/>
              </w:rPr>
              <w:t>Audit report (available under NDA)</w:t>
            </w:r>
          </w:p>
        </w:tc>
      </w:tr>
      <w:tr>
        <w:trPr>
          <w:trHeight w:val="454" w:hRule="atLeast"/>
        </w:trPr>
        <w:tc>
          <w:tcPr>
            <w:tcW w:type="dxa" w:w="3249"/>
            <w:vAlign w:val="center"/>
          </w:tcPr>
          <w:p>
            <w:r/>
            <w:r>
              <w:rPr>
                <w:rFonts w:ascii="Figtree" w:hAnsi="Figtree"/>
                <w:b w:val="0"/>
                <w:i w:val="0"/>
                <w:sz w:val="22"/>
              </w:rPr>
              <w:t>ISO 20022</w:t>
            </w:r>
          </w:p>
        </w:tc>
        <w:tc>
          <w:tcPr>
            <w:tcW w:type="dxa" w:w="3249"/>
            <w:vAlign w:val="center"/>
          </w:tcPr>
          <w:p>
            <w:r/>
            <w:r>
              <w:rPr>
                <w:rFonts w:ascii="Figtree" w:hAnsi="Figtree"/>
                <w:b w:val="0"/>
                <w:i w:val="0"/>
                <w:sz w:val="22"/>
              </w:rPr>
              <w:t>Payment messaging (via middleware)</w:t>
            </w:r>
          </w:p>
        </w:tc>
        <w:tc>
          <w:tcPr>
            <w:tcW w:type="dxa" w:w="3249"/>
            <w:vAlign w:val="center"/>
          </w:tcPr>
          <w:p>
            <w:r/>
            <w:r>
              <w:rPr>
                <w:rFonts w:ascii="Figtree" w:hAnsi="Figtree"/>
                <w:b w:val="0"/>
                <w:i w:val="0"/>
                <w:sz w:val="22"/>
              </w:rPr>
              <w:t>Integration documentation</w:t>
            </w:r>
          </w:p>
        </w:tc>
      </w:tr>
      <w:tr>
        <w:trPr>
          <w:trHeight w:val="454" w:hRule="atLeast"/>
        </w:trPr>
        <w:tc>
          <w:tcPr>
            <w:tcW w:type="dxa" w:w="3249"/>
            <w:vAlign w:val="center"/>
          </w:tcPr>
          <w:p>
            <w:r/>
            <w:r>
              <w:rPr>
                <w:rFonts w:ascii="Figtree" w:hAnsi="Figtree"/>
                <w:b w:val="0"/>
                <w:i w:val="0"/>
                <w:sz w:val="22"/>
              </w:rPr>
              <w:t>WebAuthn</w:t>
            </w:r>
          </w:p>
        </w:tc>
        <w:tc>
          <w:tcPr>
            <w:tcW w:type="dxa" w:w="3249"/>
            <w:vAlign w:val="center"/>
          </w:tcPr>
          <w:p>
            <w:r/>
            <w:r>
              <w:rPr>
                <w:rFonts w:ascii="Figtree" w:hAnsi="Figtree"/>
                <w:b w:val="0"/>
                <w:i w:val="0"/>
                <w:sz w:val="22"/>
              </w:rPr>
              <w:t>Passkey authentication</w:t>
            </w:r>
          </w:p>
        </w:tc>
        <w:tc>
          <w:tcPr>
            <w:tcW w:type="dxa" w:w="3249"/>
            <w:vAlign w:val="center"/>
          </w:tcPr>
          <w:p>
            <w:r/>
            <w:r>
              <w:rPr>
                <w:rFonts w:ascii="Figtree" w:hAnsi="Figtree"/>
                <w:b w:val="0"/>
                <w:i w:val="0"/>
                <w:sz w:val="22"/>
              </w:rPr>
              <w:t>Authentication documentation</w:t>
            </w:r>
          </w:p>
        </w:tc>
      </w:tr>
      <w:tr>
        <w:trPr>
          <w:trHeight w:val="454" w:hRule="atLeast"/>
        </w:trPr>
        <w:tc>
          <w:tcPr>
            <w:tcW w:type="dxa" w:w="3249"/>
            <w:vAlign w:val="center"/>
          </w:tcPr>
          <w:p>
            <w:r/>
            <w:r>
              <w:rPr>
                <w:rFonts w:ascii="Figtree" w:hAnsi="Figtree"/>
                <w:b w:val="0"/>
                <w:i w:val="0"/>
                <w:sz w:val="22"/>
              </w:rPr>
              <w:t>OAuth 2.0 / OIDC</w:t>
            </w:r>
          </w:p>
        </w:tc>
        <w:tc>
          <w:tcPr>
            <w:tcW w:type="dxa" w:w="3249"/>
            <w:vAlign w:val="center"/>
          </w:tcPr>
          <w:p>
            <w:r/>
            <w:r>
              <w:rPr>
                <w:rFonts w:ascii="Figtree" w:hAnsi="Figtree"/>
                <w:b w:val="0"/>
                <w:i w:val="0"/>
                <w:sz w:val="22"/>
              </w:rPr>
              <w:t>Enterprise SSO integration</w:t>
            </w:r>
          </w:p>
        </w:tc>
        <w:tc>
          <w:tcPr>
            <w:tcW w:type="dxa" w:w="3249"/>
            <w:vAlign w:val="center"/>
          </w:tcPr>
          <w:p>
            <w:r/>
            <w:r>
              <w:rPr>
                <w:rFonts w:ascii="Figtree" w:hAnsi="Figtree"/>
                <w:b w:val="0"/>
                <w:i w:val="0"/>
                <w:sz w:val="22"/>
              </w:rPr>
              <w:t>Authentication plugin documentation</w:t>
            </w:r>
          </w:p>
        </w:tc>
      </w:tr>
      <w:tr>
        <w:trPr>
          <w:trHeight w:val="454" w:hRule="atLeast"/>
        </w:trPr>
        <w:tc>
          <w:tcPr>
            <w:tcW w:type="dxa" w:w="3249"/>
            <w:vAlign w:val="center"/>
          </w:tcPr>
          <w:p>
            <w:r/>
            <w:r>
              <w:rPr>
                <w:rFonts w:ascii="Figtree" w:hAnsi="Figtree"/>
                <w:b w:val="0"/>
                <w:i w:val="0"/>
                <w:sz w:val="22"/>
              </w:rPr>
              <w:t>SAML 2.0</w:t>
            </w:r>
          </w:p>
        </w:tc>
        <w:tc>
          <w:tcPr>
            <w:tcW w:type="dxa" w:w="3249"/>
            <w:vAlign w:val="center"/>
          </w:tcPr>
          <w:p>
            <w:r/>
            <w:r>
              <w:rPr>
                <w:rFonts w:ascii="Figtree" w:hAnsi="Figtree"/>
                <w:b w:val="0"/>
                <w:i w:val="0"/>
                <w:sz w:val="22"/>
              </w:rPr>
              <w:t>Legacy enterprise SSO</w:t>
            </w:r>
          </w:p>
        </w:tc>
        <w:tc>
          <w:tcPr>
            <w:tcW w:type="dxa" w:w="3249"/>
            <w:vAlign w:val="center"/>
          </w:tcPr>
          <w:p>
            <w:r/>
            <w:r>
              <w:rPr>
                <w:rFonts w:ascii="Figtree" w:hAnsi="Figtree"/>
                <w:b w:val="0"/>
                <w:i w:val="0"/>
                <w:sz w:val="22"/>
              </w:rPr>
              <w:t>Authentication plugin documentation</w:t>
            </w:r>
          </w:p>
        </w:tc>
      </w:tr>
    </w:tbl>
    <w:p>
      <w:pPr>
        <w:pStyle w:val="H3"/>
        <w:numPr>
          <w:ilvl w:val="2"/>
          <w:numId w:val="1"/>
        </w:numPr>
      </w:pPr>
      <w:r>
        <w:t>Appendix F: Document Map</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Section</w:t>
            </w:r>
          </w:p>
        </w:tc>
        <w:tc>
          <w:tcPr>
            <w:tcW w:type="dxa" w:w="3249"/>
            <w:vAlign w:val="center"/>
            <w:shd w:fill="000099" w:val="clear"/>
          </w:tcPr>
          <w:p>
            <w:r>
              <w:rPr>
                <w:b/>
                <w:color w:val="FFFFFF"/>
              </w:rPr>
            </w:r>
            <w:r>
              <w:rPr>
                <w:rFonts w:ascii="Figtree" w:hAnsi="Figtree"/>
                <w:b/>
                <w:i w:val="0"/>
                <w:color w:val="FFFFFF"/>
                <w:sz w:val="22"/>
              </w:rPr>
              <w:t>Page Range (Estimated)</w:t>
            </w:r>
          </w:p>
        </w:tc>
        <w:tc>
          <w:tcPr>
            <w:tcW w:type="dxa" w:w="3249"/>
            <w:vAlign w:val="center"/>
            <w:shd w:fill="000099" w:val="clear"/>
          </w:tcPr>
          <w:p>
            <w:r>
              <w:rPr>
                <w:b/>
                <w:color w:val="FFFFFF"/>
              </w:rPr>
            </w:r>
            <w:r>
              <w:rPr>
                <w:rFonts w:ascii="Figtree" w:hAnsi="Figtree"/>
                <w:b/>
                <w:i w:val="0"/>
                <w:color w:val="FFFFFF"/>
                <w:sz w:val="22"/>
              </w:rPr>
              <w:t>Primary Audience</w:t>
            </w:r>
          </w:p>
        </w:tc>
      </w:tr>
      <w:tr>
        <w:trPr>
          <w:trHeight w:val="454" w:hRule="atLeast"/>
        </w:trPr>
        <w:tc>
          <w:tcPr>
            <w:tcW w:type="dxa" w:w="3249"/>
            <w:vAlign w:val="center"/>
          </w:tcPr>
          <w:p>
            <w:r/>
            <w:r>
              <w:rPr>
                <w:rFonts w:ascii="Figtree" w:hAnsi="Figtree"/>
                <w:b w:val="0"/>
                <w:i w:val="0"/>
                <w:sz w:val="22"/>
              </w:rPr>
              <w:t>Executive Summary</w:t>
            </w:r>
          </w:p>
        </w:tc>
        <w:tc>
          <w:tcPr>
            <w:tcW w:type="dxa" w:w="3249"/>
            <w:vAlign w:val="center"/>
          </w:tcPr>
          <w:p>
            <w:r/>
            <w:r>
              <w:rPr>
                <w:rFonts w:ascii="Figtree" w:hAnsi="Figtree"/>
                <w:b w:val="0"/>
                <w:i w:val="0"/>
                <w:sz w:val="22"/>
              </w:rPr>
              <w:t>1–3</w:t>
            </w:r>
          </w:p>
        </w:tc>
        <w:tc>
          <w:tcPr>
            <w:tcW w:type="dxa" w:w="3249"/>
            <w:vAlign w:val="center"/>
          </w:tcPr>
          <w:p>
            <w:r/>
            <w:r>
              <w:rPr>
                <w:rFonts w:ascii="Figtree" w:hAnsi="Figtree"/>
                <w:b w:val="0"/>
                <w:i w:val="0"/>
                <w:sz w:val="22"/>
              </w:rPr>
              <w:t>Executive sponsors, procurement</w:t>
            </w:r>
          </w:p>
        </w:tc>
      </w:tr>
      <w:tr>
        <w:trPr>
          <w:trHeight w:val="454" w:hRule="atLeast"/>
        </w:trPr>
        <w:tc>
          <w:tcPr>
            <w:tcW w:type="dxa" w:w="3249"/>
            <w:vAlign w:val="center"/>
          </w:tcPr>
          <w:p>
            <w:r/>
            <w:r>
              <w:rPr>
                <w:rFonts w:ascii="Figtree" w:hAnsi="Figtree"/>
                <w:b w:val="0"/>
                <w:i w:val="0"/>
                <w:sz w:val="22"/>
              </w:rPr>
              <w:t>About SettleMint</w:t>
            </w:r>
          </w:p>
        </w:tc>
        <w:tc>
          <w:tcPr>
            <w:tcW w:type="dxa" w:w="3249"/>
            <w:vAlign w:val="center"/>
          </w:tcPr>
          <w:p>
            <w:r/>
            <w:r>
              <w:rPr>
                <w:rFonts w:ascii="Figtree" w:hAnsi="Figtree"/>
                <w:b w:val="0"/>
                <w:i w:val="0"/>
                <w:sz w:val="22"/>
              </w:rPr>
              <w:t>4–7</w:t>
            </w:r>
          </w:p>
        </w:tc>
        <w:tc>
          <w:tcPr>
            <w:tcW w:type="dxa" w:w="3249"/>
            <w:vAlign w:val="center"/>
          </w:tcPr>
          <w:p>
            <w:r/>
            <w:r>
              <w:rPr>
                <w:rFonts w:ascii="Figtree" w:hAnsi="Figtree"/>
                <w:b w:val="0"/>
                <w:i w:val="0"/>
                <w:sz w:val="22"/>
              </w:rPr>
              <w:t>Procurement, architecture</w:t>
            </w:r>
          </w:p>
        </w:tc>
      </w:tr>
      <w:tr>
        <w:trPr>
          <w:trHeight w:val="454" w:hRule="atLeast"/>
        </w:trPr>
        <w:tc>
          <w:tcPr>
            <w:tcW w:type="dxa" w:w="3249"/>
            <w:vAlign w:val="center"/>
          </w:tcPr>
          <w:p>
            <w:r/>
            <w:r>
              <w:rPr>
                <w:rFonts w:ascii="Figtree" w:hAnsi="Figtree"/>
                <w:b w:val="0"/>
                <w:i w:val="0"/>
                <w:sz w:val="22"/>
              </w:rPr>
              <w:t>About DALP</w:t>
            </w:r>
          </w:p>
        </w:tc>
        <w:tc>
          <w:tcPr>
            <w:tcW w:type="dxa" w:w="3249"/>
            <w:vAlign w:val="center"/>
          </w:tcPr>
          <w:p>
            <w:r/>
            <w:r>
              <w:rPr>
                <w:rFonts w:ascii="Figtree" w:hAnsi="Figtree"/>
                <w:b w:val="0"/>
                <w:i w:val="0"/>
                <w:sz w:val="22"/>
              </w:rPr>
              <w:t>8–13</w:t>
            </w:r>
          </w:p>
        </w:tc>
        <w:tc>
          <w:tcPr>
            <w:tcW w:type="dxa" w:w="3249"/>
            <w:vAlign w:val="center"/>
          </w:tcPr>
          <w:p>
            <w:r/>
            <w:r>
              <w:rPr>
                <w:rFonts w:ascii="Figtree" w:hAnsi="Figtree"/>
                <w:b w:val="0"/>
                <w:i w:val="0"/>
                <w:sz w:val="22"/>
              </w:rPr>
              <w:t>Architecture, technology</w:t>
            </w:r>
          </w:p>
        </w:tc>
      </w:tr>
      <w:tr>
        <w:trPr>
          <w:trHeight w:val="454" w:hRule="atLeast"/>
        </w:trPr>
        <w:tc>
          <w:tcPr>
            <w:tcW w:type="dxa" w:w="3249"/>
            <w:vAlign w:val="center"/>
          </w:tcPr>
          <w:p>
            <w:r/>
            <w:r>
              <w:rPr>
                <w:rFonts w:ascii="Figtree" w:hAnsi="Figtree"/>
                <w:b w:val="0"/>
                <w:i w:val="0"/>
                <w:sz w:val="22"/>
              </w:rPr>
              <w:t>Understanding Requirements</w:t>
            </w:r>
          </w:p>
        </w:tc>
        <w:tc>
          <w:tcPr>
            <w:tcW w:type="dxa" w:w="3249"/>
            <w:vAlign w:val="center"/>
          </w:tcPr>
          <w:p>
            <w:r/>
            <w:r>
              <w:rPr>
                <w:rFonts w:ascii="Figtree" w:hAnsi="Figtree"/>
                <w:b w:val="0"/>
                <w:i w:val="0"/>
                <w:sz w:val="22"/>
              </w:rPr>
              <w:t>14–17</w:t>
            </w:r>
          </w:p>
        </w:tc>
        <w:tc>
          <w:tcPr>
            <w:tcW w:type="dxa" w:w="3249"/>
            <w:vAlign w:val="center"/>
          </w:tcPr>
          <w:p>
            <w:r/>
            <w:r>
              <w:rPr>
                <w:rFonts w:ascii="Figtree" w:hAnsi="Figtree"/>
                <w:b w:val="0"/>
                <w:i w:val="0"/>
                <w:sz w:val="22"/>
              </w:rPr>
              <w:t>Business sponsors, compliance</w:t>
            </w:r>
          </w:p>
        </w:tc>
      </w:tr>
      <w:tr>
        <w:trPr>
          <w:trHeight w:val="454" w:hRule="atLeast"/>
        </w:trPr>
        <w:tc>
          <w:tcPr>
            <w:tcW w:type="dxa" w:w="3249"/>
            <w:vAlign w:val="center"/>
          </w:tcPr>
          <w:p>
            <w:r/>
            <w:r>
              <w:rPr>
                <w:rFonts w:ascii="Figtree" w:hAnsi="Figtree"/>
                <w:b w:val="0"/>
                <w:i w:val="0"/>
                <w:sz w:val="22"/>
              </w:rPr>
              <w:t>Customer References</w:t>
            </w:r>
          </w:p>
        </w:tc>
        <w:tc>
          <w:tcPr>
            <w:tcW w:type="dxa" w:w="3249"/>
            <w:vAlign w:val="center"/>
          </w:tcPr>
          <w:p>
            <w:r/>
            <w:r>
              <w:rPr>
                <w:rFonts w:ascii="Figtree" w:hAnsi="Figtree"/>
                <w:b w:val="0"/>
                <w:i w:val="0"/>
                <w:sz w:val="22"/>
              </w:rPr>
              <w:t>18–22</w:t>
            </w:r>
          </w:p>
        </w:tc>
        <w:tc>
          <w:tcPr>
            <w:tcW w:type="dxa" w:w="3249"/>
            <w:vAlign w:val="center"/>
          </w:tcPr>
          <w:p>
            <w:r/>
            <w:r>
              <w:rPr>
                <w:rFonts w:ascii="Figtree" w:hAnsi="Figtree"/>
                <w:b w:val="0"/>
                <w:i w:val="0"/>
                <w:sz w:val="22"/>
              </w:rPr>
              <w:t>Procurement, business sponsors</w:t>
            </w:r>
          </w:p>
        </w:tc>
      </w:tr>
      <w:tr>
        <w:trPr>
          <w:trHeight w:val="454" w:hRule="atLeast"/>
        </w:trPr>
        <w:tc>
          <w:tcPr>
            <w:tcW w:type="dxa" w:w="3249"/>
            <w:vAlign w:val="center"/>
          </w:tcPr>
          <w:p>
            <w:r/>
            <w:r>
              <w:rPr>
                <w:rFonts w:ascii="Figtree" w:hAnsi="Figtree"/>
                <w:b w:val="0"/>
                <w:i w:val="0"/>
                <w:sz w:val="22"/>
              </w:rPr>
              <w:t>Proposed Solution</w:t>
            </w:r>
          </w:p>
        </w:tc>
        <w:tc>
          <w:tcPr>
            <w:tcW w:type="dxa" w:w="3249"/>
            <w:vAlign w:val="center"/>
          </w:tcPr>
          <w:p>
            <w:r/>
            <w:r>
              <w:rPr>
                <w:rFonts w:ascii="Figtree" w:hAnsi="Figtree"/>
                <w:b w:val="0"/>
                <w:i w:val="0"/>
                <w:sz w:val="22"/>
              </w:rPr>
              <w:t>23–32</w:t>
            </w:r>
          </w:p>
        </w:tc>
        <w:tc>
          <w:tcPr>
            <w:tcW w:type="dxa" w:w="3249"/>
            <w:vAlign w:val="center"/>
          </w:tcPr>
          <w:p>
            <w:r/>
            <w:r>
              <w:rPr>
                <w:rFonts w:ascii="Figtree" w:hAnsi="Figtree"/>
                <w:b w:val="0"/>
                <w:i w:val="0"/>
                <w:sz w:val="22"/>
              </w:rPr>
              <w:t>Architecture, technology, operations</w:t>
            </w:r>
          </w:p>
        </w:tc>
      </w:tr>
      <w:tr>
        <w:trPr>
          <w:trHeight w:val="454" w:hRule="atLeast"/>
        </w:trPr>
        <w:tc>
          <w:tcPr>
            <w:tcW w:type="dxa" w:w="3249"/>
            <w:vAlign w:val="center"/>
          </w:tcPr>
          <w:p>
            <w:r/>
            <w:r>
              <w:rPr>
                <w:rFonts w:ascii="Figtree" w:hAnsi="Figtree"/>
                <w:b w:val="0"/>
                <w:i w:val="0"/>
                <w:sz w:val="22"/>
              </w:rPr>
              <w:t>Technical Architecture</w:t>
            </w:r>
          </w:p>
        </w:tc>
        <w:tc>
          <w:tcPr>
            <w:tcW w:type="dxa" w:w="3249"/>
            <w:vAlign w:val="center"/>
          </w:tcPr>
          <w:p>
            <w:r/>
            <w:r>
              <w:rPr>
                <w:rFonts w:ascii="Figtree" w:hAnsi="Figtree"/>
                <w:b w:val="0"/>
                <w:i w:val="0"/>
                <w:sz w:val="22"/>
              </w:rPr>
              <w:t>33–40</w:t>
            </w:r>
          </w:p>
        </w:tc>
        <w:tc>
          <w:tcPr>
            <w:tcW w:type="dxa" w:w="3249"/>
            <w:vAlign w:val="center"/>
          </w:tcPr>
          <w:p>
            <w:r/>
            <w:r>
              <w:rPr>
                <w:rFonts w:ascii="Figtree" w:hAnsi="Figtree"/>
                <w:b w:val="0"/>
                <w:i w:val="0"/>
                <w:sz w:val="22"/>
              </w:rPr>
              <w:t>Architecture, technology</w:t>
            </w:r>
          </w:p>
        </w:tc>
      </w:tr>
      <w:tr>
        <w:trPr>
          <w:trHeight w:val="454" w:hRule="atLeast"/>
        </w:trPr>
        <w:tc>
          <w:tcPr>
            <w:tcW w:type="dxa" w:w="3249"/>
            <w:vAlign w:val="center"/>
          </w:tcPr>
          <w:p>
            <w:r/>
            <w:r>
              <w:rPr>
                <w:rFonts w:ascii="Figtree" w:hAnsi="Figtree"/>
                <w:b w:val="0"/>
                <w:i w:val="0"/>
                <w:sz w:val="22"/>
              </w:rPr>
              <w:t>Smart Contract Architecture</w:t>
            </w:r>
          </w:p>
        </w:tc>
        <w:tc>
          <w:tcPr>
            <w:tcW w:type="dxa" w:w="3249"/>
            <w:vAlign w:val="center"/>
          </w:tcPr>
          <w:p>
            <w:r/>
            <w:r>
              <w:rPr>
                <w:rFonts w:ascii="Figtree" w:hAnsi="Figtree"/>
                <w:b w:val="0"/>
                <w:i w:val="0"/>
                <w:sz w:val="22"/>
              </w:rPr>
              <w:t>41–46</w:t>
            </w:r>
          </w:p>
        </w:tc>
        <w:tc>
          <w:tcPr>
            <w:tcW w:type="dxa" w:w="3249"/>
            <w:vAlign w:val="center"/>
          </w:tcPr>
          <w:p>
            <w:r/>
            <w:r>
              <w:rPr>
                <w:rFonts w:ascii="Figtree" w:hAnsi="Figtree"/>
                <w:b w:val="0"/>
                <w:i w:val="0"/>
                <w:sz w:val="22"/>
              </w:rPr>
              <w:t>Technology, security</w:t>
            </w:r>
          </w:p>
        </w:tc>
      </w:tr>
      <w:tr>
        <w:trPr>
          <w:trHeight w:val="454" w:hRule="atLeast"/>
        </w:trPr>
        <w:tc>
          <w:tcPr>
            <w:tcW w:type="dxa" w:w="3249"/>
            <w:vAlign w:val="center"/>
          </w:tcPr>
          <w:p>
            <w:r/>
            <w:r>
              <w:rPr>
                <w:rFonts w:ascii="Figtree" w:hAnsi="Figtree"/>
                <w:b w:val="0"/>
                <w:i w:val="0"/>
                <w:sz w:val="22"/>
              </w:rPr>
              <w:t>Identity &amp; Compliance</w:t>
            </w:r>
          </w:p>
        </w:tc>
        <w:tc>
          <w:tcPr>
            <w:tcW w:type="dxa" w:w="3249"/>
            <w:vAlign w:val="center"/>
          </w:tcPr>
          <w:p>
            <w:r/>
            <w:r>
              <w:rPr>
                <w:rFonts w:ascii="Figtree" w:hAnsi="Figtree"/>
                <w:b w:val="0"/>
                <w:i w:val="0"/>
                <w:sz w:val="22"/>
              </w:rPr>
              <w:t>47–52</w:t>
            </w:r>
          </w:p>
        </w:tc>
        <w:tc>
          <w:tcPr>
            <w:tcW w:type="dxa" w:w="3249"/>
            <w:vAlign w:val="center"/>
          </w:tcPr>
          <w:p>
            <w:r/>
            <w:r>
              <w:rPr>
                <w:rFonts w:ascii="Figtree" w:hAnsi="Figtree"/>
                <w:b w:val="0"/>
                <w:i w:val="0"/>
                <w:sz w:val="22"/>
              </w:rPr>
              <w:t>Compliance, legal, security</w:t>
            </w:r>
          </w:p>
        </w:tc>
      </w:tr>
      <w:tr>
        <w:trPr>
          <w:trHeight w:val="454" w:hRule="atLeast"/>
        </w:trPr>
        <w:tc>
          <w:tcPr>
            <w:tcW w:type="dxa" w:w="3249"/>
            <w:vAlign w:val="center"/>
          </w:tcPr>
          <w:p>
            <w:r/>
            <w:r>
              <w:rPr>
                <w:rFonts w:ascii="Figtree" w:hAnsi="Figtree"/>
                <w:b w:val="0"/>
                <w:i w:val="0"/>
                <w:sz w:val="22"/>
              </w:rPr>
              <w:t>Settlement &amp; Servicing</w:t>
            </w:r>
          </w:p>
        </w:tc>
        <w:tc>
          <w:tcPr>
            <w:tcW w:type="dxa" w:w="3249"/>
            <w:vAlign w:val="center"/>
          </w:tcPr>
          <w:p>
            <w:r/>
            <w:r>
              <w:rPr>
                <w:rFonts w:ascii="Figtree" w:hAnsi="Figtree"/>
                <w:b w:val="0"/>
                <w:i w:val="0"/>
                <w:sz w:val="22"/>
              </w:rPr>
              <w:t>53–58</w:t>
            </w:r>
          </w:p>
        </w:tc>
        <w:tc>
          <w:tcPr>
            <w:tcW w:type="dxa" w:w="3249"/>
            <w:vAlign w:val="center"/>
          </w:tcPr>
          <w:p>
            <w:r/>
            <w:r>
              <w:rPr>
                <w:rFonts w:ascii="Figtree" w:hAnsi="Figtree"/>
                <w:b w:val="0"/>
                <w:i w:val="0"/>
                <w:sz w:val="22"/>
              </w:rPr>
              <w:t>Operations, technology</w:t>
            </w:r>
          </w:p>
        </w:tc>
      </w:tr>
      <w:tr>
        <w:trPr>
          <w:trHeight w:val="454" w:hRule="atLeast"/>
        </w:trPr>
        <w:tc>
          <w:tcPr>
            <w:tcW w:type="dxa" w:w="3249"/>
            <w:vAlign w:val="center"/>
          </w:tcPr>
          <w:p>
            <w:r/>
            <w:r>
              <w:rPr>
                <w:rFonts w:ascii="Figtree" w:hAnsi="Figtree"/>
                <w:b w:val="0"/>
                <w:i w:val="0"/>
                <w:sz w:val="22"/>
              </w:rPr>
              <w:t>Security</w:t>
            </w:r>
          </w:p>
        </w:tc>
        <w:tc>
          <w:tcPr>
            <w:tcW w:type="dxa" w:w="3249"/>
            <w:vAlign w:val="center"/>
          </w:tcPr>
          <w:p>
            <w:r/>
            <w:r>
              <w:rPr>
                <w:rFonts w:ascii="Figtree" w:hAnsi="Figtree"/>
                <w:b w:val="0"/>
                <w:i w:val="0"/>
                <w:sz w:val="22"/>
              </w:rPr>
              <w:t>59–66</w:t>
            </w:r>
          </w:p>
        </w:tc>
        <w:tc>
          <w:tcPr>
            <w:tcW w:type="dxa" w:w="3249"/>
            <w:vAlign w:val="center"/>
          </w:tcPr>
          <w:p>
            <w:r/>
            <w:r>
              <w:rPr>
                <w:rFonts w:ascii="Figtree" w:hAnsi="Figtree"/>
                <w:b w:val="0"/>
                <w:i w:val="0"/>
                <w:sz w:val="22"/>
              </w:rPr>
              <w:t>Security, compliance, audit</w:t>
            </w:r>
          </w:p>
        </w:tc>
      </w:tr>
      <w:tr>
        <w:trPr>
          <w:trHeight w:val="454" w:hRule="atLeast"/>
        </w:trPr>
        <w:tc>
          <w:tcPr>
            <w:tcW w:type="dxa" w:w="3249"/>
            <w:vAlign w:val="center"/>
          </w:tcPr>
          <w:p>
            <w:r/>
            <w:r>
              <w:rPr>
                <w:rFonts w:ascii="Figtree" w:hAnsi="Figtree"/>
                <w:b w:val="0"/>
                <w:i w:val="0"/>
                <w:sz w:val="22"/>
              </w:rPr>
              <w:t>Implementation</w:t>
            </w:r>
          </w:p>
        </w:tc>
        <w:tc>
          <w:tcPr>
            <w:tcW w:type="dxa" w:w="3249"/>
            <w:vAlign w:val="center"/>
          </w:tcPr>
          <w:p>
            <w:r/>
            <w:r>
              <w:rPr>
                <w:rFonts w:ascii="Figtree" w:hAnsi="Figtree"/>
                <w:b w:val="0"/>
                <w:i w:val="0"/>
                <w:sz w:val="22"/>
              </w:rPr>
              <w:t>67–74</w:t>
            </w:r>
          </w:p>
        </w:tc>
        <w:tc>
          <w:tcPr>
            <w:tcW w:type="dxa" w:w="3249"/>
            <w:vAlign w:val="center"/>
          </w:tcPr>
          <w:p>
            <w:r/>
            <w:r>
              <w:rPr>
                <w:rFonts w:ascii="Figtree" w:hAnsi="Figtree"/>
                <w:b w:val="0"/>
                <w:i w:val="0"/>
                <w:sz w:val="22"/>
              </w:rPr>
              <w:t>Project management, operations</w:t>
            </w:r>
          </w:p>
        </w:tc>
      </w:tr>
      <w:tr>
        <w:trPr>
          <w:trHeight w:val="454" w:hRule="atLeast"/>
        </w:trPr>
        <w:tc>
          <w:tcPr>
            <w:tcW w:type="dxa" w:w="3249"/>
            <w:vAlign w:val="center"/>
          </w:tcPr>
          <w:p>
            <w:r/>
            <w:r>
              <w:rPr>
                <w:rFonts w:ascii="Figtree" w:hAnsi="Figtree"/>
                <w:b w:val="0"/>
                <w:i w:val="0"/>
                <w:sz w:val="22"/>
              </w:rPr>
              <w:t>Deployment</w:t>
            </w:r>
          </w:p>
        </w:tc>
        <w:tc>
          <w:tcPr>
            <w:tcW w:type="dxa" w:w="3249"/>
            <w:vAlign w:val="center"/>
          </w:tcPr>
          <w:p>
            <w:r/>
            <w:r>
              <w:rPr>
                <w:rFonts w:ascii="Figtree" w:hAnsi="Figtree"/>
                <w:b w:val="0"/>
                <w:i w:val="0"/>
                <w:sz w:val="22"/>
              </w:rPr>
              <w:t>75–78</w:t>
            </w:r>
          </w:p>
        </w:tc>
        <w:tc>
          <w:tcPr>
            <w:tcW w:type="dxa" w:w="3249"/>
            <w:vAlign w:val="center"/>
          </w:tcPr>
          <w:p>
            <w:r/>
            <w:r>
              <w:rPr>
                <w:rFonts w:ascii="Figtree" w:hAnsi="Figtree"/>
                <w:b w:val="0"/>
                <w:i w:val="0"/>
                <w:sz w:val="22"/>
              </w:rPr>
              <w:t>Infrastructure, operations</w:t>
            </w:r>
          </w:p>
        </w:tc>
      </w:tr>
      <w:tr>
        <w:trPr>
          <w:trHeight w:val="454" w:hRule="atLeast"/>
        </w:trPr>
        <w:tc>
          <w:tcPr>
            <w:tcW w:type="dxa" w:w="3249"/>
            <w:vAlign w:val="center"/>
          </w:tcPr>
          <w:p>
            <w:r/>
            <w:r>
              <w:rPr>
                <w:rFonts w:ascii="Figtree" w:hAnsi="Figtree"/>
                <w:b w:val="0"/>
                <w:i w:val="0"/>
                <w:sz w:val="22"/>
              </w:rPr>
              <w:t>Training</w:t>
            </w:r>
          </w:p>
        </w:tc>
        <w:tc>
          <w:tcPr>
            <w:tcW w:type="dxa" w:w="3249"/>
            <w:vAlign w:val="center"/>
          </w:tcPr>
          <w:p>
            <w:r/>
            <w:r>
              <w:rPr>
                <w:rFonts w:ascii="Figtree" w:hAnsi="Figtree"/>
                <w:b w:val="0"/>
                <w:i w:val="0"/>
                <w:sz w:val="22"/>
              </w:rPr>
              <w:t>79–81</w:t>
            </w:r>
          </w:p>
        </w:tc>
        <w:tc>
          <w:tcPr>
            <w:tcW w:type="dxa" w:w="3249"/>
            <w:vAlign w:val="center"/>
          </w:tcPr>
          <w:p>
            <w:r/>
            <w:r>
              <w:rPr>
                <w:rFonts w:ascii="Figtree" w:hAnsi="Figtree"/>
                <w:b w:val="0"/>
                <w:i w:val="0"/>
                <w:sz w:val="22"/>
              </w:rPr>
              <w:t>Operations, HR</w:t>
            </w:r>
          </w:p>
        </w:tc>
      </w:tr>
      <w:tr>
        <w:trPr>
          <w:trHeight w:val="454" w:hRule="atLeast"/>
        </w:trPr>
        <w:tc>
          <w:tcPr>
            <w:tcW w:type="dxa" w:w="3249"/>
            <w:vAlign w:val="center"/>
          </w:tcPr>
          <w:p>
            <w:r/>
            <w:r>
              <w:rPr>
                <w:rFonts w:ascii="Figtree" w:hAnsi="Figtree"/>
                <w:b w:val="0"/>
                <w:i w:val="0"/>
                <w:sz w:val="22"/>
              </w:rPr>
              <w:t>Support &amp; SLA</w:t>
            </w:r>
          </w:p>
        </w:tc>
        <w:tc>
          <w:tcPr>
            <w:tcW w:type="dxa" w:w="3249"/>
            <w:vAlign w:val="center"/>
          </w:tcPr>
          <w:p>
            <w:r/>
            <w:r>
              <w:rPr>
                <w:rFonts w:ascii="Figtree" w:hAnsi="Figtree"/>
                <w:b w:val="0"/>
                <w:i w:val="0"/>
                <w:sz w:val="22"/>
              </w:rPr>
              <w:t>82–84</w:t>
            </w:r>
          </w:p>
        </w:tc>
        <w:tc>
          <w:tcPr>
            <w:tcW w:type="dxa" w:w="3249"/>
            <w:vAlign w:val="center"/>
          </w:tcPr>
          <w:p>
            <w:r/>
            <w:r>
              <w:rPr>
                <w:rFonts w:ascii="Figtree" w:hAnsi="Figtree"/>
                <w:b w:val="0"/>
                <w:i w:val="0"/>
                <w:sz w:val="22"/>
              </w:rPr>
              <w:t>Operations, procurement</w:t>
            </w:r>
          </w:p>
        </w:tc>
      </w:tr>
      <w:tr>
        <w:trPr>
          <w:trHeight w:val="454" w:hRule="atLeast"/>
        </w:trPr>
        <w:tc>
          <w:tcPr>
            <w:tcW w:type="dxa" w:w="3249"/>
            <w:vAlign w:val="center"/>
          </w:tcPr>
          <w:p>
            <w:r/>
            <w:r>
              <w:rPr>
                <w:rFonts w:ascii="Figtree" w:hAnsi="Figtree"/>
                <w:b w:val="0"/>
                <w:i w:val="0"/>
                <w:sz w:val="22"/>
              </w:rPr>
              <w:t>Risk Management</w:t>
            </w:r>
          </w:p>
        </w:tc>
        <w:tc>
          <w:tcPr>
            <w:tcW w:type="dxa" w:w="3249"/>
            <w:vAlign w:val="center"/>
          </w:tcPr>
          <w:p>
            <w:r/>
            <w:r>
              <w:rPr>
                <w:rFonts w:ascii="Figtree" w:hAnsi="Figtree"/>
                <w:b w:val="0"/>
                <w:i w:val="0"/>
                <w:sz w:val="22"/>
              </w:rPr>
              <w:t>85–88</w:t>
            </w:r>
          </w:p>
        </w:tc>
        <w:tc>
          <w:tcPr>
            <w:tcW w:type="dxa" w:w="3249"/>
            <w:vAlign w:val="center"/>
          </w:tcPr>
          <w:p>
            <w:r/>
            <w:r>
              <w:rPr>
                <w:rFonts w:ascii="Figtree" w:hAnsi="Figtree"/>
                <w:b w:val="0"/>
                <w:i w:val="0"/>
                <w:sz w:val="22"/>
              </w:rPr>
              <w:t>Project management, risk</w:t>
            </w:r>
          </w:p>
        </w:tc>
      </w:tr>
      <w:tr>
        <w:trPr>
          <w:trHeight w:val="454" w:hRule="atLeast"/>
        </w:trPr>
        <w:tc>
          <w:tcPr>
            <w:tcW w:type="dxa" w:w="3249"/>
            <w:vAlign w:val="center"/>
          </w:tcPr>
          <w:p>
            <w:r/>
            <w:r>
              <w:rPr>
                <w:rFonts w:ascii="Figtree" w:hAnsi="Figtree"/>
                <w:b w:val="0"/>
                <w:i w:val="0"/>
                <w:sz w:val="22"/>
              </w:rPr>
              <w:t>Coverage &amp; Gaps</w:t>
            </w:r>
          </w:p>
        </w:tc>
        <w:tc>
          <w:tcPr>
            <w:tcW w:type="dxa" w:w="3249"/>
            <w:vAlign w:val="center"/>
          </w:tcPr>
          <w:p>
            <w:r/>
            <w:r>
              <w:rPr>
                <w:rFonts w:ascii="Figtree" w:hAnsi="Figtree"/>
                <w:b w:val="0"/>
                <w:i w:val="0"/>
                <w:sz w:val="22"/>
              </w:rPr>
              <w:t>89–90</w:t>
            </w:r>
          </w:p>
        </w:tc>
        <w:tc>
          <w:tcPr>
            <w:tcW w:type="dxa" w:w="3249"/>
            <w:vAlign w:val="center"/>
          </w:tcPr>
          <w:p>
            <w:r/>
            <w:r>
              <w:rPr>
                <w:rFonts w:ascii="Figtree" w:hAnsi="Figtree"/>
                <w:b w:val="0"/>
                <w:i w:val="0"/>
                <w:sz w:val="22"/>
              </w:rPr>
              <w:t>Procurement, compliance</w:t>
            </w:r>
          </w:p>
        </w:tc>
      </w:tr>
      <w:tr>
        <w:trPr>
          <w:trHeight w:val="454" w:hRule="atLeast"/>
        </w:trPr>
        <w:tc>
          <w:tcPr>
            <w:tcW w:type="dxa" w:w="3249"/>
            <w:vAlign w:val="center"/>
          </w:tcPr>
          <w:p>
            <w:r/>
            <w:r>
              <w:rPr>
                <w:rFonts w:ascii="Figtree" w:hAnsi="Figtree"/>
                <w:b w:val="0"/>
                <w:i w:val="0"/>
                <w:sz w:val="22"/>
              </w:rPr>
              <w:t>Compliance Matrix</w:t>
            </w:r>
          </w:p>
        </w:tc>
        <w:tc>
          <w:tcPr>
            <w:tcW w:type="dxa" w:w="3249"/>
            <w:vAlign w:val="center"/>
          </w:tcPr>
          <w:p>
            <w:r/>
            <w:r>
              <w:rPr>
                <w:rFonts w:ascii="Figtree" w:hAnsi="Figtree"/>
                <w:b w:val="0"/>
                <w:i w:val="0"/>
                <w:sz w:val="22"/>
              </w:rPr>
              <w:t>91–93</w:t>
            </w:r>
          </w:p>
        </w:tc>
        <w:tc>
          <w:tcPr>
            <w:tcW w:type="dxa" w:w="3249"/>
            <w:vAlign w:val="center"/>
          </w:tcPr>
          <w:p>
            <w:r/>
            <w:r>
              <w:rPr>
                <w:rFonts w:ascii="Figtree" w:hAnsi="Figtree"/>
                <w:b w:val="0"/>
                <w:i w:val="0"/>
                <w:sz w:val="22"/>
              </w:rPr>
              <w:t>Procurement, compliance</w:t>
            </w:r>
          </w:p>
        </w:tc>
      </w:tr>
      <w:tr>
        <w:trPr>
          <w:trHeight w:val="454" w:hRule="atLeast"/>
        </w:trPr>
        <w:tc>
          <w:tcPr>
            <w:tcW w:type="dxa" w:w="3249"/>
            <w:vAlign w:val="center"/>
          </w:tcPr>
          <w:p>
            <w:r/>
            <w:r>
              <w:rPr>
                <w:rFonts w:ascii="Figtree" w:hAnsi="Figtree"/>
                <w:b w:val="0"/>
                <w:i w:val="0"/>
                <w:sz w:val="22"/>
              </w:rPr>
              <w:t>Appendices</w:t>
            </w:r>
          </w:p>
        </w:tc>
        <w:tc>
          <w:tcPr>
            <w:tcW w:type="dxa" w:w="3249"/>
            <w:vAlign w:val="center"/>
          </w:tcPr>
          <w:p>
            <w:r/>
            <w:r>
              <w:rPr>
                <w:rFonts w:ascii="Figtree" w:hAnsi="Figtree"/>
                <w:b w:val="0"/>
                <w:i w:val="0"/>
                <w:sz w:val="22"/>
              </w:rPr>
              <w:t>94–100+</w:t>
            </w:r>
          </w:p>
        </w:tc>
        <w:tc>
          <w:tcPr>
            <w:tcW w:type="dxa" w:w="3249"/>
            <w:vAlign w:val="center"/>
          </w:tcPr>
          <w:p>
            <w:r/>
            <w:r>
              <w:rPr>
                <w:rFonts w:ascii="Figtree" w:hAnsi="Figtree"/>
                <w:b w:val="0"/>
                <w:i w:val="0"/>
                <w:sz w:val="22"/>
              </w:rPr>
              <w:t>Reference (all audiences)</w:t>
            </w:r>
          </w:p>
        </w:tc>
      </w:tr>
    </w:tbl>
    <w:p>
      <w:pPr>
        <w:pStyle w:val="H3"/>
        <w:numPr>
          <w:ilvl w:val="2"/>
          <w:numId w:val="1"/>
        </w:numPr>
      </w:pPr>
      <w:r>
        <w:t>Appendix C: Certification Summary</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Certification</w:t>
            </w:r>
          </w:p>
        </w:tc>
        <w:tc>
          <w:tcPr>
            <w:tcW w:type="dxa" w:w="2436"/>
            <w:vAlign w:val="center"/>
            <w:shd w:fill="000099" w:val="clear"/>
          </w:tcPr>
          <w:p>
            <w:r>
              <w:rPr>
                <w:b/>
                <w:color w:val="FFFFFF"/>
              </w:rPr>
            </w:r>
            <w:r>
              <w:rPr>
                <w:rFonts w:ascii="Figtree" w:hAnsi="Figtree"/>
                <w:b/>
                <w:i w:val="0"/>
                <w:color w:val="FFFFFF"/>
                <w:sz w:val="22"/>
              </w:rPr>
              <w:t>Issuing Body</w:t>
            </w:r>
          </w:p>
        </w:tc>
        <w:tc>
          <w:tcPr>
            <w:tcW w:type="dxa" w:w="2436"/>
            <w:vAlign w:val="center"/>
            <w:shd w:fill="000099" w:val="clear"/>
          </w:tcPr>
          <w:p>
            <w:r>
              <w:rPr>
                <w:b/>
                <w:color w:val="FFFFFF"/>
              </w:rPr>
            </w:r>
            <w:r>
              <w:rPr>
                <w:rFonts w:ascii="Figtree" w:hAnsi="Figtree"/>
                <w:b/>
                <w:i w:val="0"/>
                <w:color w:val="FFFFFF"/>
                <w:sz w:val="22"/>
              </w:rPr>
              <w:t>Scope</w:t>
            </w:r>
          </w:p>
        </w:tc>
        <w:tc>
          <w:tcPr>
            <w:tcW w:type="dxa" w:w="2436"/>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2436"/>
            <w:vAlign w:val="center"/>
          </w:tcPr>
          <w:p>
            <w:r/>
            <w:r>
              <w:rPr>
                <w:rFonts w:ascii="Figtree" w:hAnsi="Figtree"/>
                <w:b w:val="0"/>
                <w:i w:val="0"/>
                <w:sz w:val="22"/>
              </w:rPr>
              <w:t>ISO 27001</w:t>
            </w:r>
          </w:p>
        </w:tc>
        <w:tc>
          <w:tcPr>
            <w:tcW w:type="dxa" w:w="2436"/>
            <w:vAlign w:val="center"/>
          </w:tcPr>
          <w:p>
            <w:r/>
            <w:r>
              <w:rPr>
                <w:rFonts w:ascii="Figtree" w:hAnsi="Figtree"/>
                <w:b w:val="0"/>
                <w:i w:val="0"/>
                <w:sz w:val="22"/>
              </w:rPr>
              <w:t>Accredited certification body</w:t>
            </w:r>
          </w:p>
        </w:tc>
        <w:tc>
          <w:tcPr>
            <w:tcW w:type="dxa" w:w="2436"/>
            <w:vAlign w:val="center"/>
          </w:tcPr>
          <w:p>
            <w:r/>
            <w:r>
              <w:rPr>
                <w:rFonts w:ascii="Figtree" w:hAnsi="Figtree"/>
                <w:b w:val="0"/>
                <w:i w:val="0"/>
                <w:sz w:val="22"/>
              </w:rPr>
              <w:t>Information security management system</w:t>
            </w:r>
          </w:p>
        </w:tc>
        <w:tc>
          <w:tcPr>
            <w:tcW w:type="dxa" w:w="2436"/>
            <w:vAlign w:val="center"/>
          </w:tcPr>
          <w:p>
            <w:r/>
            <w:r>
              <w:rPr>
                <w:rFonts w:ascii="Figtree" w:hAnsi="Figtree"/>
                <w:b w:val="0"/>
                <w:i w:val="0"/>
                <w:sz w:val="22"/>
              </w:rPr>
              <w:t>Current</w:t>
            </w:r>
          </w:p>
        </w:tc>
      </w:tr>
      <w:tr>
        <w:trPr>
          <w:trHeight w:val="454" w:hRule="atLeast"/>
        </w:trPr>
        <w:tc>
          <w:tcPr>
            <w:tcW w:type="dxa" w:w="2436"/>
            <w:vAlign w:val="center"/>
          </w:tcPr>
          <w:p>
            <w:r/>
            <w:r>
              <w:rPr>
                <w:rFonts w:ascii="Figtree" w:hAnsi="Figtree"/>
                <w:b w:val="0"/>
                <w:i w:val="0"/>
                <w:sz w:val="22"/>
              </w:rPr>
              <w:t>SOC 2 Type II</w:t>
            </w:r>
          </w:p>
        </w:tc>
        <w:tc>
          <w:tcPr>
            <w:tcW w:type="dxa" w:w="2436"/>
            <w:vAlign w:val="center"/>
          </w:tcPr>
          <w:p>
            <w:r/>
            <w:r>
              <w:rPr>
                <w:rFonts w:ascii="Figtree" w:hAnsi="Figtree"/>
                <w:b w:val="0"/>
                <w:i w:val="0"/>
                <w:sz w:val="22"/>
              </w:rPr>
              <w:t>Independent auditor</w:t>
            </w:r>
          </w:p>
        </w:tc>
        <w:tc>
          <w:tcPr>
            <w:tcW w:type="dxa" w:w="2436"/>
            <w:vAlign w:val="center"/>
          </w:tcPr>
          <w:p>
            <w:r/>
            <w:r>
              <w:rPr>
                <w:rFonts w:ascii="Figtree" w:hAnsi="Figtree"/>
                <w:b w:val="0"/>
                <w:i w:val="0"/>
                <w:sz w:val="22"/>
              </w:rPr>
              <w:t>Security, availability, processing integrity</w:t>
            </w:r>
          </w:p>
        </w:tc>
        <w:tc>
          <w:tcPr>
            <w:tcW w:type="dxa" w:w="2436"/>
            <w:vAlign w:val="center"/>
          </w:tcPr>
          <w:p>
            <w:r/>
            <w:r>
              <w:rPr>
                <w:rFonts w:ascii="Figtree" w:hAnsi="Figtree"/>
                <w:b w:val="0"/>
                <w:i w:val="0"/>
                <w:sz w:val="22"/>
              </w:rPr>
              <w:t>Current</w:t>
            </w:r>
          </w:p>
        </w:tc>
      </w:tr>
      <w:tr>
        <w:trPr>
          <w:trHeight w:val="454" w:hRule="atLeast"/>
        </w:trPr>
        <w:tc>
          <w:tcPr>
            <w:tcW w:type="dxa" w:w="2436"/>
            <w:vAlign w:val="center"/>
          </w:tcPr>
          <w:p>
            <w:r/>
            <w:r>
              <w:rPr>
                <w:rFonts w:ascii="Figtree" w:hAnsi="Figtree"/>
                <w:b w:val="0"/>
                <w:i w:val="0"/>
                <w:sz w:val="22"/>
              </w:rPr>
              <w:t>Smart contract audits</w:t>
            </w:r>
          </w:p>
        </w:tc>
        <w:tc>
          <w:tcPr>
            <w:tcW w:type="dxa" w:w="2436"/>
            <w:vAlign w:val="center"/>
          </w:tcPr>
          <w:p>
            <w:r/>
            <w:r>
              <w:rPr>
                <w:rFonts w:ascii="Figtree" w:hAnsi="Figtree"/>
                <w:b w:val="0"/>
                <w:i w:val="0"/>
                <w:sz w:val="22"/>
              </w:rPr>
              <w:t>Third-party security firms</w:t>
            </w:r>
          </w:p>
        </w:tc>
        <w:tc>
          <w:tcPr>
            <w:tcW w:type="dxa" w:w="2436"/>
            <w:vAlign w:val="center"/>
          </w:tcPr>
          <w:p>
            <w:r/>
            <w:r>
              <w:rPr>
                <w:rFonts w:ascii="Figtree" w:hAnsi="Figtree"/>
                <w:b w:val="0"/>
                <w:i w:val="0"/>
                <w:sz w:val="22"/>
              </w:rPr>
              <w:t>SMART Protocol and DALPAsset contracts</w:t>
            </w:r>
          </w:p>
        </w:tc>
        <w:tc>
          <w:tcPr>
            <w:tcW w:type="dxa" w:w="2436"/>
            <w:vAlign w:val="center"/>
          </w:tcPr>
          <w:p>
            <w:r/>
            <w:r>
              <w:rPr>
                <w:rFonts w:ascii="Figtree" w:hAnsi="Figtree"/>
                <w:b w:val="0"/>
                <w:i w:val="0"/>
                <w:sz w:val="22"/>
              </w:rPr>
              <w:t>Completed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