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Executive Summary</w:t>
          </w:r>
          <w:r>
            <w:tab/>
          </w:r>
          <w:r>
            <w:t xml:space="preserve">3</w:t>
          </w:r>
        </w:p>
        <w:p>
          <w:pPr>
            <w:pStyle w:val="TOC2"/>
            <w:tabs>
              <w:tab w:val="right" w:leader="dot" w:pos="9072"/>
            </w:tabs>
          </w:pPr>
          <w:r>
            <w:t xml:space="preserve">Context and Strategic Drivers</w:t>
          </w:r>
          <w:r>
            <w:tab/>
          </w:r>
          <w:r>
            <w:t xml:space="preserve">4</w:t>
          </w:r>
        </w:p>
        <w:p>
          <w:pPr>
            <w:pStyle w:val="TOC2"/>
            <w:tabs>
              <w:tab w:val="right" w:leader="dot" w:pos="9072"/>
            </w:tabs>
          </w:pPr>
          <w:r>
            <w:t xml:space="preserve">Why This Programme Is Hard</w:t>
          </w:r>
          <w:r>
            <w:tab/>
          </w:r>
          <w:r>
            <w:t xml:space="preserve">5</w:t>
          </w:r>
        </w:p>
        <w:p>
          <w:pPr>
            <w:pStyle w:val="TOC2"/>
            <w:tabs>
              <w:tab w:val="right" w:leader="dot" w:pos="9072"/>
            </w:tabs>
          </w:pPr>
          <w:r>
            <w:t xml:space="preserve">Proposed Response</w:t>
          </w:r>
          <w:r>
            <w:tab/>
          </w:r>
          <w:r>
            <w:t xml:space="preserve">6</w:t>
          </w:r>
        </w:p>
        <w:p>
          <w:pPr>
            <w:pStyle w:val="TOC2"/>
            <w:tabs>
              <w:tab w:val="right" w:leader="dot" w:pos="9072"/>
            </w:tabs>
          </w:pPr>
          <w:r>
            <w:t xml:space="preserve">Why SettleMint</w:t>
          </w:r>
          <w:r>
            <w:tab/>
          </w:r>
          <w:r>
            <w:t xml:space="preserve">7</w:t>
          </w:r>
        </w:p>
        <w:p>
          <w:pPr>
            <w:pStyle w:val="TOC2"/>
            <w:tabs>
              <w:tab w:val="right" w:leader="dot" w:pos="9072"/>
            </w:tabs>
          </w:pPr>
          <w:r>
            <w:t xml:space="preserve">Why DALP</w:t>
          </w:r>
          <w:r>
            <w:tab/>
          </w:r>
          <w:r>
            <w:t xml:space="preserve">8</w:t>
          </w:r>
        </w:p>
        <w:p>
          <w:pPr>
            <w:pStyle w:val="TOC2"/>
            <w:tabs>
              <w:tab w:val="right" w:leader="dot" w:pos="9072"/>
            </w:tabs>
          </w:pPr>
          <w:r>
            <w:t xml:space="preserve">Reference Fit Snapshot</w:t>
          </w:r>
          <w:r>
            <w:tab/>
          </w:r>
          <w:r>
            <w:t xml:space="preserve">9</w:t>
          </w:r>
        </w:p>
        <w:p>
          <w:pPr>
            <w:pStyle w:val="TOC1"/>
            <w:tabs>
              <w:tab w:val="right" w:leader="dot" w:pos="9072"/>
            </w:tabs>
          </w:pPr>
          <w:r>
            <w:t xml:space="preserve">About SettleMint</w:t>
          </w:r>
          <w:r>
            <w:tab/>
          </w:r>
          <w:r>
            <w:t xml:space="preserve">10</w:t>
          </w:r>
        </w:p>
        <w:p>
          <w:pPr>
            <w:pStyle w:val="TOC2"/>
            <w:tabs>
              <w:tab w:val="right" w:leader="dot" w:pos="9072"/>
            </w:tabs>
          </w:pPr>
          <w:r>
            <w:t xml:space="preserve">Company Overview</w:t>
          </w:r>
          <w:r>
            <w:tab/>
          </w:r>
          <w:r>
            <w:t xml:space="preserve">11</w:t>
          </w:r>
        </w:p>
        <w:p>
          <w:pPr>
            <w:pStyle w:val="TOC2"/>
            <w:tabs>
              <w:tab w:val="right" w:leader="dot" w:pos="9072"/>
            </w:tabs>
          </w:pPr>
          <w:r>
            <w:t xml:space="preserve">History and Market Position</w:t>
          </w:r>
          <w:r>
            <w:tab/>
          </w:r>
          <w:r>
            <w:t xml:space="preserve">12</w:t>
          </w:r>
        </w:p>
        <w:p>
          <w:pPr>
            <w:pStyle w:val="TOC2"/>
            <w:tabs>
              <w:tab w:val="right" w:leader="dot" w:pos="9072"/>
            </w:tabs>
          </w:pPr>
          <w:r>
            <w:t xml:space="preserve">Production Credentials</w:t>
          </w:r>
          <w:r>
            <w:tab/>
          </w:r>
          <w:r>
            <w:t xml:space="preserve">13</w:t>
          </w:r>
        </w:p>
        <w:p>
          <w:pPr>
            <w:pStyle w:val="TOC2"/>
            <w:tabs>
              <w:tab w:val="right" w:leader="dot" w:pos="9072"/>
            </w:tabs>
          </w:pPr>
          <w:r>
            <w:t xml:space="preserve">Regulatory Readiness</w:t>
          </w:r>
          <w:r>
            <w:tab/>
          </w:r>
          <w:r>
            <w:t xml:space="preserve">14</w:t>
          </w:r>
        </w:p>
        <w:p>
          <w:pPr>
            <w:pStyle w:val="TOC2"/>
            <w:tabs>
              <w:tab w:val="right" w:leader="dot" w:pos="9072"/>
            </w:tabs>
          </w:pPr>
          <w:r>
            <w:t xml:space="preserve">Team and Delivery Capability</w:t>
          </w:r>
          <w:r>
            <w:tab/>
          </w:r>
          <w:r>
            <w:t xml:space="preserve">15</w:t>
          </w:r>
        </w:p>
        <w:p>
          <w:pPr>
            <w:pStyle w:val="TOC2"/>
            <w:tabs>
              <w:tab w:val="right" w:leader="dot" w:pos="9072"/>
            </w:tabs>
          </w:pPr>
          <w:r>
            <w:t xml:space="preserve">Ecosystem and Partnerships</w:t>
          </w:r>
          <w:r>
            <w:tab/>
          </w:r>
          <w:r>
            <w:t xml:space="preserve">16</w:t>
          </w:r>
        </w:p>
        <w:p>
          <w:pPr>
            <w:pStyle w:val="TOC1"/>
            <w:tabs>
              <w:tab w:val="right" w:leader="dot" w:pos="9072"/>
            </w:tabs>
          </w:pPr>
          <w:r>
            <w:t xml:space="preserve">About DALP</w:t>
          </w:r>
          <w:r>
            <w:tab/>
          </w:r>
          <w:r>
            <w:t xml:space="preserve">17</w:t>
          </w:r>
        </w:p>
        <w:p>
          <w:pPr>
            <w:pStyle w:val="TOC2"/>
            <w:tabs>
              <w:tab w:val="right" w:leader="dot" w:pos="9072"/>
            </w:tabs>
          </w:pPr>
          <w:r>
            <w:t xml:space="preserve">Platform Overview</w:t>
          </w:r>
          <w:r>
            <w:tab/>
          </w:r>
          <w:r>
            <w:t xml:space="preserve">18</w:t>
          </w:r>
        </w:p>
        <w:p>
          <w:pPr>
            <w:pStyle w:val="TOC2"/>
            <w:tabs>
              <w:tab w:val="right" w:leader="dot" w:pos="9072"/>
            </w:tabs>
          </w:pPr>
          <w:r>
            <w:t xml:space="preserve">Core Lifecycle Pillars</w:t>
          </w:r>
          <w:r>
            <w:tab/>
          </w:r>
          <w:r>
            <w:t xml:space="preserve">19</w:t>
          </w:r>
        </w:p>
        <w:p>
          <w:pPr>
            <w:pStyle w:val="TOC3"/>
            <w:tabs>
              <w:tab w:val="right" w:leader="dot" w:pos="9072"/>
            </w:tabs>
          </w:pPr>
          <w:r>
            <w:t xml:space="preserve">Issuance</w:t>
          </w:r>
          <w:r>
            <w:tab/>
          </w:r>
          <w:r>
            <w:t xml:space="preserve">20</w:t>
          </w:r>
        </w:p>
        <w:p>
          <w:pPr>
            <w:pStyle w:val="TOC3"/>
            <w:tabs>
              <w:tab w:val="right" w:leader="dot" w:pos="9072"/>
            </w:tabs>
          </w:pPr>
          <w:r>
            <w:t xml:space="preserve">Compliance</w:t>
          </w:r>
          <w:r>
            <w:tab/>
          </w:r>
          <w:r>
            <w:t xml:space="preserve">21</w:t>
          </w:r>
        </w:p>
        <w:p>
          <w:pPr>
            <w:pStyle w:val="TOC3"/>
            <w:tabs>
              <w:tab w:val="right" w:leader="dot" w:pos="9072"/>
            </w:tabs>
          </w:pPr>
          <w:r>
            <w:t xml:space="preserve">Custody</w:t>
          </w:r>
          <w:r>
            <w:tab/>
          </w:r>
          <w:r>
            <w:t xml:space="preserve">22</w:t>
          </w:r>
        </w:p>
        <w:p>
          <w:pPr>
            <w:pStyle w:val="TOC3"/>
            <w:tabs>
              <w:tab w:val="right" w:leader="dot" w:pos="9072"/>
            </w:tabs>
          </w:pPr>
          <w:r>
            <w:t xml:space="preserve">Settlement</w:t>
          </w:r>
          <w:r>
            <w:tab/>
          </w:r>
          <w:r>
            <w:t xml:space="preserve">23</w:t>
          </w:r>
        </w:p>
        <w:p>
          <w:pPr>
            <w:pStyle w:val="TOC3"/>
            <w:tabs>
              <w:tab w:val="right" w:leader="dot" w:pos="9072"/>
            </w:tabs>
          </w:pPr>
          <w:r>
            <w:t xml:space="preserve">Servicing</w:t>
          </w:r>
          <w:r>
            <w:tab/>
          </w:r>
          <w:r>
            <w:t xml:space="preserve">24</w:t>
          </w:r>
        </w:p>
        <w:p>
          <w:pPr>
            <w:pStyle w:val="TOC2"/>
            <w:tabs>
              <w:tab w:val="right" w:leader="dot" w:pos="9072"/>
            </w:tabs>
          </w:pPr>
          <w:r>
            <w:t xml:space="preserve">Platform Foundations</w:t>
          </w:r>
          <w:r>
            <w:tab/>
          </w:r>
          <w:r>
            <w:t xml:space="preserve">25</w:t>
          </w:r>
        </w:p>
        <w:p>
          <w:pPr>
            <w:pStyle w:val="TOC3"/>
            <w:tabs>
              <w:tab w:val="right" w:leader="dot" w:pos="9072"/>
            </w:tabs>
          </w:pPr>
          <w:r>
            <w:t xml:space="preserve">Identity and Access Management</w:t>
          </w:r>
          <w:r>
            <w:tab/>
          </w:r>
          <w:r>
            <w:t xml:space="preserve">26</w:t>
          </w:r>
        </w:p>
        <w:p>
          <w:pPr>
            <w:pStyle w:val="TOC3"/>
            <w:tabs>
              <w:tab w:val="right" w:leader="dot" w:pos="9072"/>
            </w:tabs>
          </w:pPr>
          <w:r>
            <w:t xml:space="preserve">Integration and Interoperability</w:t>
          </w:r>
          <w:r>
            <w:tab/>
          </w:r>
          <w:r>
            <w:t xml:space="preserve">27</w:t>
          </w:r>
        </w:p>
        <w:p>
          <w:pPr>
            <w:pStyle w:val="TOC3"/>
            <w:tabs>
              <w:tab w:val="right" w:leader="dot" w:pos="9072"/>
            </w:tabs>
          </w:pPr>
          <w:r>
            <w:t xml:space="preserve">Observability and Operations</w:t>
          </w:r>
          <w:r>
            <w:tab/>
          </w:r>
          <w:r>
            <w:t xml:space="preserve">28</w:t>
          </w:r>
        </w:p>
        <w:p>
          <w:pPr>
            <w:pStyle w:val="TOC2"/>
            <w:tabs>
              <w:tab w:val="right" w:leader="dot" w:pos="9072"/>
            </w:tabs>
          </w:pPr>
          <w:r>
            <w:t xml:space="preserve">Standards and Protocols</w:t>
          </w:r>
          <w:r>
            <w:tab/>
          </w:r>
          <w:r>
            <w:t xml:space="preserve">29</w:t>
          </w:r>
        </w:p>
        <w:p>
          <w:pPr>
            <w:pStyle w:val="TOC1"/>
            <w:tabs>
              <w:tab w:val="right" w:leader="dot" w:pos="9072"/>
            </w:tabs>
          </w:pPr>
          <w:r>
            <w:t xml:space="preserve">Customer References</w:t>
          </w:r>
          <w:r>
            <w:tab/>
          </w:r>
          <w:r>
            <w:t xml:space="preserve">30</w:t>
          </w:r>
        </w:p>
        <w:p>
          <w:pPr>
            <w:pStyle w:val="TOC2"/>
            <w:tabs>
              <w:tab w:val="right" w:leader="dot" w:pos="9072"/>
            </w:tabs>
          </w:pPr>
          <w:r>
            <w:t xml:space="preserve">Summary Table</w:t>
          </w:r>
          <w:r>
            <w:tab/>
          </w:r>
          <w:r>
            <w:t xml:space="preserve">31</w:t>
          </w:r>
        </w:p>
        <w:p>
          <w:pPr>
            <w:pStyle w:val="TOC2"/>
            <w:tabs>
              <w:tab w:val="right" w:leader="dot" w:pos="9072"/>
            </w:tabs>
          </w:pPr>
          <w:r>
            <w:t xml:space="preserve">Expanded Reference: Commerzbank</w:t>
          </w:r>
          <w:r>
            <w:tab/>
          </w:r>
          <w:r>
            <w:t xml:space="preserve">32</w:t>
          </w:r>
        </w:p>
        <w:p>
          <w:pPr>
            <w:pStyle w:val="TOC2"/>
            <w:tabs>
              <w:tab w:val="right" w:leader="dot" w:pos="9072"/>
            </w:tabs>
          </w:pPr>
          <w:r>
            <w:t xml:space="preserve">Expanded Reference: Standard Chartered Bank</w:t>
          </w:r>
          <w:r>
            <w:tab/>
          </w:r>
          <w:r>
            <w:t xml:space="preserve">33</w:t>
          </w:r>
        </w:p>
        <w:p>
          <w:pPr>
            <w:pStyle w:val="TOC2"/>
            <w:tabs>
              <w:tab w:val="right" w:leader="dot" w:pos="9072"/>
            </w:tabs>
          </w:pPr>
          <w:r>
            <w:t xml:space="preserve">Expanded Reference: Saudi RER</w:t>
          </w:r>
          <w:r>
            <w:tab/>
          </w:r>
          <w:r>
            <w:t xml:space="preserve">34</w:t>
          </w:r>
        </w:p>
        <w:p>
          <w:pPr>
            <w:pStyle w:val="TOC1"/>
            <w:tabs>
              <w:tab w:val="right" w:leader="dot" w:pos="9072"/>
            </w:tabs>
          </w:pPr>
          <w:r>
            <w:t xml:space="preserve">Understanding of Requirements</w:t>
          </w:r>
          <w:r>
            <w:tab/>
          </w:r>
          <w:r>
            <w:t xml:space="preserve">35</w:t>
          </w:r>
        </w:p>
        <w:p>
          <w:pPr>
            <w:pStyle w:val="TOC2"/>
            <w:tabs>
              <w:tab w:val="right" w:leader="dot" w:pos="9072"/>
            </w:tabs>
          </w:pPr>
          <w:r>
            <w:t xml:space="preserve">Client Context</w:t>
          </w:r>
          <w:r>
            <w:tab/>
          </w:r>
          <w:r>
            <w:t xml:space="preserve">36</w:t>
          </w:r>
        </w:p>
        <w:p>
          <w:pPr>
            <w:pStyle w:val="TOC2"/>
            <w:tabs>
              <w:tab w:val="right" w:leader="dot" w:pos="9072"/>
            </w:tabs>
          </w:pPr>
          <w:r>
            <w:t xml:space="preserve">Requirement Domains</w:t>
          </w:r>
          <w:r>
            <w:tab/>
          </w:r>
          <w:r>
            <w:t xml:space="preserve">37</w:t>
          </w:r>
        </w:p>
        <w:p>
          <w:pPr>
            <w:pStyle w:val="TOC2"/>
            <w:tabs>
              <w:tab w:val="right" w:leader="dot" w:pos="9072"/>
            </w:tabs>
          </w:pPr>
          <w:r>
            <w:t xml:space="preserve">Key Challenges</w:t>
          </w:r>
          <w:r>
            <w:tab/>
          </w:r>
          <w:r>
            <w:t xml:space="preserve">38</w:t>
          </w:r>
        </w:p>
        <w:p>
          <w:pPr>
            <w:pStyle w:val="TOC1"/>
            <w:tabs>
              <w:tab w:val="right" w:leader="dot" w:pos="9072"/>
            </w:tabs>
          </w:pPr>
          <w:r>
            <w:t xml:space="preserve">Proposed Solution and Functional Capabilities</w:t>
          </w:r>
          <w:r>
            <w:tab/>
          </w:r>
          <w:r>
            <w:t xml:space="preserve">39</w:t>
          </w:r>
        </w:p>
        <w:p>
          <w:pPr>
            <w:pStyle w:val="TOC2"/>
            <w:tabs>
              <w:tab w:val="right" w:leader="dot" w:pos="9072"/>
            </w:tabs>
          </w:pPr>
          <w:r>
            <w:t xml:space="preserve">Solution Overview</w:t>
          </w:r>
          <w:r>
            <w:tab/>
          </w:r>
          <w:r>
            <w:t xml:space="preserve">40</w:t>
          </w:r>
        </w:p>
        <w:p>
          <w:pPr>
            <w:pStyle w:val="TOC2"/>
            <w:tabs>
              <w:tab w:val="right" w:leader="dot" w:pos="9072"/>
            </w:tabs>
          </w:pPr>
          <w:r>
            <w:t xml:space="preserve">Issuance and Asset Configuration</w:t>
          </w:r>
          <w:r>
            <w:tab/>
          </w:r>
          <w:r>
            <w:t xml:space="preserve">41</w:t>
          </w:r>
        </w:p>
        <w:p>
          <w:pPr>
            <w:pStyle w:val="TOC2"/>
            <w:tabs>
              <w:tab w:val="right" w:leader="dot" w:pos="9072"/>
            </w:tabs>
          </w:pPr>
          <w:r>
            <w:t xml:space="preserve">Identity and Eligibility</w:t>
          </w:r>
          <w:r>
            <w:tab/>
          </w:r>
          <w:r>
            <w:t xml:space="preserve">42</w:t>
          </w:r>
        </w:p>
        <w:p>
          <w:pPr>
            <w:pStyle w:val="TOC2"/>
            <w:tabs>
              <w:tab w:val="right" w:leader="dot" w:pos="9072"/>
            </w:tabs>
          </w:pPr>
          <w:r>
            <w:t xml:space="preserve">Compliance Enforcement</w:t>
          </w:r>
          <w:r>
            <w:tab/>
          </w:r>
          <w:r>
            <w:t xml:space="preserve">43</w:t>
          </w:r>
        </w:p>
        <w:p>
          <w:pPr>
            <w:pStyle w:val="TOC2"/>
            <w:tabs>
              <w:tab w:val="right" w:leader="dot" w:pos="9072"/>
            </w:tabs>
          </w:pPr>
          <w:r>
            <w:t xml:space="preserve">Settlement and Cash-Leg Coordination</w:t>
          </w:r>
          <w:r>
            <w:tab/>
          </w:r>
          <w:r>
            <w:t xml:space="preserve">44</w:t>
          </w:r>
        </w:p>
        <w:p>
          <w:pPr>
            <w:pStyle w:val="TOC2"/>
            <w:tabs>
              <w:tab w:val="right" w:leader="dot" w:pos="9072"/>
            </w:tabs>
          </w:pPr>
          <w:r>
            <w:t xml:space="preserve">Lifecycle Servicing</w:t>
          </w:r>
          <w:r>
            <w:tab/>
          </w:r>
          <w:r>
            <w:t xml:space="preserve">45</w:t>
          </w:r>
        </w:p>
        <w:p>
          <w:pPr>
            <w:pStyle w:val="TOC2"/>
            <w:tabs>
              <w:tab w:val="right" w:leader="dot" w:pos="9072"/>
            </w:tabs>
          </w:pPr>
          <w:r>
            <w:t xml:space="preserve">Functional Fit Matrix</w:t>
          </w:r>
          <w:r>
            <w:tab/>
          </w:r>
          <w:r>
            <w:t xml:space="preserve">46</w:t>
          </w:r>
        </w:p>
        <w:p>
          <w:pPr>
            <w:pStyle w:val="TOC1"/>
            <w:tabs>
              <w:tab w:val="right" w:leader="dot" w:pos="9072"/>
            </w:tabs>
          </w:pPr>
          <w:r>
            <w:t xml:space="preserve">Technical Architecture</w:t>
          </w:r>
          <w:r>
            <w:tab/>
          </w:r>
          <w:r>
            <w:t xml:space="preserve">47</w:t>
          </w:r>
        </w:p>
        <w:p>
          <w:pPr>
            <w:pStyle w:val="TOC2"/>
            <w:tabs>
              <w:tab w:val="right" w:leader="dot" w:pos="9072"/>
            </w:tabs>
          </w:pPr>
          <w:r>
            <w:t xml:space="preserve">Architectural Principles</w:t>
          </w:r>
          <w:r>
            <w:tab/>
          </w:r>
          <w:r>
            <w:t xml:space="preserve">48</w:t>
          </w:r>
        </w:p>
        <w:p>
          <w:pPr>
            <w:pStyle w:val="TOC2"/>
            <w:tabs>
              <w:tab w:val="right" w:leader="dot" w:pos="9072"/>
            </w:tabs>
          </w:pPr>
          <w:r>
            <w:t xml:space="preserve">Layered Architecture</w:t>
          </w:r>
          <w:r>
            <w:tab/>
          </w:r>
          <w:r>
            <w:t xml:space="preserve">49</w:t>
          </w:r>
        </w:p>
        <w:p>
          <w:pPr>
            <w:pStyle w:val="TOC2"/>
            <w:tabs>
              <w:tab w:val="right" w:leader="dot" w:pos="9072"/>
            </w:tabs>
          </w:pPr>
          <w:r>
            <w:t xml:space="preserve">Data Architecture</w:t>
          </w:r>
          <w:r>
            <w:tab/>
          </w:r>
          <w:r>
            <w:t xml:space="preserve">50</w:t>
          </w:r>
        </w:p>
        <w:p>
          <w:pPr>
            <w:pStyle w:val="TOC2"/>
            <w:tabs>
              <w:tab w:val="right" w:leader="dot" w:pos="9072"/>
            </w:tabs>
          </w:pPr>
          <w:r>
            <w:t xml:space="preserve">Network Topology</w:t>
          </w:r>
          <w:r>
            <w:tab/>
          </w:r>
          <w:r>
            <w:t xml:space="preserve">51</w:t>
          </w:r>
        </w:p>
        <w:p>
          <w:pPr>
            <w:pStyle w:val="TOC2"/>
            <w:tabs>
              <w:tab w:val="right" w:leader="dot" w:pos="9072"/>
            </w:tabs>
          </w:pPr>
          <w:r>
            <w:t xml:space="preserve">Transaction Pipeline</w:t>
          </w:r>
          <w:r>
            <w:tab/>
          </w:r>
          <w:r>
            <w:t xml:space="preserve">52</w:t>
          </w:r>
        </w:p>
        <w:p>
          <w:pPr>
            <w:pStyle w:val="TOC1"/>
            <w:tabs>
              <w:tab w:val="right" w:leader="dot" w:pos="9072"/>
            </w:tabs>
          </w:pPr>
          <w:r>
            <w:t xml:space="preserve">Security</w:t>
          </w:r>
          <w:r>
            <w:tab/>
          </w:r>
          <w:r>
            <w:t xml:space="preserve">53</w:t>
          </w:r>
        </w:p>
        <w:p>
          <w:pPr>
            <w:pStyle w:val="TOC2"/>
            <w:tabs>
              <w:tab w:val="right" w:leader="dot" w:pos="9072"/>
            </w:tabs>
          </w:pPr>
          <w:r>
            <w:t xml:space="preserve">Security Model</w:t>
          </w:r>
          <w:r>
            <w:tab/>
          </w:r>
          <w:r>
            <w:t xml:space="preserve">54</w:t>
          </w:r>
        </w:p>
        <w:p>
          <w:pPr>
            <w:pStyle w:val="TOC2"/>
            <w:tabs>
              <w:tab w:val="right" w:leader="dot" w:pos="9072"/>
            </w:tabs>
          </w:pPr>
          <w:r>
            <w:t xml:space="preserve">Authentication and Access Control</w:t>
          </w:r>
          <w:r>
            <w:tab/>
          </w:r>
          <w:r>
            <w:t xml:space="preserve">55</w:t>
          </w:r>
        </w:p>
        <w:p>
          <w:pPr>
            <w:pStyle w:val="TOC2"/>
            <w:tabs>
              <w:tab w:val="right" w:leader="dot" w:pos="9072"/>
            </w:tabs>
          </w:pPr>
          <w:r>
            <w:t xml:space="preserve">Key Management</w:t>
          </w:r>
          <w:r>
            <w:tab/>
          </w:r>
          <w:r>
            <w:t xml:space="preserve">56</w:t>
          </w:r>
        </w:p>
        <w:p>
          <w:pPr>
            <w:pStyle w:val="TOC2"/>
            <w:tabs>
              <w:tab w:val="right" w:leader="dot" w:pos="9072"/>
            </w:tabs>
          </w:pPr>
          <w:r>
            <w:t xml:space="preserve">Security Responsibility Matrix</w:t>
          </w:r>
          <w:r>
            <w:tab/>
          </w:r>
          <w:r>
            <w:t xml:space="preserve">57</w:t>
          </w:r>
        </w:p>
        <w:p>
          <w:pPr>
            <w:pStyle w:val="TOC1"/>
            <w:tabs>
              <w:tab w:val="right" w:leader="dot" w:pos="9072"/>
            </w:tabs>
          </w:pPr>
          <w:r>
            <w:t xml:space="preserve">Project Implementation and Delivery</w:t>
          </w:r>
          <w:r>
            <w:tab/>
          </w:r>
          <w:r>
            <w:t xml:space="preserve">58</w:t>
          </w:r>
        </w:p>
        <w:p>
          <w:pPr>
            <w:pStyle w:val="TOC2"/>
            <w:tabs>
              <w:tab w:val="right" w:leader="dot" w:pos="9072"/>
            </w:tabs>
          </w:pPr>
          <w:r>
            <w:t xml:space="preserve">Phase Plan</w:t>
          </w:r>
          <w:r>
            <w:tab/>
          </w:r>
          <w:r>
            <w:t xml:space="preserve">59</w:t>
          </w:r>
        </w:p>
        <w:p>
          <w:pPr>
            <w:pStyle w:val="TOC2"/>
            <w:tabs>
              <w:tab w:val="right" w:leader="dot" w:pos="9072"/>
            </w:tabs>
          </w:pPr>
          <w:r>
            <w:t xml:space="preserve">Risk Register</w:t>
          </w:r>
          <w:r>
            <w:tab/>
          </w:r>
          <w:r>
            <w:t xml:space="preserve">60</w:t>
          </w:r>
        </w:p>
        <w:p>
          <w:pPr>
            <w:pStyle w:val="TOC1"/>
            <w:tabs>
              <w:tab w:val="right" w:leader="dot" w:pos="9072"/>
            </w:tabs>
          </w:pPr>
          <w:r>
            <w:t xml:space="preserve">Deployment</w:t>
          </w:r>
          <w:r>
            <w:tab/>
          </w:r>
          <w:r>
            <w:t xml:space="preserve">61</w:t>
          </w:r>
        </w:p>
        <w:p>
          <w:pPr>
            <w:pStyle w:val="TOC2"/>
            <w:tabs>
              <w:tab w:val="right" w:leader="dot" w:pos="9072"/>
            </w:tabs>
          </w:pPr>
          <w:r>
            <w:t xml:space="preserve">Recommended Model</w:t>
          </w:r>
          <w:r>
            <w:tab/>
          </w:r>
          <w:r>
            <w:t xml:space="preserve">62</w:t>
          </w:r>
        </w:p>
        <w:p>
          <w:pPr>
            <w:pStyle w:val="TOC2"/>
            <w:tabs>
              <w:tab w:val="right" w:leader="dot" w:pos="9072"/>
            </w:tabs>
          </w:pPr>
          <w:r>
            <w:t xml:space="preserve">Infrastructure Requirements</w:t>
          </w:r>
          <w:r>
            <w:tab/>
          </w:r>
          <w:r>
            <w:t xml:space="preserve">63</w:t>
          </w:r>
        </w:p>
        <w:p>
          <w:pPr>
            <w:pStyle w:val="TOC1"/>
            <w:tabs>
              <w:tab w:val="right" w:leader="dot" w:pos="9072"/>
            </w:tabs>
          </w:pPr>
          <w:r>
            <w:t xml:space="preserve">Training and Knowledge Transfer</w:t>
          </w:r>
          <w:r>
            <w:tab/>
          </w:r>
          <w:r>
            <w:t xml:space="preserve">64</w:t>
          </w:r>
        </w:p>
        <w:p>
          <w:pPr>
            <w:pStyle w:val="TOC1"/>
            <w:tabs>
              <w:tab w:val="right" w:leader="dot" w:pos="9072"/>
            </w:tabs>
          </w:pPr>
          <w:r>
            <w:t xml:space="preserve">Support and SLA</w:t>
          </w:r>
          <w:r>
            <w:tab/>
          </w:r>
          <w:r>
            <w:t xml:space="preserve">65</w:t>
          </w:r>
        </w:p>
        <w:p>
          <w:pPr>
            <w:pStyle w:val="TOC2"/>
            <w:tabs>
              <w:tab w:val="right" w:leader="dot" w:pos="9072"/>
            </w:tabs>
          </w:pPr>
          <w:r>
            <w:t xml:space="preserve">Recommended Tier: Premium</w:t>
          </w:r>
          <w:r>
            <w:tab/>
          </w:r>
          <w:r>
            <w:t xml:space="preserve">66</w:t>
          </w:r>
        </w:p>
        <w:p>
          <w:pPr>
            <w:pStyle w:val="TOC2"/>
            <w:tabs>
              <w:tab w:val="right" w:leader="dot" w:pos="9072"/>
            </w:tabs>
          </w:pPr>
          <w:r>
            <w:t xml:space="preserve">Severity Matrix</w:t>
          </w:r>
          <w:r>
            <w:tab/>
          </w:r>
          <w:r>
            <w:t xml:space="preserve">67</w:t>
          </w:r>
        </w:p>
        <w:p>
          <w:pPr>
            <w:pStyle w:val="TOC1"/>
            <w:tabs>
              <w:tab w:val="right" w:leader="dot" w:pos="9072"/>
            </w:tabs>
          </w:pPr>
          <w:r>
            <w:t xml:space="preserve">Compliance Matrix</w:t>
          </w:r>
          <w:r>
            <w:tab/>
          </w:r>
          <w:r>
            <w:t xml:space="preserve">68</w:t>
          </w:r>
        </w:p>
        <w:p>
          <w:pPr>
            <w:pStyle w:val="TOC1"/>
            <w:tabs>
              <w:tab w:val="right" w:leader="dot" w:pos="9072"/>
            </w:tabs>
          </w:pPr>
          <w:r>
            <w:t xml:space="preserve">Support Appendix</w:t>
          </w:r>
          <w:r>
            <w:tab/>
          </w:r>
          <w:r>
            <w:t xml:space="preserve">69</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38"/>
        <w:gridCol w:w="713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Technical Proposal: Digital Bond Platform for Wholesale and Treasury Issuance</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FirstRand (South Africa)</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w:t>
            </w:r>
          </w:p>
        </w:tc>
        <w:tc>
          <w:tcPr>
            <w:tcW w:type="dxa" w:w="4873"/>
            <w:vAlign w:val="center"/>
          </w:tcPr>
          <w:p>
            <w:pPr>
              <w:spacing w:line="276" w:lineRule="auto" w:before="0" w:after="0"/>
            </w:pPr>
            <w:r/>
            <w:r>
              <w:rPr>
                <w:rFonts w:ascii="Figtree" w:hAnsi="Figtree"/>
                <w:b w:val="0"/>
                <w:i w:val="0"/>
                <w:sz w:val="20"/>
              </w:rPr>
              <w:t>Restricted</w:t>
            </w:r>
          </w:p>
        </w:tc>
      </w:tr>
      <w:tr>
        <w:trPr>
          <w:trHeight w:val="425" w:hRule="atLeast"/>
        </w:trPr>
        <w:tc>
          <w:tcPr>
            <w:tcW w:type="dxa" w:w="4873"/>
            <w:vAlign w:val="center"/>
          </w:tcPr>
          <w:p>
            <w:pPr>
              <w:spacing w:line="276" w:lineRule="auto" w:before="0" w:after="0"/>
            </w:pPr>
            <w:r/>
            <w:r>
              <w:rPr>
                <w:rFonts w:ascii="Figtree" w:hAnsi="Figtree"/>
                <w:b w:val="0"/>
                <w:i w:val="0"/>
                <w:sz w:val="20"/>
              </w:rPr>
              <w:t>RFP Reference</w:t>
            </w:r>
          </w:p>
        </w:tc>
        <w:tc>
          <w:tcPr>
            <w:tcW w:type="dxa" w:w="4873"/>
            <w:vAlign w:val="center"/>
          </w:tcPr>
          <w:p>
            <w:pPr>
              <w:spacing w:line="276" w:lineRule="auto" w:before="0" w:after="0"/>
            </w:pPr>
            <w:r/>
            <w:r>
              <w:rPr>
                <w:rFonts w:ascii="Figtree" w:hAnsi="Figtree"/>
                <w:b w:val="0"/>
                <w:i w:val="0"/>
                <w:sz w:val="20"/>
              </w:rPr>
              <w:t>FIRSTRAND-RFP-DIGITAL-BOND-PLATFORM-202603</w:t>
            </w:r>
          </w:p>
        </w:tc>
      </w:tr>
      <w:tr>
        <w:trPr>
          <w:trHeight w:val="425" w:hRule="atLeast"/>
        </w:trPr>
        <w:tc>
          <w:tcPr>
            <w:tcW w:type="dxa" w:w="4873"/>
            <w:vAlign w:val="center"/>
          </w:tcPr>
          <w:p>
            <w:pPr>
              <w:spacing w:line="276" w:lineRule="auto" w:before="0" w:after="0"/>
            </w:pPr>
            <w:r/>
            <w:r>
              <w:rPr>
                <w:rFonts w:ascii="Figtree" w:hAnsi="Figtree"/>
                <w:b w:val="0"/>
                <w:i w:val="0"/>
                <w:sz w:val="20"/>
              </w:rPr>
              <w:t>Contact</w:t>
            </w:r>
          </w:p>
        </w:tc>
        <w:tc>
          <w:tcPr>
            <w:tcW w:type="dxa" w:w="4873"/>
            <w:vAlign w:val="center"/>
          </w:tcPr>
          <w:p>
            <w:pPr>
              <w:spacing w:line="276" w:lineRule="auto" w:before="0" w:after="0"/>
            </w:pPr>
            <w:r/>
            <w:r>
              <w:rPr>
                <w:rFonts w:ascii="Figtree" w:hAnsi="Figtree"/>
                <w:b w:val="0"/>
                <w:i w:val="0"/>
                <w:sz w:val="20"/>
              </w:rPr>
              <w:t>SettleMint NV, Kempische Steenweg 311/4.01, 3500 Hasselt, Belgium</w:t>
            </w:r>
          </w:p>
        </w:tc>
      </w:tr>
      <w:tr>
        <w:trPr>
          <w:trHeight w:val="425" w:hRule="atLeast"/>
        </w:trPr>
        <w:tc>
          <w:tcPr>
            <w:tcW w:type="dxa" w:w="4873"/>
            <w:vAlign w:val="center"/>
          </w:tcPr>
          <w:p>
            <w:pPr>
              <w:spacing w:line="276" w:lineRule="auto" w:before="0" w:after="0"/>
            </w:pPr>
            <w:r/>
            <w:r>
              <w:rPr>
                <w:rFonts w:ascii="Figtree" w:hAnsi="Figtree"/>
                <w:b w:val="0"/>
                <w:i w:val="0"/>
                <w:sz w:val="20"/>
              </w:rPr>
              <w:t>Valid until</w:t>
            </w:r>
          </w:p>
        </w:tc>
        <w:tc>
          <w:tcPr>
            <w:tcW w:type="dxa" w:w="4873"/>
            <w:vAlign w:val="center"/>
          </w:tcPr>
          <w:p>
            <w:pPr>
              <w:spacing w:line="276" w:lineRule="auto" w:before="0" w:after="0"/>
            </w:pPr>
            <w:r/>
            <w:r>
              <w:rPr>
                <w:rFonts w:ascii="Figtree" w:hAnsi="Figtree"/>
                <w:b w:val="0"/>
                <w:i w:val="0"/>
                <w:sz w:val="20"/>
              </w:rPr>
              <w:t>June 2026</w:t>
            </w:r>
          </w:p>
        </w:tc>
      </w:tr>
    </w:tbl>
    <w:p>
      <w:pPr>
        <w:spacing w:before="0" w:after="0" w:line="120" w:lineRule="exact"/>
      </w:pPr>
    </w:p>
    <w:p>
      <w:r>
        <w:br w:type="page"/>
      </w:r>
    </w:p>
    <w:p>
      <w:pPr>
        <w:pStyle w:val="H1"/>
        <w:numPr>
          <w:ilvl w:val="0"/>
          <w:numId w:val="1"/>
        </w:numPr>
      </w:pPr>
      <w:r>
        <w:t>Executive Summary</w:t>
      </w:r>
    </w:p>
    <w:p>
      <w:pPr>
        <w:pStyle w:val="H2"/>
        <w:numPr>
          <w:ilvl w:val="1"/>
          <w:numId w:val="1"/>
        </w:numPr>
      </w:pPr>
      <w:r>
        <w:t>Context and Strategic Drivers</w:t>
      </w:r>
    </w:p>
    <w:p>
      <w:r>
        <w:rPr>
          <w:rFonts w:ascii="Figtree" w:hAnsi="Figtree"/>
          <w:b w:val="0"/>
          <w:i w:val="0"/>
          <w:sz w:val="22"/>
        </w:rPr>
        <w:t>FirstRand is procuring a digital bond platform for wholesale and treasury issuance as a business-critical capability, not a speculative innovation exercise. The bank requires production-grade infrastructure that can operate within its existing control environment, shaped by business ownership, architecture standards, security review, legal interpretation, compliance sign-off, and internal audit expectations under the South African Reserve Bank (SARB) and Financial Sector Conduct Authority (FSCA) supervisory framework.</w:t>
      </w:r>
    </w:p>
    <w:p>
      <w:r>
        <w:rPr>
          <w:rFonts w:ascii="Figtree" w:hAnsi="Figtree"/>
          <w:b w:val="0"/>
          <w:i w:val="0"/>
          <w:sz w:val="22"/>
        </w:rPr>
        <w:t>South Africa's capital markets are at a pivotal moment. The SARB's Project Khokha has demonstrated the feasibility of blockchain-based settlement infrastructure, and the Johannesburg Stock Exchange (JSE) is actively exploring digital asset capabilities. FirstRand's position as one of South Africa's largest financial services groups places the bank at the forefront of this transition. The platform selected must deliver deterministic settlement finality in under 3 seconds, with compliance enforcement built into every transaction, to meet the operational and regulatory standards that wholesale and treasury operations demand.</w:t>
      </w:r>
    </w:p>
    <w:p>
      <w:pPr>
        <w:pStyle w:val="H2"/>
        <w:numPr>
          <w:ilvl w:val="1"/>
          <w:numId w:val="1"/>
        </w:numPr>
      </w:pPr>
      <w:r>
        <w:t>Why This Programme Is Hard</w:t>
      </w:r>
    </w:p>
    <w:p>
      <w:r>
        <w:rPr>
          <w:rFonts w:ascii="Figtree" w:hAnsi="Figtree"/>
          <w:b w:val="0"/>
          <w:i w:val="0"/>
          <w:sz w:val="22"/>
        </w:rPr>
        <w:t>Wholesale bond issuance operates at a scale and with governance requirements that far exceed retail tokenization use cases. Treasury instruments require precise maturity management, coupon calculation across complex day-count conventions, call and put option handling, and secondary market connectivity, all within a control environment that produces the audit evidence SARB, FSCA, and internal audit teams expect.</w:t>
      </w:r>
    </w:p>
    <w:p>
      <w:r>
        <w:rPr>
          <w:rFonts w:ascii="Figtree" w:hAnsi="Figtree"/>
          <w:b w:val="0"/>
          <w:i w:val="0"/>
          <w:sz w:val="22"/>
        </w:rPr>
        <w:t>The integration challenge is significant. A wholesale bond platform must connect to FirstRand's core banking systems, treasury management platform, identity and KYC infrastructure, SARB reporting systems, custodian arrangements, and the JSE's market infrastructure. Each integration point introduces dependencies that, if poorly governed, create reconciliation gaps and operational risk.</w:t>
      </w:r>
    </w:p>
    <w:p>
      <w:r>
        <w:rPr>
          <w:rFonts w:ascii="Figtree" w:hAnsi="Figtree"/>
          <w:b w:val="0"/>
          <w:i w:val="0"/>
          <w:sz w:val="22"/>
        </w:rPr>
        <w:t>South Africa's regulatory landscape adds complexity. SARB's prudential requirements, FSCA conduct standards, Financial Intelligence Centre (FIC) AML/CFT obligations, and the evolving digital asset regulatory framework create a multi-layered compliance environment. Cross-border distribution to international institutional investors adds further jurisdictional complexity.</w:t>
      </w:r>
    </w:p>
    <w:p>
      <w:pPr>
        <w:pStyle w:val="H2"/>
        <w:numPr>
          <w:ilvl w:val="1"/>
          <w:numId w:val="1"/>
        </w:numPr>
      </w:pPr>
      <w:r>
        <w:t>Proposed Response</w:t>
      </w:r>
    </w:p>
    <w:p>
      <w:r>
        <w:rPr>
          <w:rFonts w:ascii="Figtree" w:hAnsi="Figtree"/>
          <w:b w:val="0"/>
          <w:i w:val="0"/>
          <w:sz w:val="22"/>
        </w:rPr>
        <w:t>SettleMint proposes the Digital Asset Lifecycle Platform (DALP) as the production-grade infrastructure for FirstRand's digital bond programme. The deployment model is a dedicated cloud environment with South Africa-resident infrastructure, ensuring data sovereignty compliance with SARB data localization expectations.</w:t>
      </w:r>
    </w:p>
    <w:p>
      <w:r>
        <w:rPr>
          <w:rFonts w:ascii="Figtree" w:hAnsi="Figtree"/>
          <w:b w:val="0"/>
          <w:i w:val="0"/>
          <w:sz w:val="22"/>
        </w:rPr>
        <w:t>DALP covers the complete wholesale bond lifecycle through a single platform: asset design and structuring with purpose-built bond templates; primary issuance with deterministic orchestration and governance controls; ex-ante compliance enforcement through 18 configurable compliance module types; atomic Delivery-versus-Payment (DvP) settlement with T+0 finality; automated lifecycle servicing including coupon distribution, maturity redemption, and corporate actions; and custody orchestration through bring-your-own-custodian integrations.</w:t>
      </w:r>
    </w:p>
    <w:p>
      <w:r>
        <w:rPr>
          <w:rFonts w:ascii="Figtree" w:hAnsi="Figtree"/>
          <w:b w:val="0"/>
          <w:i w:val="0"/>
          <w:sz w:val="22"/>
        </w:rPr>
        <w:t>The implementation follows a 19-week phase-gated delivery model with formal gate reviews at each phase boundary.</w:t>
      </w:r>
    </w:p>
    <w:p>
      <w:pPr>
        <w:jc w:val="center"/>
      </w:pPr>
      <w:r>
        <w:drawing>
          <wp:inline xmlns:a="http://schemas.openxmlformats.org/drawingml/2006/main" xmlns:pic="http://schemas.openxmlformats.org/drawingml/2006/picture">
            <wp:extent cx="5486400" cy="475861"/>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475861"/>
                    </a:xfrm>
                    <a:prstGeom prst="rect"/>
                  </pic:spPr>
                </pic:pic>
              </a:graphicData>
            </a:graphic>
          </wp:inline>
        </w:drawing>
      </w:r>
    </w:p>
    <w:p>
      <w:pPr>
        <w:pStyle w:val="H2"/>
        <w:numPr>
          <w:ilvl w:val="1"/>
          <w:numId w:val="1"/>
        </w:numPr>
      </w:pPr>
      <w:r>
        <w:t>Why SettleMint</w:t>
      </w:r>
    </w:p>
    <w:p>
      <w:r>
        <w:rPr>
          <w:rFonts w:ascii="Figtree" w:hAnsi="Figtree"/>
          <w:b w:val="0"/>
          <w:i w:val="0"/>
          <w:sz w:val="22"/>
        </w:rPr>
        <w:t>SettleMint brings nearly a decade of focused experience building blockchain and tokenization infrastructure for regulated financial institutions and sovereign entities. Production deployments with regulated banks across Asia, Europe, and the Middle East, including multi-year continuous operations, demonstrate the operational maturity that FirstRand's wholesale programme requires.</w:t>
      </w:r>
    </w:p>
    <w:p>
      <w:r>
        <w:rPr>
          <w:rFonts w:ascii="Figtree" w:hAnsi="Figtree"/>
          <w:b w:val="0"/>
          <w:i w:val="0"/>
          <w:sz w:val="22"/>
        </w:rPr>
        <w:t>Particularly relevant references include Commerzbank's hybrid ETP issuance programme achieving settlement in under 10 seconds with EUR 7 million annual savings potential, Standard Chartered Bank's Digital Virtual Exchange serving institutional investors across Asia, Africa, and the Middle East, and the Saudi RER programme demonstrating country-scale enterprise integration.</w:t>
      </w:r>
    </w:p>
    <w:p>
      <w:r>
        <w:rPr>
          <w:rFonts w:ascii="Figtree" w:hAnsi="Figtree"/>
          <w:b w:val="0"/>
          <w:i w:val="0"/>
          <w:sz w:val="22"/>
        </w:rPr>
        <w:t>SettleMint's existing presence in Africa through the Standard Chartered engagement and familiarity with markets sharing structural similarities with South Africa's regulatory environment provides relevant regional context for FirstRand's deployment.</w:t>
      </w:r>
    </w:p>
    <w:p>
      <w:pPr>
        <w:pStyle w:val="H2"/>
        <w:numPr>
          <w:ilvl w:val="1"/>
          <w:numId w:val="1"/>
        </w:numPr>
      </w:pPr>
      <w:r>
        <w:t>Why DALP</w:t>
      </w:r>
    </w:p>
    <w:p>
      <w:r>
        <w:rPr>
          <w:rFonts w:ascii="Figtree" w:hAnsi="Figtree"/>
          <w:b w:val="0"/>
          <w:i w:val="0"/>
          <w:sz w:val="22"/>
        </w:rPr>
        <w:t>DALP provides the lifecycle control plane that manages every event in a digital bond's life from creation through retirement. For wholesale and treasury instruments, this means the same platform that structures and issues a bond also enforces compliance on every transfer, orchestrates settlement with deterministic finality, distributes coupons on schedule, and processes maturity redemption, under a unified registry, security posture, and governance model.</w:t>
      </w:r>
    </w:p>
    <w:p>
      <w:r>
        <w:rPr>
          <w:rFonts w:ascii="Figtree" w:hAnsi="Figtree"/>
          <w:b w:val="0"/>
          <w:i w:val="0"/>
          <w:sz w:val="22"/>
        </w:rPr>
        <w:t>The platform implements ERC-3643 (T-REX) with OnchainID for ex-ante compliance enforcement. The 18 compliance module types cover the transfer restrictions, investor accreditation, and holding period requirements relevant to wholesale bond distribution. DALP's durable execution engine ensures that complex lifecycle operations survive infrastructure interruptions without partial execution.</w:t>
      </w:r>
    </w:p>
    <w:p>
      <w:pPr>
        <w:pStyle w:val="H2"/>
        <w:numPr>
          <w:ilvl w:val="1"/>
          <w:numId w:val="1"/>
        </w:numPr>
      </w:pPr>
      <w:r>
        <w:t>Reference Fit Snapshot</w:t>
      </w:r>
    </w:p>
    <w:p>
      <w:pPr>
        <w:pStyle w:val="ListParagraph"/>
        <w:numPr>
          <w:ilvl w:val="0"/>
          <w:numId w:val="4"/>
        </w:numPr>
      </w:pPr>
      <w:r>
        <w:rPr>
          <w:rFonts w:ascii="Figtree" w:hAnsi="Figtree"/>
          <w:b/>
          <w:i w:val="0"/>
          <w:sz w:val="22"/>
        </w:rPr>
        <w:t>Commerzbank</w:t>
      </w:r>
      <w:r>
        <w:rPr>
          <w:rFonts w:ascii="Figtree" w:hAnsi="Figtree"/>
          <w:b w:val="0"/>
          <w:i w:val="0"/>
          <w:sz w:val="22"/>
        </w:rPr>
        <w:t>: Fixed income platform with settlement under 10 seconds and EUR 7M savings, directly demonstrating wholesale bond economics</w:t>
      </w:r>
    </w:p>
    <w:p>
      <w:pPr>
        <w:pStyle w:val="ListParagraph"/>
        <w:numPr>
          <w:ilvl w:val="0"/>
          <w:numId w:val="4"/>
        </w:numPr>
      </w:pPr>
      <w:r>
        <w:rPr>
          <w:rFonts w:ascii="Figtree" w:hAnsi="Figtree"/>
          <w:b/>
          <w:i w:val="0"/>
          <w:sz w:val="22"/>
        </w:rPr>
        <w:t>Standard Chartered Bank</w:t>
      </w:r>
      <w:r>
        <w:rPr>
          <w:rFonts w:ascii="Figtree" w:hAnsi="Figtree"/>
          <w:b w:val="0"/>
          <w:i w:val="0"/>
          <w:sz w:val="22"/>
        </w:rPr>
        <w:t>: Institutional trading across Asia, Africa, and the Middle East, demonstrating reach into FirstRand's geographic operating context</w:t>
      </w:r>
    </w:p>
    <w:p>
      <w:pPr>
        <w:pStyle w:val="ListParagraph"/>
        <w:numPr>
          <w:ilvl w:val="0"/>
          <w:numId w:val="4"/>
        </w:numPr>
      </w:pPr>
      <w:r>
        <w:rPr>
          <w:rFonts w:ascii="Figtree" w:hAnsi="Figtree"/>
          <w:b/>
          <w:i w:val="0"/>
          <w:sz w:val="22"/>
        </w:rPr>
        <w:t>Mizuho Bank</w:t>
      </w:r>
      <w:r>
        <w:rPr>
          <w:rFonts w:ascii="Figtree" w:hAnsi="Figtree"/>
          <w:b w:val="0"/>
          <w:i w:val="0"/>
          <w:sz w:val="22"/>
        </w:rPr>
        <w:t>: Bond tokenization advancing from PoC to production planning, demonstrating platform bond-specific capability</w:t>
      </w:r>
    </w:p>
    <w:p>
      <w:r>
        <w:br w:type="page"/>
      </w:r>
    </w:p>
    <w:p>
      <w:pPr>
        <w:pStyle w:val="H1"/>
        <w:numPr>
          <w:ilvl w:val="0"/>
          <w:numId w:val="1"/>
        </w:numPr>
      </w:pPr>
      <w:r>
        <w:t>About SettleMint</w:t>
      </w:r>
    </w:p>
    <w:p>
      <w:pPr>
        <w:pStyle w:val="H2"/>
        <w:numPr>
          <w:ilvl w:val="1"/>
          <w:numId w:val="1"/>
        </w:numPr>
      </w:pPr>
      <w:r>
        <w:t>Company Overview</w:t>
      </w:r>
    </w:p>
    <w:p>
      <w:r>
        <w:rPr>
          <w:rFonts w:ascii="Figtree" w:hAnsi="Figtree"/>
          <w:b w:val="0"/>
          <w:i w:val="0"/>
          <w:sz w:val="22"/>
        </w:rPr>
        <w:t>SettleMint is the production-grade digital asset lifecycle management company for regulated financial markets and sovereign use cases. Founded nearly a decade ago, the company has evolved from an early enterprise blockchain infrastructure provider into the category-defining platform enabling financial institutions, market infrastructure providers, and sovereign entities to move real-world value on-chain with compliance, security, and operational reliability.</w:t>
      </w:r>
    </w:p>
    <w:p>
      <w:pPr>
        <w:pStyle w:val="H2"/>
        <w:numPr>
          <w:ilvl w:val="1"/>
          <w:numId w:val="1"/>
        </w:numPr>
      </w:pPr>
      <w:r>
        <w:t>History and Market Position</w:t>
      </w:r>
    </w:p>
    <w:p>
      <w:r>
        <w:rPr>
          <w:rFonts w:ascii="Figtree" w:hAnsi="Figtree"/>
          <w:b w:val="0"/>
          <w:i w:val="0"/>
          <w:sz w:val="22"/>
        </w:rPr>
        <w:t>The company's nearly decade-long focus on blockchain infrastructure for enterprises and regulated institutions has produced a depth of expertise and operational maturity that cannot be replicated quickly. Multi-year continuous production deployments with regulated banks in Asia and Europe established credentials in compliance-heavy environments. The consolidation of this experience into DALP provides coverage from asset design through the complete lifecycle.</w:t>
      </w:r>
    </w:p>
    <w:p>
      <w:pPr>
        <w:pStyle w:val="H2"/>
        <w:numPr>
          <w:ilvl w:val="1"/>
          <w:numId w:val="1"/>
        </w:numPr>
      </w:pPr>
      <w:r>
        <w:t>Production Credentials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42"/>
        <w:gridCol w:w="662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4873"/>
            <w:vAlign w:val="center"/>
          </w:tcPr>
          <w:p>
            <w:pPr>
              <w:spacing w:line="276" w:lineRule="auto" w:before="0" w:after="0"/>
            </w:pPr>
            <w:r/>
            <w:r>
              <w:rPr>
                <w:rFonts w:ascii="Figtree" w:hAnsi="Figtree"/>
                <w:b w:val="0"/>
                <w:i w:val="0"/>
                <w:sz w:val="20"/>
              </w:rPr>
              <w:t>Market Validation</w:t>
            </w:r>
          </w:p>
        </w:tc>
        <w:tc>
          <w:tcPr>
            <w:tcW w:type="dxa" w:w="4873"/>
            <w:vAlign w:val="center"/>
          </w:tcPr>
          <w:p>
            <w:pPr>
              <w:spacing w:line="276" w:lineRule="auto" w:before="0" w:after="0"/>
            </w:pPr>
            <w:r/>
            <w:r>
              <w:rPr>
                <w:rFonts w:ascii="Figtree" w:hAnsi="Figtree"/>
                <w:b w:val="0"/>
                <w:i w:val="0"/>
                <w:sz w:val="20"/>
              </w:rPr>
              <w:t>Nearly 10 years focused; 7+ years continuous production at regulated banks</w:t>
            </w:r>
          </w:p>
        </w:tc>
      </w:tr>
      <w:tr>
        <w:trPr>
          <w:trHeight w:val="425" w:hRule="atLeast"/>
        </w:trPr>
        <w:tc>
          <w:tcPr>
            <w:tcW w:type="dxa" w:w="4873"/>
            <w:vAlign w:val="center"/>
          </w:tcPr>
          <w:p>
            <w:pPr>
              <w:spacing w:line="276" w:lineRule="auto" w:before="0" w:after="0"/>
            </w:pPr>
            <w:r/>
            <w:r>
              <w:rPr>
                <w:rFonts w:ascii="Figtree" w:hAnsi="Figtree"/>
                <w:b w:val="0"/>
                <w:i w:val="0"/>
                <w:sz w:val="20"/>
              </w:rPr>
              <w:t>Operational Maturity</w:t>
            </w:r>
          </w:p>
        </w:tc>
        <w:tc>
          <w:tcPr>
            <w:tcW w:type="dxa" w:w="4873"/>
            <w:vAlign w:val="center"/>
          </w:tcPr>
          <w:p>
            <w:pPr>
              <w:spacing w:line="276" w:lineRule="auto" w:before="0" w:after="0"/>
            </w:pPr>
            <w:r/>
            <w:r>
              <w:rPr>
                <w:rFonts w:ascii="Figtree" w:hAnsi="Figtree"/>
                <w:b w:val="0"/>
                <w:i w:val="0"/>
                <w:sz w:val="20"/>
              </w:rPr>
              <w:t>Live across bonds, equities, deposits, stablecoins, real estate, funds</w:t>
            </w:r>
          </w:p>
        </w:tc>
      </w:tr>
      <w:tr>
        <w:trPr>
          <w:trHeight w:val="425" w:hRule="atLeast"/>
        </w:trPr>
        <w:tc>
          <w:tcPr>
            <w:tcW w:type="dxa" w:w="4873"/>
            <w:vAlign w:val="center"/>
          </w:tcPr>
          <w:p>
            <w:pPr>
              <w:spacing w:line="276" w:lineRule="auto" w:before="0" w:after="0"/>
            </w:pPr>
            <w:r/>
            <w:r>
              <w:rPr>
                <w:rFonts w:ascii="Figtree" w:hAnsi="Figtree"/>
                <w:b w:val="0"/>
                <w:i w:val="0"/>
                <w:sz w:val="20"/>
              </w:rPr>
              <w:t>Sovereign Credibility</w:t>
            </w:r>
          </w:p>
        </w:tc>
        <w:tc>
          <w:tcPr>
            <w:tcW w:type="dxa" w:w="4873"/>
            <w:vAlign w:val="center"/>
          </w:tcPr>
          <w:p>
            <w:pPr>
              <w:spacing w:line="276" w:lineRule="auto" w:before="0" w:after="0"/>
            </w:pPr>
            <w:r/>
            <w:r>
              <w:rPr>
                <w:rFonts w:ascii="Figtree" w:hAnsi="Figtree"/>
                <w:b w:val="0"/>
                <w:i w:val="0"/>
                <w:sz w:val="20"/>
              </w:rPr>
              <w:t>National-scale programmes in the Middle East</w:t>
            </w:r>
          </w:p>
        </w:tc>
      </w:tr>
      <w:tr>
        <w:trPr>
          <w:trHeight w:val="425" w:hRule="atLeast"/>
        </w:trPr>
        <w:tc>
          <w:tcPr>
            <w:tcW w:type="dxa" w:w="4873"/>
            <w:vAlign w:val="center"/>
          </w:tcPr>
          <w:p>
            <w:pPr>
              <w:spacing w:line="276" w:lineRule="auto" w:before="0" w:after="0"/>
            </w:pPr>
            <w:r/>
            <w:r>
              <w:rPr>
                <w:rFonts w:ascii="Figtree" w:hAnsi="Figtree"/>
                <w:b w:val="0"/>
                <w:i w:val="0"/>
                <w:sz w:val="20"/>
              </w:rPr>
              <w:t>Ecosystem Strength</w:t>
            </w:r>
          </w:p>
        </w:tc>
        <w:tc>
          <w:tcPr>
            <w:tcW w:type="dxa" w:w="4873"/>
            <w:vAlign w:val="center"/>
          </w:tcPr>
          <w:p>
            <w:pPr>
              <w:spacing w:line="276" w:lineRule="auto" w:before="0" w:after="0"/>
            </w:pPr>
            <w:r/>
            <w:r>
              <w:rPr>
                <w:rFonts w:ascii="Figtree" w:hAnsi="Figtree"/>
                <w:b w:val="0"/>
                <w:i w:val="0"/>
                <w:sz w:val="20"/>
              </w:rPr>
              <w:t>Tier-1 and tier-2 banks, CSDs, sovereign entities</w:t>
            </w:r>
          </w:p>
        </w:tc>
      </w:tr>
      <w:tr>
        <w:trPr>
          <w:trHeight w:val="425" w:hRule="atLeast"/>
        </w:trPr>
        <w:tc>
          <w:tcPr>
            <w:tcW w:type="dxa" w:w="4873"/>
            <w:vAlign w:val="center"/>
          </w:tcPr>
          <w:p>
            <w:pPr>
              <w:spacing w:line="276" w:lineRule="auto" w:before="0" w:after="0"/>
            </w:pPr>
            <w:r/>
            <w:r>
              <w:rPr>
                <w:rFonts w:ascii="Figtree" w:hAnsi="Figtree"/>
                <w:b w:val="0"/>
                <w:i w:val="0"/>
                <w:sz w:val="20"/>
              </w:rPr>
              <w:t>Team Depth</w:t>
            </w:r>
          </w:p>
        </w:tc>
        <w:tc>
          <w:tcPr>
            <w:tcW w:type="dxa" w:w="4873"/>
            <w:vAlign w:val="center"/>
          </w:tcPr>
          <w:p>
            <w:pPr>
              <w:spacing w:line="276" w:lineRule="auto" w:before="0" w:after="0"/>
            </w:pPr>
            <w:r/>
            <w:r>
              <w:rPr>
                <w:rFonts w:ascii="Figtree" w:hAnsi="Figtree"/>
                <w:b w:val="0"/>
                <w:i w:val="0"/>
                <w:sz w:val="20"/>
              </w:rPr>
              <w:t>200+ years combined banking and blockchain experience</w:t>
            </w:r>
          </w:p>
        </w:tc>
      </w:tr>
    </w:tbl>
    <w:p>
      <w:pPr>
        <w:spacing w:before="0" w:after="0" w:line="120" w:lineRule="exact"/>
      </w:pPr>
    </w:p>
    <w:p>
      <w:pPr>
        <w:pStyle w:val="H2"/>
        <w:numPr>
          <w:ilvl w:val="1"/>
          <w:numId w:val="1"/>
        </w:numPr>
      </w:pPr>
      <w:r>
        <w:t>Regulatory Readiness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49"/>
        <w:gridCol w:w="3148"/>
        <w:gridCol w:w="487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Jurisdiction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Framework</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Support</w:t>
            </w:r>
          </w:p>
        </w:tc>
      </w:tr>
      <w:tr>
        <w:trPr>
          <w:trHeight w:val="425" w:hRule="atLeast"/>
        </w:trPr>
        <w:tc>
          <w:tcPr>
            <w:tcW w:type="dxa" w:w="3249"/>
            <w:vAlign w:val="center"/>
          </w:tcPr>
          <w:p>
            <w:pPr>
              <w:spacing w:line="276" w:lineRule="auto" w:before="0" w:after="0"/>
            </w:pPr>
            <w:r/>
            <w:r>
              <w:rPr>
                <w:rFonts w:ascii="Figtree" w:hAnsi="Figtree"/>
                <w:b w:val="0"/>
                <w:i w:val="0"/>
                <w:sz w:val="20"/>
              </w:rPr>
              <w:t>South Africa</w:t>
            </w:r>
          </w:p>
        </w:tc>
        <w:tc>
          <w:tcPr>
            <w:tcW w:type="dxa" w:w="3249"/>
            <w:vAlign w:val="center"/>
          </w:tcPr>
          <w:p>
            <w:pPr>
              <w:spacing w:line="276" w:lineRule="auto" w:before="0" w:after="0"/>
            </w:pPr>
            <w:r/>
            <w:r>
              <w:rPr>
                <w:rFonts w:ascii="Figtree" w:hAnsi="Figtree"/>
                <w:b w:val="0"/>
                <w:i w:val="0"/>
                <w:sz w:val="20"/>
              </w:rPr>
              <w:t>SARB prudential, FSCA conduct, FIC AML/CFT</w:t>
            </w:r>
          </w:p>
        </w:tc>
        <w:tc>
          <w:tcPr>
            <w:tcW w:type="dxa" w:w="3249"/>
            <w:vAlign w:val="center"/>
          </w:tcPr>
          <w:p>
            <w:pPr>
              <w:spacing w:line="276" w:lineRule="auto" w:before="0" w:after="0"/>
            </w:pPr>
            <w:r/>
            <w:r>
              <w:rPr>
                <w:rFonts w:ascii="Figtree" w:hAnsi="Figtree"/>
                <w:b w:val="0"/>
                <w:i w:val="0"/>
                <w:sz w:val="20"/>
              </w:rPr>
              <w:t>Platform controls mapped; buyer retains regulatory interpretation</w:t>
            </w:r>
          </w:p>
        </w:tc>
      </w:tr>
      <w:tr>
        <w:trPr>
          <w:trHeight w:val="425" w:hRule="atLeast"/>
        </w:trPr>
        <w:tc>
          <w:tcPr>
            <w:tcW w:type="dxa" w:w="3249"/>
            <w:vAlign w:val="center"/>
          </w:tcPr>
          <w:p>
            <w:pPr>
              <w:spacing w:line="276" w:lineRule="auto" w:before="0" w:after="0"/>
            </w:pPr>
            <w:r/>
            <w:r>
              <w:rPr>
                <w:rFonts w:ascii="Figtree" w:hAnsi="Figtree"/>
                <w:b w:val="0"/>
                <w:i w:val="0"/>
                <w:sz w:val="20"/>
              </w:rPr>
              <w:t>European Union</w:t>
            </w:r>
          </w:p>
        </w:tc>
        <w:tc>
          <w:tcPr>
            <w:tcW w:type="dxa" w:w="3249"/>
            <w:vAlign w:val="center"/>
          </w:tcPr>
          <w:p>
            <w:pPr>
              <w:spacing w:line="276" w:lineRule="auto" w:before="0" w:after="0"/>
            </w:pPr>
            <w:r/>
            <w:r>
              <w:rPr>
                <w:rFonts w:ascii="Figtree" w:hAnsi="Figtree"/>
                <w:b w:val="0"/>
                <w:i w:val="0"/>
                <w:sz w:val="20"/>
              </w:rPr>
              <w:t>MiCA, GDPR</w:t>
            </w:r>
          </w:p>
        </w:tc>
        <w:tc>
          <w:tcPr>
            <w:tcW w:type="dxa" w:w="3249"/>
            <w:vAlign w:val="center"/>
          </w:tcPr>
          <w:p>
            <w:pPr>
              <w:spacing w:line="276" w:lineRule="auto" w:before="0" w:after="0"/>
            </w:pPr>
            <w:r/>
            <w:r>
              <w:rPr>
                <w:rFonts w:ascii="Figtree" w:hAnsi="Figtree"/>
                <w:b w:val="0"/>
                <w:i w:val="0"/>
                <w:sz w:val="20"/>
              </w:rPr>
              <w:t>Native compliance module templates</w:t>
            </w:r>
          </w:p>
        </w:tc>
      </w:tr>
      <w:tr>
        <w:trPr>
          <w:trHeight w:val="425" w:hRule="atLeast"/>
        </w:trPr>
        <w:tc>
          <w:tcPr>
            <w:tcW w:type="dxa" w:w="3249"/>
            <w:vAlign w:val="center"/>
          </w:tcPr>
          <w:p>
            <w:pPr>
              <w:spacing w:line="276" w:lineRule="auto" w:before="0" w:after="0"/>
            </w:pPr>
            <w:r/>
            <w:r>
              <w:rPr>
                <w:rFonts w:ascii="Figtree" w:hAnsi="Figtree"/>
                <w:b w:val="0"/>
                <w:i w:val="0"/>
                <w:sz w:val="20"/>
              </w:rPr>
              <w:t>GCC</w:t>
            </w:r>
          </w:p>
        </w:tc>
        <w:tc>
          <w:tcPr>
            <w:tcW w:type="dxa" w:w="3249"/>
            <w:vAlign w:val="center"/>
          </w:tcPr>
          <w:p>
            <w:pPr>
              <w:spacing w:line="276" w:lineRule="auto" w:before="0" w:after="0"/>
            </w:pPr>
            <w:r/>
            <w:r>
              <w:rPr>
                <w:rFonts w:ascii="Figtree" w:hAnsi="Figtree"/>
                <w:b w:val="0"/>
                <w:i w:val="0"/>
                <w:sz w:val="20"/>
              </w:rPr>
              <w:t>Regional frameworks</w:t>
            </w:r>
          </w:p>
        </w:tc>
        <w:tc>
          <w:tcPr>
            <w:tcW w:type="dxa" w:w="3249"/>
            <w:vAlign w:val="center"/>
          </w:tcPr>
          <w:p>
            <w:pPr>
              <w:spacing w:line="276" w:lineRule="auto" w:before="0" w:after="0"/>
            </w:pPr>
            <w:r/>
            <w:r>
              <w:rPr>
                <w:rFonts w:ascii="Figtree" w:hAnsi="Figtree"/>
                <w:b w:val="0"/>
                <w:i w:val="0"/>
                <w:sz w:val="20"/>
              </w:rPr>
              <w:t>Supported</w:t>
            </w:r>
          </w:p>
        </w:tc>
      </w:tr>
      <w:tr>
        <w:trPr>
          <w:trHeight w:val="425" w:hRule="atLeast"/>
        </w:trPr>
        <w:tc>
          <w:tcPr>
            <w:tcW w:type="dxa" w:w="3249"/>
            <w:vAlign w:val="center"/>
          </w:tcPr>
          <w:p>
            <w:pPr>
              <w:spacing w:line="276" w:lineRule="auto" w:before="0" w:after="0"/>
            </w:pPr>
            <w:r/>
            <w:r>
              <w:rPr>
                <w:rFonts w:ascii="Figtree" w:hAnsi="Figtree"/>
                <w:b w:val="0"/>
                <w:i w:val="0"/>
                <w:sz w:val="20"/>
              </w:rPr>
              <w:t>Singapore</w:t>
            </w:r>
          </w:p>
        </w:tc>
        <w:tc>
          <w:tcPr>
            <w:tcW w:type="dxa" w:w="3249"/>
            <w:vAlign w:val="center"/>
          </w:tcPr>
          <w:p>
            <w:pPr>
              <w:spacing w:line="276" w:lineRule="auto" w:before="0" w:after="0"/>
            </w:pPr>
            <w:r/>
            <w:r>
              <w:rPr>
                <w:rFonts w:ascii="Figtree" w:hAnsi="Figtree"/>
                <w:b w:val="0"/>
                <w:i w:val="0"/>
                <w:sz w:val="20"/>
              </w:rPr>
              <w:t>MAS framework</w:t>
            </w:r>
          </w:p>
        </w:tc>
        <w:tc>
          <w:tcPr>
            <w:tcW w:type="dxa" w:w="3249"/>
            <w:vAlign w:val="center"/>
          </w:tcPr>
          <w:p>
            <w:pPr>
              <w:spacing w:line="276" w:lineRule="auto" w:before="0" w:after="0"/>
            </w:pPr>
            <w:r/>
            <w:r>
              <w:rPr>
                <w:rFonts w:ascii="Figtree" w:hAnsi="Figtree"/>
                <w:b w:val="0"/>
                <w:i w:val="0"/>
                <w:sz w:val="20"/>
              </w:rPr>
              <w:t>Compliance modules</w:t>
            </w:r>
          </w:p>
        </w:tc>
      </w:tr>
      <w:tr>
        <w:trPr>
          <w:trHeight w:val="425" w:hRule="atLeast"/>
        </w:trPr>
        <w:tc>
          <w:tcPr>
            <w:tcW w:type="dxa" w:w="3249"/>
            <w:vAlign w:val="center"/>
          </w:tcPr>
          <w:p>
            <w:pPr>
              <w:spacing w:line="276" w:lineRule="auto" w:before="0" w:after="0"/>
            </w:pPr>
            <w:r/>
            <w:r>
              <w:rPr>
                <w:rFonts w:ascii="Figtree" w:hAnsi="Figtree"/>
                <w:b w:val="0"/>
                <w:i w:val="0"/>
                <w:sz w:val="20"/>
              </w:rPr>
              <w:t>United Kingdom</w:t>
            </w:r>
          </w:p>
        </w:tc>
        <w:tc>
          <w:tcPr>
            <w:tcW w:type="dxa" w:w="3249"/>
            <w:vAlign w:val="center"/>
          </w:tcPr>
          <w:p>
            <w:pPr>
              <w:spacing w:line="276" w:lineRule="auto" w:before="0" w:after="0"/>
            </w:pPr>
            <w:r/>
            <w:r>
              <w:rPr>
                <w:rFonts w:ascii="Figtree" w:hAnsi="Figtree"/>
                <w:b w:val="0"/>
                <w:i w:val="0"/>
                <w:sz w:val="20"/>
              </w:rPr>
              <w:t>FCA requirements</w:t>
            </w:r>
          </w:p>
        </w:tc>
        <w:tc>
          <w:tcPr>
            <w:tcW w:type="dxa" w:w="3249"/>
            <w:vAlign w:val="center"/>
          </w:tcPr>
          <w:p>
            <w:pPr>
              <w:spacing w:line="276" w:lineRule="auto" w:before="0" w:after="0"/>
            </w:pPr>
            <w:r/>
            <w:r>
              <w:rPr>
                <w:rFonts w:ascii="Figtree" w:hAnsi="Figtree"/>
                <w:b w:val="0"/>
                <w:i w:val="0"/>
                <w:sz w:val="20"/>
              </w:rPr>
              <w:t>Pre-built controls</w:t>
            </w:r>
          </w:p>
        </w:tc>
      </w:tr>
    </w:tbl>
    <w:p>
      <w:pPr>
        <w:spacing w:before="0" w:after="0" w:line="120" w:lineRule="exact"/>
      </w:pPr>
    </w:p>
    <w:p>
      <w:pPr>
        <w:pStyle w:val="H2"/>
        <w:numPr>
          <w:ilvl w:val="1"/>
          <w:numId w:val="1"/>
        </w:numPr>
      </w:pPr>
      <w:r>
        <w:t>Team and Delivery Capability</w:t>
      </w:r>
    </w:p>
    <w:p>
      <w:r>
        <w:rPr>
          <w:rFonts w:ascii="Figtree" w:hAnsi="Figtree"/>
          <w:b w:val="0"/>
          <w:i w:val="0"/>
          <w:sz w:val="22"/>
        </w:rPr>
        <w:t>Dedicated solution architects, delivery leads, and customer success teams with experience implementing tokenization solutions in multiple jurisdictions. For FirstRand, SettleMint will assign a dedicated Solution Architect and Delivery Lead with relevant fixed income and African market deployment experience.</w:t>
      </w:r>
    </w:p>
    <w:p>
      <w:pPr>
        <w:pStyle w:val="H2"/>
        <w:numPr>
          <w:ilvl w:val="1"/>
          <w:numId w:val="1"/>
        </w:numPr>
      </w:pPr>
      <w:r>
        <w:t>Ecosystem and Partnerships</w:t>
      </w:r>
    </w:p>
    <w:p>
      <w:r>
        <w:rPr>
          <w:rFonts w:ascii="Figtree" w:hAnsi="Figtree"/>
          <w:b w:val="0"/>
          <w:i w:val="0"/>
          <w:sz w:val="22"/>
        </w:rPr>
        <w:t>Partnerships with leading consulting firms, regional system integrators, institutional custody platforms (Fireblocks, DFNS), payment rail providers (ISO 20022 for SWIFT, SEPA, RTGS), and strategic investors in Europe and the Middle East.</w:t>
      </w:r>
    </w:p>
    <w:p>
      <w:pPr>
        <w:jc w:val="center"/>
      </w:pPr>
      <w:r>
        <w:drawing>
          <wp:inline xmlns:a="http://schemas.openxmlformats.org/drawingml/2006/main" xmlns:pic="http://schemas.openxmlformats.org/drawingml/2006/picture">
            <wp:extent cx="5486400" cy="1631524"/>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1631524"/>
                    </a:xfrm>
                    <a:prstGeom prst="rect"/>
                  </pic:spPr>
                </pic:pic>
              </a:graphicData>
            </a:graphic>
          </wp:inline>
        </w:drawing>
      </w:r>
    </w:p>
    <w:p>
      <w:r>
        <w:br w:type="page"/>
      </w:r>
    </w:p>
    <w:p>
      <w:pPr>
        <w:pStyle w:val="H1"/>
        <w:numPr>
          <w:ilvl w:val="0"/>
          <w:numId w:val="1"/>
        </w:numPr>
      </w:pPr>
      <w:r>
        <w:t>About DALP</w:t>
      </w:r>
    </w:p>
    <w:p>
      <w:pPr>
        <w:pStyle w:val="H2"/>
        <w:numPr>
          <w:ilvl w:val="1"/>
          <w:numId w:val="1"/>
        </w:numPr>
      </w:pPr>
      <w:r>
        <w:t>Platform Overview</w:t>
      </w:r>
    </w:p>
    <w:p>
      <w:r>
        <w:rPr>
          <w:rFonts w:ascii="Figtree" w:hAnsi="Figtree"/>
          <w:b w:val="0"/>
          <w:i w:val="0"/>
          <w:sz w:val="22"/>
        </w:rPr>
        <w:t>DALP is SettleMint's production-grade Digital Asset Lifecycle Platform covering the full lifecycle from asset design through issuance, compliance enforcement, custody integration, settlement, servicing, and retirement under a single governance model. For FirstRand's wholesale bond programme, DALP provides the control plane between existing core financial systems and the blockchain network.</w:t>
      </w:r>
    </w:p>
    <w:p>
      <w:pPr>
        <w:pStyle w:val="H2"/>
        <w:numPr>
          <w:ilvl w:val="1"/>
          <w:numId w:val="1"/>
        </w:numPr>
      </w:pPr>
      <w:r>
        <w:t>Core Lifecycle Pillars</w:t>
      </w:r>
    </w:p>
    <w:p>
      <w:pPr>
        <w:pStyle w:val="H3"/>
        <w:numPr>
          <w:ilvl w:val="2"/>
          <w:numId w:val="1"/>
        </w:numPr>
      </w:pPr>
      <w:r>
        <w:t>Issuance</w:t>
      </w:r>
    </w:p>
    <w:p>
      <w:r>
        <w:rPr>
          <w:rFonts w:ascii="Figtree" w:hAnsi="Figtree"/>
          <w:b w:val="0"/>
          <w:i w:val="0"/>
          <w:sz w:val="22"/>
        </w:rPr>
        <w:t>Purpose-built bond templates with configurable coupon schedules (fixed, floating, zero-coupon), maturity logic, call/put options, and secondary market connectivity. Deterministic orchestration with paused-by-default governance. Configurable for government bonds, corporate bonds, commercial paper, and structured products through the Asset Designer wizard.</w:t>
      </w:r>
    </w:p>
    <w:p>
      <w:pPr>
        <w:pStyle w:val="H3"/>
        <w:numPr>
          <w:ilvl w:val="2"/>
          <w:numId w:val="1"/>
        </w:numPr>
      </w:pPr>
      <w:r>
        <w:t>Compliance</w:t>
      </w:r>
    </w:p>
    <w:p>
      <w:r>
        <w:rPr>
          <w:rFonts w:ascii="Figtree" w:hAnsi="Figtree"/>
          <w:b w:val="0"/>
          <w:i w:val="0"/>
          <w:sz w:val="22"/>
        </w:rPr>
        <w:t>Ex-ante enforcement through 18 compliance module types covering country restrictions, investor accreditation, supply limits, holding periods, and transfer controls. ERC-3643 (T-REX) regulated token standard with OnchainID for verifiable on-chain investor identities. Two-layer policy model separating platform compliance from custodian policy.</w:t>
      </w:r>
    </w:p>
    <w:p>
      <w:pPr>
        <w:pStyle w:val="H3"/>
        <w:numPr>
          <w:ilvl w:val="2"/>
          <w:numId w:val="1"/>
        </w:numPr>
      </w:pPr>
      <w:r>
        <w:t>Custody</w:t>
      </w:r>
    </w:p>
    <w:p>
      <w:r>
        <w:rPr>
          <w:rFonts w:ascii="Figtree" w:hAnsi="Figtree"/>
          <w:b w:val="0"/>
          <w:i w:val="0"/>
          <w:sz w:val="22"/>
        </w:rPr>
        <w:t>Key Guardian with multiple storage backends (encrypted database, cloud secret manager, HSM, Fireblocks, DFNS). Maker-checker approval workflows with configurable quorum. Provider-delegated transaction broadcast for institutional custody integration.</w:t>
      </w:r>
    </w:p>
    <w:p>
      <w:pPr>
        <w:pStyle w:val="H3"/>
        <w:numPr>
          <w:ilvl w:val="2"/>
          <w:numId w:val="1"/>
        </w:numPr>
      </w:pPr>
      <w:r>
        <w:t>Settlement</w:t>
      </w:r>
    </w:p>
    <w:p>
      <w:r>
        <w:rPr>
          <w:rFonts w:ascii="Figtree" w:hAnsi="Figtree"/>
          <w:b w:val="0"/>
          <w:i w:val="0"/>
          <w:sz w:val="22"/>
        </w:rPr>
        <w:t>Atomic DvP where asset and cash legs complete together or revert together. Deterministic closure into auditable end-states. ISO 20022 integration for SWIFT, SEPA, and RTGS connectivity. XvP extension for multi-party exchanges. T+0 settlement finality.</w:t>
      </w:r>
    </w:p>
    <w:p>
      <w:pPr>
        <w:pStyle w:val="H3"/>
        <w:numPr>
          <w:ilvl w:val="2"/>
          <w:numId w:val="1"/>
        </w:numPr>
      </w:pPr>
      <w:r>
        <w:t>Servicing</w:t>
      </w:r>
    </w:p>
    <w:p>
      <w:r>
        <w:rPr>
          <w:rFonts w:ascii="Figtree" w:hAnsi="Figtree"/>
          <w:b w:val="0"/>
          <w:i w:val="0"/>
          <w:sz w:val="22"/>
        </w:rPr>
        <w:t>Automated coupon payments, yield distribution, maturity redemption, and corporate actions. Fixed treasury yield with configurable schedules. Treasury payout abstraction supporting EOA and contract-based treasuries. Complete audit trail for every lifecycle event.</w:t>
      </w:r>
    </w:p>
    <w:p>
      <w:pPr>
        <w:jc w:val="center"/>
      </w:pPr>
      <w:r>
        <w:drawing>
          <wp:inline xmlns:a="http://schemas.openxmlformats.org/drawingml/2006/main" xmlns:pic="http://schemas.openxmlformats.org/drawingml/2006/picture">
            <wp:extent cx="5486400" cy="979714"/>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979714"/>
                    </a:xfrm>
                    <a:prstGeom prst="rect"/>
                  </pic:spPr>
                </pic:pic>
              </a:graphicData>
            </a:graphic>
          </wp:inline>
        </w:drawing>
      </w:r>
    </w:p>
    <w:p>
      <w:pPr>
        <w:pStyle w:val="H2"/>
        <w:numPr>
          <w:ilvl w:val="1"/>
          <w:numId w:val="1"/>
        </w:numPr>
      </w:pPr>
      <w:r>
        <w:t>Platform Foundations</w:t>
      </w:r>
    </w:p>
    <w:p>
      <w:pPr>
        <w:pStyle w:val="H3"/>
        <w:numPr>
          <w:ilvl w:val="2"/>
          <w:numId w:val="1"/>
        </w:numPr>
      </w:pPr>
      <w:r>
        <w:t>Identity and Access Management</w:t>
      </w:r>
    </w:p>
    <w:p>
      <w:r>
        <w:rPr>
          <w:rFonts w:ascii="Figtree" w:hAnsi="Figtree"/>
          <w:b w:val="0"/>
          <w:i w:val="0"/>
          <w:sz w:val="22"/>
        </w:rPr>
        <w:t>OnchainID for verifiable investor identities, Identity Registry with claim-based verification, RBAC with five defined roles, KYC/KYB workflows, invitation-linked onboarding, wallet verification with multi-factor gates, and identity recovery workflows.</w:t>
      </w:r>
    </w:p>
    <w:p>
      <w:pPr>
        <w:pStyle w:val="H3"/>
        <w:numPr>
          <w:ilvl w:val="2"/>
          <w:numId w:val="1"/>
        </w:numPr>
      </w:pPr>
      <w:r>
        <w:t>Integration and Interoperability</w:t>
      </w:r>
    </w:p>
    <w:p>
      <w:r>
        <w:rPr>
          <w:rFonts w:ascii="Figtree" w:hAnsi="Figtree"/>
          <w:b w:val="0"/>
          <w:i w:val="0"/>
          <w:sz w:val="22"/>
        </w:rPr>
        <w:t>REST, GraphQL, event webhooks, and oRPC APIs. Typed SDK (@settlemint/dalp-sdk), CLI with 301 commands across 26 groups. ISO 20022 payment rail connectivity. Bring-your-own-custodian and bring-your-own-chain flexibility. Multi-provider object storage.</w:t>
      </w:r>
    </w:p>
    <w:p>
      <w:pPr>
        <w:pStyle w:val="H3"/>
        <w:numPr>
          <w:ilvl w:val="2"/>
          <w:numId w:val="1"/>
        </w:numPr>
      </w:pPr>
      <w:r>
        <w:t>Observability and Operations</w:t>
      </w:r>
    </w:p>
    <w:p>
      <w:r>
        <w:rPr>
          <w:rFonts w:ascii="Figtree" w:hAnsi="Figtree"/>
          <w:b w:val="0"/>
          <w:i w:val="0"/>
          <w:sz w:val="22"/>
        </w:rPr>
        <w:t>Pre-built Grafana dashboards, three-pillar observability (VictoriaMetrics, Loki, Tempo/OpenTelemetry), automated alerting, blockchain infrastructure monitoring, async transaction pipeline with 11-state lifecycle management, and 534 structured error codes.</w:t>
      </w:r>
    </w:p>
    <w:p>
      <w:pPr>
        <w:pStyle w:val="H2"/>
        <w:numPr>
          <w:ilvl w:val="1"/>
          <w:numId w:val="1"/>
        </w:numPr>
      </w:pPr>
      <w:r>
        <w:t>Standards and Protocols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87"/>
        <w:gridCol w:w="668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Standards</w:t>
            </w:r>
          </w:p>
        </w:tc>
      </w:tr>
      <w:tr>
        <w:trPr>
          <w:trHeight w:val="425" w:hRule="atLeast"/>
        </w:trPr>
        <w:tc>
          <w:tcPr>
            <w:tcW w:type="dxa" w:w="4873"/>
            <w:vAlign w:val="center"/>
          </w:tcPr>
          <w:p>
            <w:pPr>
              <w:spacing w:line="276" w:lineRule="auto" w:before="0" w:after="0"/>
            </w:pPr>
            <w:r/>
            <w:r>
              <w:rPr>
                <w:rFonts w:ascii="Figtree" w:hAnsi="Figtree"/>
                <w:b w:val="0"/>
                <w:i w:val="0"/>
                <w:sz w:val="20"/>
              </w:rPr>
              <w:t>Token Standards</w:t>
            </w:r>
          </w:p>
        </w:tc>
        <w:tc>
          <w:tcPr>
            <w:tcW w:type="dxa" w:w="4873"/>
            <w:vAlign w:val="center"/>
          </w:tcPr>
          <w:p>
            <w:pPr>
              <w:spacing w:line="276" w:lineRule="auto" w:before="0" w:after="0"/>
            </w:pPr>
            <w:r/>
            <w:r>
              <w:rPr>
                <w:rFonts w:ascii="Figtree" w:hAnsi="Figtree"/>
                <w:b w:val="0"/>
                <w:i w:val="0"/>
                <w:sz w:val="20"/>
              </w:rPr>
              <w:t>ERC-20, ERC-721, ERC-1400, ERC-3643, ERC-5805, EIP-2612</w:t>
            </w:r>
          </w:p>
        </w:tc>
      </w:tr>
      <w:tr>
        <w:trPr>
          <w:trHeight w:val="425" w:hRule="atLeast"/>
        </w:trPr>
        <w:tc>
          <w:tcPr>
            <w:tcW w:type="dxa" w:w="4873"/>
            <w:vAlign w:val="center"/>
          </w:tcPr>
          <w:p>
            <w:pPr>
              <w:spacing w:line="276" w:lineRule="auto" w:before="0" w:after="0"/>
            </w:pPr>
            <w:r/>
            <w:r>
              <w:rPr>
                <w:rFonts w:ascii="Figtree" w:hAnsi="Figtree"/>
                <w:b w:val="0"/>
                <w:i w:val="0"/>
                <w:sz w:val="20"/>
              </w:rPr>
              <w:t>Identity</w:t>
            </w:r>
          </w:p>
        </w:tc>
        <w:tc>
          <w:tcPr>
            <w:tcW w:type="dxa" w:w="4873"/>
            <w:vAlign w:val="center"/>
          </w:tcPr>
          <w:p>
            <w:pPr>
              <w:spacing w:line="276" w:lineRule="auto" w:before="0" w:after="0"/>
            </w:pPr>
            <w:r/>
            <w:r>
              <w:rPr>
                <w:rFonts w:ascii="Figtree" w:hAnsi="Figtree"/>
                <w:b w:val="0"/>
                <w:i w:val="0"/>
                <w:sz w:val="20"/>
              </w:rPr>
              <w:t>OnchainID, claim-based verification</w:t>
            </w:r>
          </w:p>
        </w:tc>
      </w:tr>
      <w:tr>
        <w:trPr>
          <w:trHeight w:val="425" w:hRule="atLeast"/>
        </w:trPr>
        <w:tc>
          <w:tcPr>
            <w:tcW w:type="dxa" w:w="4873"/>
            <w:vAlign w:val="center"/>
          </w:tcPr>
          <w:p>
            <w:pPr>
              <w:spacing w:line="276" w:lineRule="auto" w:before="0" w:after="0"/>
            </w:pPr>
            <w:r/>
            <w:r>
              <w:rPr>
                <w:rFonts w:ascii="Figtree" w:hAnsi="Figtree"/>
                <w:b w:val="0"/>
                <w:i w:val="0"/>
                <w:sz w:val="20"/>
              </w:rPr>
              <w:t>Compliance</w:t>
            </w:r>
          </w:p>
        </w:tc>
        <w:tc>
          <w:tcPr>
            <w:tcW w:type="dxa" w:w="4873"/>
            <w:vAlign w:val="center"/>
          </w:tcPr>
          <w:p>
            <w:pPr>
              <w:spacing w:line="276" w:lineRule="auto" w:before="0" w:after="0"/>
            </w:pPr>
            <w:r/>
            <w:r>
              <w:rPr>
                <w:rFonts w:ascii="Figtree" w:hAnsi="Figtree"/>
                <w:b w:val="0"/>
                <w:i w:val="0"/>
                <w:sz w:val="20"/>
              </w:rPr>
              <w:t>18 module types</w:t>
            </w:r>
          </w:p>
        </w:tc>
      </w:tr>
      <w:tr>
        <w:trPr>
          <w:trHeight w:val="425" w:hRule="atLeast"/>
        </w:trPr>
        <w:tc>
          <w:tcPr>
            <w:tcW w:type="dxa" w:w="4873"/>
            <w:vAlign w:val="center"/>
          </w:tcPr>
          <w:p>
            <w:pPr>
              <w:spacing w:line="276" w:lineRule="auto" w:before="0" w:after="0"/>
            </w:pPr>
            <w:r/>
            <w:r>
              <w:rPr>
                <w:rFonts w:ascii="Figtree" w:hAnsi="Figtree"/>
                <w:b w:val="0"/>
                <w:i w:val="0"/>
                <w:sz w:val="20"/>
              </w:rPr>
              <w:t>Settlement</w:t>
            </w:r>
          </w:p>
        </w:tc>
        <w:tc>
          <w:tcPr>
            <w:tcW w:type="dxa" w:w="4873"/>
            <w:vAlign w:val="center"/>
          </w:tcPr>
          <w:p>
            <w:pPr>
              <w:spacing w:line="276" w:lineRule="auto" w:before="0" w:after="0"/>
            </w:pPr>
            <w:r/>
            <w:r>
              <w:rPr>
                <w:rFonts w:ascii="Figtree" w:hAnsi="Figtree"/>
                <w:b w:val="0"/>
                <w:i w:val="0"/>
                <w:sz w:val="20"/>
              </w:rPr>
              <w:t>Atomic DvP/XvP, HTLC cross-chain</w:t>
            </w:r>
          </w:p>
        </w:tc>
      </w:tr>
      <w:tr>
        <w:trPr>
          <w:trHeight w:val="425" w:hRule="atLeast"/>
        </w:trPr>
        <w:tc>
          <w:tcPr>
            <w:tcW w:type="dxa" w:w="4873"/>
            <w:vAlign w:val="center"/>
          </w:tcPr>
          <w:p>
            <w:pPr>
              <w:spacing w:line="276" w:lineRule="auto" w:before="0" w:after="0"/>
            </w:pPr>
            <w:r/>
            <w:r>
              <w:rPr>
                <w:rFonts w:ascii="Figtree" w:hAnsi="Figtree"/>
                <w:b w:val="0"/>
                <w:i w:val="0"/>
                <w:sz w:val="20"/>
              </w:rPr>
              <w:t>Payment Rails</w:t>
            </w:r>
          </w:p>
        </w:tc>
        <w:tc>
          <w:tcPr>
            <w:tcW w:type="dxa" w:w="4873"/>
            <w:vAlign w:val="center"/>
          </w:tcPr>
          <w:p>
            <w:pPr>
              <w:spacing w:line="276" w:lineRule="auto" w:before="0" w:after="0"/>
            </w:pPr>
            <w:r/>
            <w:r>
              <w:rPr>
                <w:rFonts w:ascii="Figtree" w:hAnsi="Figtree"/>
                <w:b w:val="0"/>
                <w:i w:val="0"/>
                <w:sz w:val="20"/>
              </w:rPr>
              <w:t>ISO 20022 (SWIFT, SEPA, RTGS)</w:t>
            </w:r>
          </w:p>
        </w:tc>
      </w:tr>
      <w:tr>
        <w:trPr>
          <w:trHeight w:val="425" w:hRule="atLeast"/>
        </w:trPr>
        <w:tc>
          <w:tcPr>
            <w:tcW w:type="dxa" w:w="4873"/>
            <w:vAlign w:val="center"/>
          </w:tcPr>
          <w:p>
            <w:pPr>
              <w:spacing w:line="276" w:lineRule="auto" w:before="0" w:after="0"/>
            </w:pPr>
            <w:r/>
            <w:r>
              <w:rPr>
                <w:rFonts w:ascii="Figtree" w:hAnsi="Figtree"/>
                <w:b w:val="0"/>
                <w:i w:val="0"/>
                <w:sz w:val="20"/>
              </w:rPr>
              <w:t>Networks</w:t>
            </w:r>
          </w:p>
        </w:tc>
        <w:tc>
          <w:tcPr>
            <w:tcW w:type="dxa" w:w="4873"/>
            <w:vAlign w:val="center"/>
          </w:tcPr>
          <w:p>
            <w:pPr>
              <w:spacing w:line="276" w:lineRule="auto" w:before="0" w:after="0"/>
            </w:pPr>
            <w:r/>
            <w:r>
              <w:rPr>
                <w:rFonts w:ascii="Figtree" w:hAnsi="Figtree"/>
                <w:b w:val="0"/>
                <w:i w:val="0"/>
                <w:sz w:val="20"/>
              </w:rPr>
              <w:t>Any EVM-compatible</w:t>
            </w:r>
          </w:p>
        </w:tc>
      </w:tr>
    </w:tbl>
    <w:p>
      <w:pPr>
        <w:spacing w:before="0" w:after="0" w:line="120" w:lineRule="exact"/>
      </w:pPr>
    </w:p>
    <w:p>
      <w:r>
        <w:br w:type="page"/>
      </w:r>
    </w:p>
    <w:p>
      <w:pPr>
        <w:pStyle w:val="H1"/>
        <w:numPr>
          <w:ilvl w:val="0"/>
          <w:numId w:val="1"/>
        </w:numPr>
      </w:pPr>
      <w:r>
        <w:t>Customer References</w:t>
      </w:r>
    </w:p>
    <w:p>
      <w:pPr>
        <w:pStyle w:val="H2"/>
        <w:numPr>
          <w:ilvl w:val="1"/>
          <w:numId w:val="1"/>
        </w:numPr>
      </w:pPr>
      <w:r>
        <w:t>Summary Table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47"/>
        <w:gridCol w:w="2829"/>
        <w:gridCol w:w="1331"/>
        <w:gridCol w:w="266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Geography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Relevance</w:t>
            </w:r>
          </w:p>
        </w:tc>
      </w:tr>
      <w:tr>
        <w:trPr>
          <w:trHeight w:val="425" w:hRule="atLeast"/>
        </w:trPr>
        <w:tc>
          <w:tcPr>
            <w:tcW w:type="dxa" w:w="2436"/>
            <w:vAlign w:val="center"/>
          </w:tcPr>
          <w:p>
            <w:pPr>
              <w:spacing w:line="276" w:lineRule="auto" w:before="0" w:after="0"/>
            </w:pPr>
            <w:r/>
            <w:r>
              <w:rPr>
                <w:rFonts w:ascii="Figtree" w:hAnsi="Figtree"/>
                <w:b w:val="0"/>
                <w:i w:val="0"/>
                <w:sz w:val="20"/>
              </w:rPr>
              <w:t>Commerzbank</w:t>
            </w:r>
          </w:p>
        </w:tc>
        <w:tc>
          <w:tcPr>
            <w:tcW w:type="dxa" w:w="2436"/>
            <w:vAlign w:val="center"/>
          </w:tcPr>
          <w:p>
            <w:pPr>
              <w:spacing w:line="276" w:lineRule="auto" w:before="0" w:after="0"/>
            </w:pPr>
            <w:r/>
            <w:r>
              <w:rPr>
                <w:rFonts w:ascii="Figtree" w:hAnsi="Figtree"/>
                <w:b w:val="0"/>
                <w:i w:val="0"/>
                <w:sz w:val="20"/>
              </w:rPr>
              <w:t>ETP issuance, settlement under 10s</w:t>
            </w:r>
          </w:p>
        </w:tc>
        <w:tc>
          <w:tcPr>
            <w:tcW w:type="dxa" w:w="2436"/>
            <w:vAlign w:val="center"/>
          </w:tcPr>
          <w:p>
            <w:pPr>
              <w:spacing w:line="276" w:lineRule="auto" w:before="0" w:after="0"/>
            </w:pPr>
            <w:r/>
            <w:r>
              <w:rPr>
                <w:rFonts w:ascii="Figtree" w:hAnsi="Figtree"/>
                <w:b w:val="0"/>
                <w:i w:val="0"/>
                <w:sz w:val="20"/>
              </w:rPr>
              <w:t>Germany</w:t>
            </w:r>
          </w:p>
        </w:tc>
        <w:tc>
          <w:tcPr>
            <w:tcW w:type="dxa" w:w="2436"/>
            <w:vAlign w:val="center"/>
          </w:tcPr>
          <w:p>
            <w:pPr>
              <w:spacing w:line="276" w:lineRule="auto" w:before="0" w:after="0"/>
            </w:pPr>
            <w:r/>
            <w:r>
              <w:rPr>
                <w:rFonts w:ascii="Figtree" w:hAnsi="Figtree"/>
                <w:b w:val="0"/>
                <w:i w:val="0"/>
                <w:sz w:val="20"/>
              </w:rPr>
              <w:t>Wholesale fixed income</w:t>
            </w:r>
          </w:p>
        </w:tc>
      </w:tr>
      <w:tr>
        <w:trPr>
          <w:trHeight w:val="425" w:hRule="atLeast"/>
        </w:trPr>
        <w:tc>
          <w:tcPr>
            <w:tcW w:type="dxa" w:w="2436"/>
            <w:vAlign w:val="center"/>
          </w:tcPr>
          <w:p>
            <w:pPr>
              <w:spacing w:line="276" w:lineRule="auto" w:before="0" w:after="0"/>
            </w:pPr>
            <w:r/>
            <w:r>
              <w:rPr>
                <w:rFonts w:ascii="Figtree" w:hAnsi="Figtree"/>
                <w:b w:val="0"/>
                <w:i w:val="0"/>
                <w:sz w:val="20"/>
              </w:rPr>
              <w:t>OCBC Bank</w:t>
            </w:r>
          </w:p>
        </w:tc>
        <w:tc>
          <w:tcPr>
            <w:tcW w:type="dxa" w:w="2436"/>
            <w:vAlign w:val="center"/>
          </w:tcPr>
          <w:p>
            <w:pPr>
              <w:spacing w:line="276" w:lineRule="auto" w:before="0" w:after="0"/>
            </w:pPr>
            <w:r/>
            <w:r>
              <w:rPr>
                <w:rFonts w:ascii="Figtree" w:hAnsi="Figtree"/>
                <w:b w:val="0"/>
                <w:i w:val="0"/>
                <w:sz w:val="20"/>
              </w:rPr>
              <w:t>Security token engine</w:t>
            </w:r>
          </w:p>
        </w:tc>
        <w:tc>
          <w:tcPr>
            <w:tcW w:type="dxa" w:w="2436"/>
            <w:vAlign w:val="center"/>
          </w:tcPr>
          <w:p>
            <w:pPr>
              <w:spacing w:line="276" w:lineRule="auto" w:before="0" w:after="0"/>
            </w:pPr>
            <w:r/>
            <w:r>
              <w:rPr>
                <w:rFonts w:ascii="Figtree" w:hAnsi="Figtree"/>
                <w:b w:val="0"/>
                <w:i w:val="0"/>
                <w:sz w:val="20"/>
              </w:rPr>
              <w:t>Singapore</w:t>
            </w:r>
          </w:p>
        </w:tc>
        <w:tc>
          <w:tcPr>
            <w:tcW w:type="dxa" w:w="2436"/>
            <w:vAlign w:val="center"/>
          </w:tcPr>
          <w:p>
            <w:pPr>
              <w:spacing w:line="276" w:lineRule="auto" w:before="0" w:after="0"/>
            </w:pPr>
            <w:r/>
            <w:r>
              <w:rPr>
                <w:rFonts w:ascii="Figtree" w:hAnsi="Figtree"/>
                <w:b w:val="0"/>
                <w:i w:val="0"/>
                <w:sz w:val="20"/>
              </w:rPr>
              <w:t>Tier-1 bank platform</w:t>
            </w:r>
          </w:p>
        </w:tc>
      </w:tr>
      <w:tr>
        <w:trPr>
          <w:trHeight w:val="425" w:hRule="atLeast"/>
        </w:trPr>
        <w:tc>
          <w:tcPr>
            <w:tcW w:type="dxa" w:w="2436"/>
            <w:vAlign w:val="center"/>
          </w:tcPr>
          <w:p>
            <w:pPr>
              <w:spacing w:line="276" w:lineRule="auto" w:before="0" w:after="0"/>
            </w:pPr>
            <w:r/>
            <w:r>
              <w:rPr>
                <w:rFonts w:ascii="Figtree" w:hAnsi="Figtree"/>
                <w:b w:val="0"/>
                <w:i w:val="0"/>
                <w:sz w:val="20"/>
              </w:rPr>
              <w:t>Standard Chartered</w:t>
            </w:r>
          </w:p>
        </w:tc>
        <w:tc>
          <w:tcPr>
            <w:tcW w:type="dxa" w:w="2436"/>
            <w:vAlign w:val="center"/>
          </w:tcPr>
          <w:p>
            <w:pPr>
              <w:spacing w:line="276" w:lineRule="auto" w:before="0" w:after="0"/>
            </w:pPr>
            <w:r/>
            <w:r>
              <w:rPr>
                <w:rFonts w:ascii="Figtree" w:hAnsi="Figtree"/>
                <w:b w:val="0"/>
                <w:i w:val="0"/>
                <w:sz w:val="20"/>
              </w:rPr>
              <w:t>Digital exchange</w:t>
            </w:r>
          </w:p>
        </w:tc>
        <w:tc>
          <w:tcPr>
            <w:tcW w:type="dxa" w:w="2436"/>
            <w:vAlign w:val="center"/>
          </w:tcPr>
          <w:p>
            <w:pPr>
              <w:spacing w:line="276" w:lineRule="auto" w:before="0" w:after="0"/>
            </w:pPr>
            <w:r/>
            <w:r>
              <w:rPr>
                <w:rFonts w:ascii="Figtree" w:hAnsi="Figtree"/>
                <w:b w:val="0"/>
                <w:i w:val="0"/>
                <w:sz w:val="20"/>
              </w:rPr>
              <w:t>Asia, Africa, ME</w:t>
            </w:r>
          </w:p>
        </w:tc>
        <w:tc>
          <w:tcPr>
            <w:tcW w:type="dxa" w:w="2436"/>
            <w:vAlign w:val="center"/>
          </w:tcPr>
          <w:p>
            <w:pPr>
              <w:spacing w:line="276" w:lineRule="auto" w:before="0" w:after="0"/>
            </w:pPr>
            <w:r/>
            <w:r>
              <w:rPr>
                <w:rFonts w:ascii="Figtree" w:hAnsi="Figtree"/>
                <w:b w:val="0"/>
                <w:i w:val="0"/>
                <w:sz w:val="20"/>
              </w:rPr>
              <w:t>African market presence</w:t>
            </w:r>
          </w:p>
        </w:tc>
      </w:tr>
      <w:tr>
        <w:trPr>
          <w:trHeight w:val="425" w:hRule="atLeast"/>
        </w:trPr>
        <w:tc>
          <w:tcPr>
            <w:tcW w:type="dxa" w:w="2436"/>
            <w:vAlign w:val="center"/>
          </w:tcPr>
          <w:p>
            <w:pPr>
              <w:spacing w:line="276" w:lineRule="auto" w:before="0" w:after="0"/>
            </w:pPr>
            <w:r/>
            <w:r>
              <w:rPr>
                <w:rFonts w:ascii="Figtree" w:hAnsi="Figtree"/>
                <w:b w:val="0"/>
                <w:i w:val="0"/>
                <w:sz w:val="20"/>
              </w:rPr>
              <w:t>IsDB (Subsidy)</w:t>
            </w:r>
          </w:p>
        </w:tc>
        <w:tc>
          <w:tcPr>
            <w:tcW w:type="dxa" w:w="2436"/>
            <w:vAlign w:val="center"/>
          </w:tcPr>
          <w:p>
            <w:pPr>
              <w:spacing w:line="276" w:lineRule="auto" w:before="0" w:after="0"/>
            </w:pPr>
            <w:r/>
            <w:r>
              <w:rPr>
                <w:rFonts w:ascii="Figtree" w:hAnsi="Figtree"/>
                <w:b w:val="0"/>
                <w:i w:val="0"/>
                <w:sz w:val="20"/>
              </w:rPr>
              <w:t>Subsidy distribution, 57 countries</w:t>
            </w:r>
          </w:p>
        </w:tc>
        <w:tc>
          <w:tcPr>
            <w:tcW w:type="dxa" w:w="2436"/>
            <w:vAlign w:val="center"/>
          </w:tcPr>
          <w:p>
            <w:pPr>
              <w:spacing w:line="276" w:lineRule="auto" w:before="0" w:after="0"/>
            </w:pPr>
            <w:r/>
            <w:r>
              <w:rPr>
                <w:rFonts w:ascii="Figtree" w:hAnsi="Figtree"/>
                <w:b w:val="0"/>
                <w:i w:val="0"/>
                <w:sz w:val="20"/>
              </w:rPr>
              <w:t>Multi-region</w:t>
            </w:r>
          </w:p>
        </w:tc>
        <w:tc>
          <w:tcPr>
            <w:tcW w:type="dxa" w:w="2436"/>
            <w:vAlign w:val="center"/>
          </w:tcPr>
          <w:p>
            <w:pPr>
              <w:spacing w:line="276" w:lineRule="auto" w:before="0" w:after="0"/>
            </w:pPr>
            <w:r/>
            <w:r>
              <w:rPr>
                <w:rFonts w:ascii="Figtree" w:hAnsi="Figtree"/>
                <w:b w:val="0"/>
                <w:i w:val="0"/>
                <w:sz w:val="20"/>
              </w:rPr>
              <w:t>Multi-jurisdictional governance</w:t>
            </w:r>
          </w:p>
        </w:tc>
      </w:tr>
      <w:tr>
        <w:trPr>
          <w:trHeight w:val="425" w:hRule="atLeast"/>
        </w:trPr>
        <w:tc>
          <w:tcPr>
            <w:tcW w:type="dxa" w:w="2436"/>
            <w:vAlign w:val="center"/>
          </w:tcPr>
          <w:p>
            <w:pPr>
              <w:spacing w:line="276" w:lineRule="auto" w:before="0" w:after="0"/>
            </w:pPr>
            <w:r/>
            <w:r>
              <w:rPr>
                <w:rFonts w:ascii="Figtree" w:hAnsi="Figtree"/>
                <w:b w:val="0"/>
                <w:i w:val="0"/>
                <w:sz w:val="20"/>
              </w:rPr>
              <w:t>Saudi RER</w:t>
            </w:r>
          </w:p>
        </w:tc>
        <w:tc>
          <w:tcPr>
            <w:tcW w:type="dxa" w:w="2436"/>
            <w:vAlign w:val="center"/>
          </w:tcPr>
          <w:p>
            <w:pPr>
              <w:spacing w:line="276" w:lineRule="auto" w:before="0" w:after="0"/>
            </w:pPr>
            <w:r/>
            <w:r>
              <w:rPr>
                <w:rFonts w:ascii="Figtree" w:hAnsi="Figtree"/>
                <w:b w:val="0"/>
                <w:i w:val="0"/>
                <w:sz w:val="20"/>
              </w:rPr>
              <w:t>Country-scale real estate</w:t>
            </w:r>
          </w:p>
        </w:tc>
        <w:tc>
          <w:tcPr>
            <w:tcW w:type="dxa" w:w="2436"/>
            <w:vAlign w:val="center"/>
          </w:tcPr>
          <w:p>
            <w:pPr>
              <w:spacing w:line="276" w:lineRule="auto" w:before="0" w:after="0"/>
            </w:pPr>
            <w:r/>
            <w:r>
              <w:rPr>
                <w:rFonts w:ascii="Figtree" w:hAnsi="Figtree"/>
                <w:b w:val="0"/>
                <w:i w:val="0"/>
                <w:sz w:val="20"/>
              </w:rPr>
              <w:t>KSA</w:t>
            </w:r>
          </w:p>
        </w:tc>
        <w:tc>
          <w:tcPr>
            <w:tcW w:type="dxa" w:w="2436"/>
            <w:vAlign w:val="center"/>
          </w:tcPr>
          <w:p>
            <w:pPr>
              <w:spacing w:line="276" w:lineRule="auto" w:before="0" w:after="0"/>
            </w:pPr>
            <w:r/>
            <w:r>
              <w:rPr>
                <w:rFonts w:ascii="Figtree" w:hAnsi="Figtree"/>
                <w:b w:val="0"/>
                <w:i w:val="0"/>
                <w:sz w:val="20"/>
              </w:rPr>
              <w:t>National-scale integration</w:t>
            </w:r>
          </w:p>
        </w:tc>
      </w:tr>
      <w:tr>
        <w:trPr>
          <w:trHeight w:val="425" w:hRule="atLeast"/>
        </w:trPr>
        <w:tc>
          <w:tcPr>
            <w:tcW w:type="dxa" w:w="2436"/>
            <w:vAlign w:val="center"/>
          </w:tcPr>
          <w:p>
            <w:pPr>
              <w:spacing w:line="276" w:lineRule="auto" w:before="0" w:after="0"/>
            </w:pPr>
            <w:r/>
            <w:r>
              <w:rPr>
                <w:rFonts w:ascii="Figtree" w:hAnsi="Figtree"/>
                <w:b w:val="0"/>
                <w:i w:val="0"/>
                <w:sz w:val="20"/>
              </w:rPr>
              <w:t>Mizuho Bank</w:t>
            </w:r>
          </w:p>
        </w:tc>
        <w:tc>
          <w:tcPr>
            <w:tcW w:type="dxa" w:w="2436"/>
            <w:vAlign w:val="center"/>
          </w:tcPr>
          <w:p>
            <w:pPr>
              <w:spacing w:line="276" w:lineRule="auto" w:before="0" w:after="0"/>
            </w:pPr>
            <w:r/>
            <w:r>
              <w:rPr>
                <w:rFonts w:ascii="Figtree" w:hAnsi="Figtree"/>
                <w:b w:val="0"/>
                <w:i w:val="0"/>
                <w:sz w:val="20"/>
              </w:rPr>
              <w:t>Bond tokenization</w:t>
            </w:r>
          </w:p>
        </w:tc>
        <w:tc>
          <w:tcPr>
            <w:tcW w:type="dxa" w:w="2436"/>
            <w:vAlign w:val="center"/>
          </w:tcPr>
          <w:p>
            <w:pPr>
              <w:spacing w:line="276" w:lineRule="auto" w:before="0" w:after="0"/>
            </w:pPr>
            <w:r/>
            <w:r>
              <w:rPr>
                <w:rFonts w:ascii="Figtree" w:hAnsi="Figtree"/>
                <w:b w:val="0"/>
                <w:i w:val="0"/>
                <w:sz w:val="20"/>
              </w:rPr>
              <w:t>Japan</w:t>
            </w:r>
          </w:p>
        </w:tc>
        <w:tc>
          <w:tcPr>
            <w:tcW w:type="dxa" w:w="2436"/>
            <w:vAlign w:val="center"/>
          </w:tcPr>
          <w:p>
            <w:pPr>
              <w:spacing w:line="276" w:lineRule="auto" w:before="0" w:after="0"/>
            </w:pPr>
            <w:r/>
            <w:r>
              <w:rPr>
                <w:rFonts w:ascii="Figtree" w:hAnsi="Figtree"/>
                <w:b w:val="0"/>
                <w:i w:val="0"/>
                <w:sz w:val="20"/>
              </w:rPr>
              <w:t>Fixed income capability</w:t>
            </w:r>
          </w:p>
        </w:tc>
      </w:tr>
      <w:tr>
        <w:trPr>
          <w:trHeight w:val="425" w:hRule="atLeast"/>
        </w:trPr>
        <w:tc>
          <w:tcPr>
            <w:tcW w:type="dxa" w:w="2436"/>
            <w:vAlign w:val="center"/>
          </w:tcPr>
          <w:p>
            <w:pPr>
              <w:spacing w:line="276" w:lineRule="auto" w:before="0" w:after="0"/>
            </w:pPr>
            <w:r/>
            <w:r>
              <w:rPr>
                <w:rFonts w:ascii="Figtree" w:hAnsi="Figtree"/>
                <w:b w:val="0"/>
                <w:i w:val="0"/>
                <w:sz w:val="20"/>
              </w:rPr>
              <w:t>Maybank</w:t>
            </w:r>
          </w:p>
        </w:tc>
        <w:tc>
          <w:tcPr>
            <w:tcW w:type="dxa" w:w="2436"/>
            <w:vAlign w:val="center"/>
          </w:tcPr>
          <w:p>
            <w:pPr>
              <w:spacing w:line="276" w:lineRule="auto" w:before="0" w:after="0"/>
            </w:pPr>
            <w:r/>
            <w:r>
              <w:rPr>
                <w:rFonts w:ascii="Figtree" w:hAnsi="Figtree"/>
                <w:b w:val="0"/>
                <w:i w:val="0"/>
                <w:sz w:val="20"/>
              </w:rPr>
              <w:t>FX tokenization, XvP settlement</w:t>
            </w:r>
          </w:p>
        </w:tc>
        <w:tc>
          <w:tcPr>
            <w:tcW w:type="dxa" w:w="2436"/>
            <w:vAlign w:val="center"/>
          </w:tcPr>
          <w:p>
            <w:pPr>
              <w:spacing w:line="276" w:lineRule="auto" w:before="0" w:after="0"/>
            </w:pPr>
            <w:r/>
            <w:r>
              <w:rPr>
                <w:rFonts w:ascii="Figtree" w:hAnsi="Figtree"/>
                <w:b w:val="0"/>
                <w:i w:val="0"/>
                <w:sz w:val="20"/>
              </w:rPr>
              <w:t>Malaysia</w:t>
            </w:r>
          </w:p>
        </w:tc>
        <w:tc>
          <w:tcPr>
            <w:tcW w:type="dxa" w:w="2436"/>
            <w:vAlign w:val="center"/>
          </w:tcPr>
          <w:p>
            <w:pPr>
              <w:spacing w:line="276" w:lineRule="auto" w:before="0" w:after="0"/>
            </w:pPr>
            <w:r/>
            <w:r>
              <w:rPr>
                <w:rFonts w:ascii="Figtree" w:hAnsi="Figtree"/>
                <w:b w:val="0"/>
                <w:i w:val="0"/>
                <w:sz w:val="20"/>
              </w:rPr>
              <w:t>Atomic settlement</w:t>
            </w:r>
          </w:p>
        </w:tc>
      </w:tr>
      <w:tr>
        <w:trPr>
          <w:trHeight w:val="425" w:hRule="atLeast"/>
        </w:trPr>
        <w:tc>
          <w:tcPr>
            <w:tcW w:type="dxa" w:w="2436"/>
            <w:vAlign w:val="center"/>
          </w:tcPr>
          <w:p>
            <w:pPr>
              <w:spacing w:line="276" w:lineRule="auto" w:before="0" w:after="0"/>
            </w:pPr>
            <w:r/>
            <w:r>
              <w:rPr>
                <w:rFonts w:ascii="Figtree" w:hAnsi="Figtree"/>
                <w:b w:val="0"/>
                <w:i w:val="0"/>
                <w:sz w:val="20"/>
              </w:rPr>
              <w:t>KBC Securities</w:t>
            </w:r>
          </w:p>
        </w:tc>
        <w:tc>
          <w:tcPr>
            <w:tcW w:type="dxa" w:w="2436"/>
            <w:vAlign w:val="center"/>
          </w:tcPr>
          <w:p>
            <w:pPr>
              <w:spacing w:line="276" w:lineRule="auto" w:before="0" w:after="0"/>
            </w:pPr>
            <w:r/>
            <w:r>
              <w:rPr>
                <w:rFonts w:ascii="Figtree" w:hAnsi="Figtree"/>
                <w:b w:val="0"/>
                <w:i w:val="0"/>
                <w:sz w:val="20"/>
              </w:rPr>
              <w:t>Equity crowdfunding automation</w:t>
            </w:r>
          </w:p>
        </w:tc>
        <w:tc>
          <w:tcPr>
            <w:tcW w:type="dxa" w:w="2436"/>
            <w:vAlign w:val="center"/>
          </w:tcPr>
          <w:p>
            <w:pPr>
              <w:spacing w:line="276" w:lineRule="auto" w:before="0" w:after="0"/>
            </w:pPr>
            <w:r/>
            <w:r>
              <w:rPr>
                <w:rFonts w:ascii="Figtree" w:hAnsi="Figtree"/>
                <w:b w:val="0"/>
                <w:i w:val="0"/>
                <w:sz w:val="20"/>
              </w:rPr>
              <w:t>Belgium</w:t>
            </w:r>
          </w:p>
        </w:tc>
        <w:tc>
          <w:tcPr>
            <w:tcW w:type="dxa" w:w="2436"/>
            <w:vAlign w:val="center"/>
          </w:tcPr>
          <w:p>
            <w:pPr>
              <w:spacing w:line="276" w:lineRule="auto" w:before="0" w:after="0"/>
            </w:pPr>
            <w:r/>
            <w:r>
              <w:rPr>
                <w:rFonts w:ascii="Figtree" w:hAnsi="Figtree"/>
                <w:b w:val="0"/>
                <w:i w:val="0"/>
                <w:sz w:val="20"/>
              </w:rPr>
              <w:t>Lifecycle automation</w:t>
            </w:r>
          </w:p>
        </w:tc>
      </w:tr>
      <w:tr>
        <w:trPr>
          <w:trHeight w:val="425" w:hRule="atLeast"/>
        </w:trPr>
        <w:tc>
          <w:tcPr>
            <w:tcW w:type="dxa" w:w="2436"/>
            <w:vAlign w:val="center"/>
          </w:tcPr>
          <w:p>
            <w:pPr>
              <w:spacing w:line="276" w:lineRule="auto" w:before="0" w:after="0"/>
            </w:pPr>
            <w:r/>
            <w:r>
              <w:rPr>
                <w:rFonts w:ascii="Figtree" w:hAnsi="Figtree"/>
                <w:b w:val="0"/>
                <w:i w:val="0"/>
                <w:sz w:val="20"/>
              </w:rPr>
              <w:t>Sony Bank</w:t>
            </w:r>
          </w:p>
        </w:tc>
        <w:tc>
          <w:tcPr>
            <w:tcW w:type="dxa" w:w="2436"/>
            <w:vAlign w:val="center"/>
          </w:tcPr>
          <w:p>
            <w:pPr>
              <w:spacing w:line="276" w:lineRule="auto" w:before="0" w:after="0"/>
            </w:pPr>
            <w:r/>
            <w:r>
              <w:rPr>
                <w:rFonts w:ascii="Figtree" w:hAnsi="Figtree"/>
                <w:b w:val="0"/>
                <w:i w:val="0"/>
                <w:sz w:val="20"/>
              </w:rPr>
              <w:t>Stablecoin with identity</w:t>
            </w:r>
          </w:p>
        </w:tc>
        <w:tc>
          <w:tcPr>
            <w:tcW w:type="dxa" w:w="2436"/>
            <w:vAlign w:val="center"/>
          </w:tcPr>
          <w:p>
            <w:pPr>
              <w:spacing w:line="276" w:lineRule="auto" w:before="0" w:after="0"/>
            </w:pPr>
            <w:r/>
            <w:r>
              <w:rPr>
                <w:rFonts w:ascii="Figtree" w:hAnsi="Figtree"/>
                <w:b w:val="0"/>
                <w:i w:val="0"/>
                <w:sz w:val="20"/>
              </w:rPr>
              <w:t>Japan</w:t>
            </w:r>
          </w:p>
        </w:tc>
        <w:tc>
          <w:tcPr>
            <w:tcW w:type="dxa" w:w="2436"/>
            <w:vAlign w:val="center"/>
          </w:tcPr>
          <w:p>
            <w:pPr>
              <w:spacing w:line="276" w:lineRule="auto" w:before="0" w:after="0"/>
            </w:pPr>
            <w:r/>
            <w:r>
              <w:rPr>
                <w:rFonts w:ascii="Figtree" w:hAnsi="Figtree"/>
                <w:b w:val="0"/>
                <w:i w:val="0"/>
                <w:sz w:val="20"/>
              </w:rPr>
              <w:t>Identity-integrated finance</w:t>
            </w:r>
          </w:p>
        </w:tc>
      </w:tr>
      <w:tr>
        <w:trPr>
          <w:trHeight w:val="425" w:hRule="atLeast"/>
        </w:trPr>
        <w:tc>
          <w:tcPr>
            <w:tcW w:type="dxa" w:w="2436"/>
            <w:vAlign w:val="center"/>
          </w:tcPr>
          <w:p>
            <w:pPr>
              <w:spacing w:line="276" w:lineRule="auto" w:before="0" w:after="0"/>
            </w:pPr>
            <w:r/>
            <w:r>
              <w:rPr>
                <w:rFonts w:ascii="Figtree" w:hAnsi="Figtree"/>
                <w:b w:val="0"/>
                <w:i w:val="0"/>
                <w:sz w:val="20"/>
              </w:rPr>
              <w:t>SBI</w:t>
            </w:r>
          </w:p>
        </w:tc>
        <w:tc>
          <w:tcPr>
            <w:tcW w:type="dxa" w:w="2436"/>
            <w:vAlign w:val="center"/>
          </w:tcPr>
          <w:p>
            <w:pPr>
              <w:spacing w:line="276" w:lineRule="auto" w:before="0" w:after="0"/>
            </w:pPr>
            <w:r/>
            <w:r>
              <w:rPr>
                <w:rFonts w:ascii="Figtree" w:hAnsi="Figtree"/>
                <w:b w:val="0"/>
                <w:i w:val="0"/>
                <w:sz w:val="20"/>
              </w:rPr>
              <w:t>CBDC infrastructure</w:t>
            </w:r>
          </w:p>
        </w:tc>
        <w:tc>
          <w:tcPr>
            <w:tcW w:type="dxa" w:w="2436"/>
            <w:vAlign w:val="center"/>
          </w:tcPr>
          <w:p>
            <w:pPr>
              <w:spacing w:line="276" w:lineRule="auto" w:before="0" w:after="0"/>
            </w:pPr>
            <w:r/>
            <w:r>
              <w:rPr>
                <w:rFonts w:ascii="Figtree" w:hAnsi="Figtree"/>
                <w:b w:val="0"/>
                <w:i w:val="0"/>
                <w:sz w:val="20"/>
              </w:rPr>
              <w:t>India</w:t>
            </w:r>
          </w:p>
        </w:tc>
        <w:tc>
          <w:tcPr>
            <w:tcW w:type="dxa" w:w="2436"/>
            <w:vAlign w:val="center"/>
          </w:tcPr>
          <w:p>
            <w:pPr>
              <w:spacing w:line="276" w:lineRule="auto" w:before="0" w:after="0"/>
            </w:pPr>
            <w:r/>
            <w:r>
              <w:rPr>
                <w:rFonts w:ascii="Figtree" w:hAnsi="Figtree"/>
                <w:b w:val="0"/>
                <w:i w:val="0"/>
                <w:sz w:val="20"/>
              </w:rPr>
              <w:t>Sovereign-scale digital currency</w:t>
            </w:r>
          </w:p>
        </w:tc>
      </w:tr>
      <w:tr>
        <w:trPr>
          <w:trHeight w:val="425" w:hRule="atLeast"/>
        </w:trPr>
        <w:tc>
          <w:tcPr>
            <w:tcW w:type="dxa" w:w="2436"/>
            <w:vAlign w:val="center"/>
          </w:tcPr>
          <w:p>
            <w:pPr>
              <w:spacing w:line="276" w:lineRule="auto" w:before="0" w:after="0"/>
            </w:pPr>
            <w:r/>
            <w:r>
              <w:rPr>
                <w:rFonts w:ascii="Figtree" w:hAnsi="Figtree"/>
                <w:b w:val="0"/>
                <w:i w:val="0"/>
                <w:sz w:val="20"/>
              </w:rPr>
              <w:t>IsDB (Market Stabilization)</w:t>
            </w:r>
          </w:p>
        </w:tc>
        <w:tc>
          <w:tcPr>
            <w:tcW w:type="dxa" w:w="2436"/>
            <w:vAlign w:val="center"/>
          </w:tcPr>
          <w:p>
            <w:pPr>
              <w:spacing w:line="276" w:lineRule="auto" w:before="0" w:after="0"/>
            </w:pPr>
            <w:r/>
            <w:r>
              <w:rPr>
                <w:rFonts w:ascii="Figtree" w:hAnsi="Figtree"/>
                <w:b w:val="0"/>
                <w:i w:val="0"/>
                <w:sz w:val="20"/>
              </w:rPr>
              <w:t>Sharia-compliant stabilization</w:t>
            </w:r>
          </w:p>
        </w:tc>
        <w:tc>
          <w:tcPr>
            <w:tcW w:type="dxa" w:w="2436"/>
            <w:vAlign w:val="center"/>
          </w:tcPr>
          <w:p>
            <w:pPr>
              <w:spacing w:line="276" w:lineRule="auto" w:before="0" w:after="0"/>
            </w:pPr>
            <w:r/>
            <w:r>
              <w:rPr>
                <w:rFonts w:ascii="Figtree" w:hAnsi="Figtree"/>
                <w:b w:val="0"/>
                <w:i w:val="0"/>
                <w:sz w:val="20"/>
              </w:rPr>
              <w:t>Multi-region</w:t>
            </w:r>
          </w:p>
        </w:tc>
        <w:tc>
          <w:tcPr>
            <w:tcW w:type="dxa" w:w="2436"/>
            <w:vAlign w:val="center"/>
          </w:tcPr>
          <w:p>
            <w:pPr>
              <w:spacing w:line="276" w:lineRule="auto" w:before="0" w:after="0"/>
            </w:pPr>
            <w:r/>
            <w:r>
              <w:rPr>
                <w:rFonts w:ascii="Figtree" w:hAnsi="Figtree"/>
                <w:b w:val="0"/>
                <w:i w:val="0"/>
                <w:sz w:val="20"/>
              </w:rPr>
              <w:t>Automated financial operations</w:t>
            </w:r>
          </w:p>
        </w:tc>
      </w:tr>
      <w:tr>
        <w:trPr>
          <w:trHeight w:val="425" w:hRule="atLeast"/>
        </w:trPr>
        <w:tc>
          <w:tcPr>
            <w:tcW w:type="dxa" w:w="2436"/>
            <w:vAlign w:val="center"/>
          </w:tcPr>
          <w:p>
            <w:pPr>
              <w:spacing w:line="276" w:lineRule="auto" w:before="0" w:after="0"/>
            </w:pPr>
            <w:r/>
            <w:r>
              <w:rPr>
                <w:rFonts w:ascii="Figtree" w:hAnsi="Figtree"/>
                <w:b w:val="0"/>
                <w:i w:val="0"/>
                <w:sz w:val="20"/>
              </w:rPr>
              <w:t>ADI Finstreet</w:t>
            </w:r>
          </w:p>
        </w:tc>
        <w:tc>
          <w:tcPr>
            <w:tcW w:type="dxa" w:w="2436"/>
            <w:vAlign w:val="center"/>
          </w:tcPr>
          <w:p>
            <w:pPr>
              <w:spacing w:line="276" w:lineRule="auto" w:before="0" w:after="0"/>
            </w:pPr>
            <w:r/>
            <w:r>
              <w:rPr>
                <w:rFonts w:ascii="Figtree" w:hAnsi="Figtree"/>
                <w:b w:val="0"/>
                <w:i w:val="0"/>
                <w:sz w:val="20"/>
              </w:rPr>
              <w:t>Tokenized equity, Abu Dhabi</w:t>
            </w:r>
          </w:p>
        </w:tc>
        <w:tc>
          <w:tcPr>
            <w:tcW w:type="dxa" w:w="2436"/>
            <w:vAlign w:val="center"/>
          </w:tcPr>
          <w:p>
            <w:pPr>
              <w:spacing w:line="276" w:lineRule="auto" w:before="0" w:after="0"/>
            </w:pPr>
            <w:r/>
            <w:r>
              <w:rPr>
                <w:rFonts w:ascii="Figtree" w:hAnsi="Figtree"/>
                <w:b w:val="0"/>
                <w:i w:val="0"/>
                <w:sz w:val="20"/>
              </w:rPr>
              <w:t>UAE/GCC</w:t>
            </w:r>
          </w:p>
        </w:tc>
        <w:tc>
          <w:tcPr>
            <w:tcW w:type="dxa" w:w="2436"/>
            <w:vAlign w:val="center"/>
          </w:tcPr>
          <w:p>
            <w:pPr>
              <w:spacing w:line="276" w:lineRule="auto" w:before="0" w:after="0"/>
            </w:pPr>
            <w:r/>
            <w:r>
              <w:rPr>
                <w:rFonts w:ascii="Figtree" w:hAnsi="Figtree"/>
                <w:b w:val="0"/>
                <w:i w:val="0"/>
                <w:sz w:val="20"/>
              </w:rPr>
              <w:t>Custody integration</w:t>
            </w:r>
          </w:p>
        </w:tc>
      </w:tr>
      <w:tr>
        <w:trPr>
          <w:trHeight w:val="425" w:hRule="atLeast"/>
        </w:trPr>
        <w:tc>
          <w:tcPr>
            <w:tcW w:type="dxa" w:w="2436"/>
            <w:vAlign w:val="center"/>
          </w:tcPr>
          <w:p>
            <w:pPr>
              <w:spacing w:line="276" w:lineRule="auto" w:before="0" w:after="0"/>
            </w:pPr>
            <w:r/>
            <w:r>
              <w:rPr>
                <w:rFonts w:ascii="Figtree" w:hAnsi="Figtree"/>
                <w:b w:val="0"/>
                <w:i w:val="0"/>
                <w:sz w:val="20"/>
              </w:rPr>
              <w:t>KBC Insurance</w:t>
            </w:r>
          </w:p>
        </w:tc>
        <w:tc>
          <w:tcPr>
            <w:tcW w:type="dxa" w:w="2436"/>
            <w:vAlign w:val="center"/>
          </w:tcPr>
          <w:p>
            <w:pPr>
              <w:spacing w:line="276" w:lineRule="auto" w:before="0" w:after="0"/>
            </w:pPr>
            <w:r/>
            <w:r>
              <w:rPr>
                <w:rFonts w:ascii="Figtree" w:hAnsi="Figtree"/>
                <w:b w:val="0"/>
                <w:i w:val="0"/>
                <w:sz w:val="20"/>
              </w:rPr>
              <w:t>NFT product passports</w:t>
            </w:r>
          </w:p>
        </w:tc>
        <w:tc>
          <w:tcPr>
            <w:tcW w:type="dxa" w:w="2436"/>
            <w:vAlign w:val="center"/>
          </w:tcPr>
          <w:p>
            <w:pPr>
              <w:spacing w:line="276" w:lineRule="auto" w:before="0" w:after="0"/>
            </w:pPr>
            <w:r/>
            <w:r>
              <w:rPr>
                <w:rFonts w:ascii="Figtree" w:hAnsi="Figtree"/>
                <w:b w:val="0"/>
                <w:i w:val="0"/>
                <w:sz w:val="20"/>
              </w:rPr>
              <w:t>Belgium</w:t>
            </w:r>
          </w:p>
        </w:tc>
        <w:tc>
          <w:tcPr>
            <w:tcW w:type="dxa" w:w="2436"/>
            <w:vAlign w:val="center"/>
          </w:tcPr>
          <w:p>
            <w:pPr>
              <w:spacing w:line="276" w:lineRule="auto" w:before="0" w:after="0"/>
            </w:pPr>
            <w:r/>
            <w:r>
              <w:rPr>
                <w:rFonts w:ascii="Figtree" w:hAnsi="Figtree"/>
                <w:b w:val="0"/>
                <w:i w:val="0"/>
                <w:sz w:val="20"/>
              </w:rPr>
              <w:t>Digital asset innovation</w:t>
            </w:r>
          </w:p>
        </w:tc>
      </w:tr>
      <w:tr>
        <w:trPr>
          <w:trHeight w:val="425" w:hRule="atLeast"/>
        </w:trPr>
        <w:tc>
          <w:tcPr>
            <w:tcW w:type="dxa" w:w="2436"/>
            <w:vAlign w:val="center"/>
          </w:tcPr>
          <w:p>
            <w:pPr>
              <w:spacing w:line="276" w:lineRule="auto" w:before="0" w:after="0"/>
            </w:pPr>
            <w:r/>
            <w:r>
              <w:rPr>
                <w:rFonts w:ascii="Figtree" w:hAnsi="Figtree"/>
                <w:b w:val="0"/>
                <w:i w:val="0"/>
                <w:sz w:val="20"/>
              </w:rPr>
              <w:t>Reserve Bank of India</w:t>
            </w:r>
          </w:p>
        </w:tc>
        <w:tc>
          <w:tcPr>
            <w:tcW w:type="dxa" w:w="2436"/>
            <w:vAlign w:val="center"/>
          </w:tcPr>
          <w:p>
            <w:pPr>
              <w:spacing w:line="276" w:lineRule="auto" w:before="0" w:after="0"/>
            </w:pPr>
            <w:r/>
            <w:r>
              <w:rPr>
                <w:rFonts w:ascii="Figtree" w:hAnsi="Figtree"/>
                <w:b w:val="0"/>
                <w:i w:val="0"/>
                <w:sz w:val="20"/>
              </w:rPr>
              <w:t>Multi-bank trade finance</w:t>
            </w:r>
          </w:p>
        </w:tc>
        <w:tc>
          <w:tcPr>
            <w:tcW w:type="dxa" w:w="2436"/>
            <w:vAlign w:val="center"/>
          </w:tcPr>
          <w:p>
            <w:pPr>
              <w:spacing w:line="276" w:lineRule="auto" w:before="0" w:after="0"/>
            </w:pPr>
            <w:r/>
            <w:r>
              <w:rPr>
                <w:rFonts w:ascii="Figtree" w:hAnsi="Figtree"/>
                <w:b w:val="0"/>
                <w:i w:val="0"/>
                <w:sz w:val="20"/>
              </w:rPr>
              <w:t>India</w:t>
            </w:r>
          </w:p>
        </w:tc>
        <w:tc>
          <w:tcPr>
            <w:tcW w:type="dxa" w:w="2436"/>
            <w:vAlign w:val="center"/>
          </w:tcPr>
          <w:p>
            <w:pPr>
              <w:spacing w:line="276" w:lineRule="auto" w:before="0" w:after="0"/>
            </w:pPr>
            <w:r/>
            <w:r>
              <w:rPr>
                <w:rFonts w:ascii="Figtree" w:hAnsi="Figtree"/>
                <w:b w:val="0"/>
                <w:i w:val="0"/>
                <w:sz w:val="20"/>
              </w:rPr>
              <w:t>Multi-party infrastructure</w:t>
            </w:r>
          </w:p>
        </w:tc>
      </w:tr>
    </w:tbl>
    <w:p>
      <w:pPr>
        <w:spacing w:before="0" w:after="0" w:line="120" w:lineRule="exact"/>
      </w:pPr>
    </w:p>
    <w:p>
      <w:pPr>
        <w:pStyle w:val="H2"/>
        <w:numPr>
          <w:ilvl w:val="1"/>
          <w:numId w:val="1"/>
        </w:numPr>
      </w:pPr>
      <w:r>
        <w:t>Expanded Reference: Commerzbank</w:t>
      </w:r>
    </w:p>
    <w:p>
      <w:r>
        <w:rPr>
          <w:rFonts w:ascii="Figtree" w:hAnsi="Figtree"/>
          <w:b w:val="0"/>
          <w:i w:val="0"/>
          <w:sz w:val="22"/>
        </w:rPr>
        <w:t>Commerzbank required a hybrid on/off-chain solution for issuing and managing exchange-traded products integrated with Boerse Stuttgart's listing service. SettleMint delivered a solution achieving settlement in under 10 seconds with EUR 7 million annual savings potential. This reference directly demonstrates wholesale fixed income capability at production scale under European banking regulation.</w:t>
      </w:r>
    </w:p>
    <w:p>
      <w:pPr>
        <w:pStyle w:val="H2"/>
        <w:numPr>
          <w:ilvl w:val="1"/>
          <w:numId w:val="1"/>
        </w:numPr>
      </w:pPr>
      <w:r>
        <w:t>Expanded Reference: Standard Chartered Bank</w:t>
      </w:r>
    </w:p>
    <w:p>
      <w:r>
        <w:rPr>
          <w:rFonts w:ascii="Figtree" w:hAnsi="Figtree"/>
          <w:b w:val="0"/>
          <w:i w:val="0"/>
          <w:sz w:val="22"/>
        </w:rPr>
        <w:t>Standard Chartered collaborated with SettleMint on a blockchain-based Digital Virtual Exchange supporting fractional tokenization of securities across Asia, Africa, and the Middle East. Ownership changes are recorded instantly and immutably, eliminating custody intermediaries and reducing settlement times. This reference demonstrates SettleMint's capability in African institutional markets directly relevant to FirstRand's operating context.</w:t>
      </w:r>
    </w:p>
    <w:p>
      <w:pPr>
        <w:pStyle w:val="H2"/>
        <w:numPr>
          <w:ilvl w:val="1"/>
          <w:numId w:val="1"/>
        </w:numPr>
      </w:pPr>
      <w:r>
        <w:t>Expanded Reference: Saudi RER</w:t>
      </w:r>
    </w:p>
    <w:p>
      <w:r>
        <w:rPr>
          <w:rFonts w:ascii="Figtree" w:hAnsi="Figtree"/>
          <w:b w:val="0"/>
          <w:i w:val="0"/>
          <w:sz w:val="22"/>
        </w:rPr>
        <w:t>The Saudi Real Estate Registry programme delivers country-scale blockchain infrastructure with deep integration into government registry, billing, escrow, and administrative systems. SettleMint serves as delivery partner for the solution powered by DALP. This reference demonstrates enterprise integration discipline at national scale, relevant to FirstRand's requirement for integration with its existing institutional technology stack and South Africa's market infrastructure.</w:t>
      </w:r>
    </w:p>
    <w:p>
      <w:r>
        <w:br w:type="page"/>
      </w:r>
    </w:p>
    <w:p>
      <w:pPr>
        <w:pStyle w:val="H1"/>
        <w:numPr>
          <w:ilvl w:val="0"/>
          <w:numId w:val="1"/>
        </w:numPr>
      </w:pPr>
      <w:r>
        <w:t>Understanding of Requirements</w:t>
      </w:r>
    </w:p>
    <w:p>
      <w:pPr>
        <w:pStyle w:val="H2"/>
        <w:numPr>
          <w:ilvl w:val="1"/>
          <w:numId w:val="1"/>
        </w:numPr>
      </w:pPr>
      <w:r>
        <w:t>Client Context</w:t>
      </w:r>
    </w:p>
    <w:p>
      <w:r>
        <w:rPr>
          <w:rFonts w:ascii="Figtree" w:hAnsi="Figtree"/>
          <w:b w:val="0"/>
          <w:i w:val="0"/>
          <w:sz w:val="22"/>
        </w:rPr>
        <w:t>FirstRand approaches this procurement as a business-critical investment, requiring a platform that operates within its existing control environment under SARB and FSCA oversight. The evaluation will assess whether bidders can explain platform behaviour under operational pressure, including incomplete onboarding data, limit breaches, governance-delayed approvals, and regulatory evidence requests.</w:t>
      </w:r>
    </w:p>
    <w:p>
      <w:pPr>
        <w:pStyle w:val="H2"/>
        <w:numPr>
          <w:ilvl w:val="1"/>
          <w:numId w:val="1"/>
        </w:numPr>
      </w:pPr>
      <w:r>
        <w:t>Requirement Domains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00"/>
        <w:gridCol w:w="4825"/>
        <w:gridCol w:w="334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FirstRand Requirements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Coverage</w:t>
            </w:r>
          </w:p>
        </w:tc>
      </w:tr>
      <w:tr>
        <w:trPr>
          <w:trHeight w:val="425" w:hRule="atLeast"/>
        </w:trPr>
        <w:tc>
          <w:tcPr>
            <w:tcW w:type="dxa" w:w="3249"/>
            <w:vAlign w:val="center"/>
          </w:tcPr>
          <w:p>
            <w:pPr>
              <w:spacing w:line="276" w:lineRule="auto" w:before="0" w:after="0"/>
            </w:pPr>
            <w:r/>
            <w:r>
              <w:rPr>
                <w:rFonts w:ascii="Figtree" w:hAnsi="Figtree"/>
                <w:b w:val="0"/>
                <w:i w:val="0"/>
                <w:sz w:val="20"/>
              </w:rPr>
              <w:t>Product Scope</w:t>
            </w:r>
          </w:p>
        </w:tc>
        <w:tc>
          <w:tcPr>
            <w:tcW w:type="dxa" w:w="3249"/>
            <w:vAlign w:val="center"/>
          </w:tcPr>
          <w:p>
            <w:pPr>
              <w:spacing w:line="276" w:lineRule="auto" w:before="0" w:after="0"/>
            </w:pPr>
            <w:r/>
            <w:r>
              <w:rPr>
                <w:rFonts w:ascii="Figtree" w:hAnsi="Figtree"/>
                <w:b w:val="0"/>
                <w:i w:val="0"/>
                <w:sz w:val="20"/>
              </w:rPr>
              <w:t>Wholesale bonds, treasury instruments, issuance calendars, coupon schedules</w:t>
            </w:r>
          </w:p>
        </w:tc>
        <w:tc>
          <w:tcPr>
            <w:tcW w:type="dxa" w:w="3249"/>
            <w:vAlign w:val="center"/>
          </w:tcPr>
          <w:p>
            <w:pPr>
              <w:spacing w:line="276" w:lineRule="auto" w:before="0" w:after="0"/>
            </w:pPr>
            <w:r/>
            <w:r>
              <w:rPr>
                <w:rFonts w:ascii="Figtree" w:hAnsi="Figtree"/>
                <w:b w:val="0"/>
                <w:i w:val="0"/>
                <w:sz w:val="20"/>
              </w:rPr>
              <w:t>Bond templates with configurable lifecycle logic</w:t>
            </w:r>
          </w:p>
        </w:tc>
      </w:tr>
      <w:tr>
        <w:trPr>
          <w:trHeight w:val="425" w:hRule="atLeast"/>
        </w:trPr>
        <w:tc>
          <w:tcPr>
            <w:tcW w:type="dxa" w:w="3249"/>
            <w:vAlign w:val="center"/>
          </w:tcPr>
          <w:p>
            <w:pPr>
              <w:spacing w:line="276" w:lineRule="auto" w:before="0" w:after="0"/>
            </w:pPr>
            <w:r/>
            <w:r>
              <w:rPr>
                <w:rFonts w:ascii="Figtree" w:hAnsi="Figtree"/>
                <w:b w:val="0"/>
                <w:i w:val="0"/>
                <w:sz w:val="20"/>
              </w:rPr>
              <w:t>Identity</w:t>
            </w:r>
          </w:p>
        </w:tc>
        <w:tc>
          <w:tcPr>
            <w:tcW w:type="dxa" w:w="3249"/>
            <w:vAlign w:val="center"/>
          </w:tcPr>
          <w:p>
            <w:pPr>
              <w:spacing w:line="276" w:lineRule="auto" w:before="0" w:after="0"/>
            </w:pPr>
            <w:r/>
            <w:r>
              <w:rPr>
                <w:rFonts w:ascii="Figtree" w:hAnsi="Figtree"/>
                <w:b w:val="0"/>
                <w:i w:val="0"/>
                <w:sz w:val="20"/>
              </w:rPr>
              <w:t>Integration with KYC infrastructure and SARB reporting</w:t>
            </w:r>
          </w:p>
        </w:tc>
        <w:tc>
          <w:tcPr>
            <w:tcW w:type="dxa" w:w="3249"/>
            <w:vAlign w:val="center"/>
          </w:tcPr>
          <w:p>
            <w:pPr>
              <w:spacing w:line="276" w:lineRule="auto" w:before="0" w:after="0"/>
            </w:pPr>
            <w:r/>
            <w:r>
              <w:rPr>
                <w:rFonts w:ascii="Figtree" w:hAnsi="Figtree"/>
                <w:b w:val="0"/>
                <w:i w:val="0"/>
                <w:sz w:val="20"/>
              </w:rPr>
              <w:t>OnchainID, Identity Registry, KYC/KYB workflows</w:t>
            </w:r>
          </w:p>
        </w:tc>
      </w:tr>
      <w:tr>
        <w:trPr>
          <w:trHeight w:val="425" w:hRule="atLeast"/>
        </w:trPr>
        <w:tc>
          <w:tcPr>
            <w:tcW w:type="dxa" w:w="3249"/>
            <w:vAlign w:val="center"/>
          </w:tcPr>
          <w:p>
            <w:pPr>
              <w:spacing w:line="276" w:lineRule="auto" w:before="0" w:after="0"/>
            </w:pPr>
            <w:r/>
            <w:r>
              <w:rPr>
                <w:rFonts w:ascii="Figtree" w:hAnsi="Figtree"/>
                <w:b w:val="0"/>
                <w:i w:val="0"/>
                <w:sz w:val="20"/>
              </w:rPr>
              <w:t>Compliance</w:t>
            </w:r>
          </w:p>
        </w:tc>
        <w:tc>
          <w:tcPr>
            <w:tcW w:type="dxa" w:w="3249"/>
            <w:vAlign w:val="center"/>
          </w:tcPr>
          <w:p>
            <w:pPr>
              <w:spacing w:line="276" w:lineRule="auto" w:before="0" w:after="0"/>
            </w:pPr>
            <w:r/>
            <w:r>
              <w:rPr>
                <w:rFonts w:ascii="Figtree" w:hAnsi="Figtree"/>
                <w:b w:val="0"/>
                <w:i w:val="0"/>
                <w:sz w:val="20"/>
              </w:rPr>
              <w:t>Transfer restrictions, eligibility checks, FIC AML/CFT</w:t>
            </w:r>
          </w:p>
        </w:tc>
        <w:tc>
          <w:tcPr>
            <w:tcW w:type="dxa" w:w="3249"/>
            <w:vAlign w:val="center"/>
          </w:tcPr>
          <w:p>
            <w:pPr>
              <w:spacing w:line="276" w:lineRule="auto" w:before="0" w:after="0"/>
            </w:pPr>
            <w:r/>
            <w:r>
              <w:rPr>
                <w:rFonts w:ascii="Figtree" w:hAnsi="Figtree"/>
                <w:b w:val="0"/>
                <w:i w:val="0"/>
                <w:sz w:val="20"/>
              </w:rPr>
              <w:t>18 compliance modules, ex-ante enforcement</w:t>
            </w:r>
          </w:p>
        </w:tc>
      </w:tr>
      <w:tr>
        <w:trPr>
          <w:trHeight w:val="425" w:hRule="atLeast"/>
        </w:trPr>
        <w:tc>
          <w:tcPr>
            <w:tcW w:type="dxa" w:w="3249"/>
            <w:vAlign w:val="center"/>
          </w:tcPr>
          <w:p>
            <w:pPr>
              <w:spacing w:line="276" w:lineRule="auto" w:before="0" w:after="0"/>
            </w:pPr>
            <w:r/>
            <w:r>
              <w:rPr>
                <w:rFonts w:ascii="Figtree" w:hAnsi="Figtree"/>
                <w:b w:val="0"/>
                <w:i w:val="0"/>
                <w:sz w:val="20"/>
              </w:rPr>
              <w:t>Settlement</w:t>
            </w:r>
          </w:p>
        </w:tc>
        <w:tc>
          <w:tcPr>
            <w:tcW w:type="dxa" w:w="3249"/>
            <w:vAlign w:val="center"/>
          </w:tcPr>
          <w:p>
            <w:pPr>
              <w:spacing w:line="276" w:lineRule="auto" w:before="0" w:after="0"/>
            </w:pPr>
            <w:r/>
            <w:r>
              <w:rPr>
                <w:rFonts w:ascii="Figtree" w:hAnsi="Figtree"/>
                <w:b w:val="0"/>
                <w:i w:val="0"/>
                <w:sz w:val="20"/>
              </w:rPr>
              <w:t>Integration with JSE infrastructure, paying agents</w:t>
            </w:r>
          </w:p>
        </w:tc>
        <w:tc>
          <w:tcPr>
            <w:tcW w:type="dxa" w:w="3249"/>
            <w:vAlign w:val="center"/>
          </w:tcPr>
          <w:p>
            <w:pPr>
              <w:spacing w:line="276" w:lineRule="auto" w:before="0" w:after="0"/>
            </w:pPr>
            <w:r/>
            <w:r>
              <w:rPr>
                <w:rFonts w:ascii="Figtree" w:hAnsi="Figtree"/>
                <w:b w:val="0"/>
                <w:i w:val="0"/>
                <w:sz w:val="20"/>
              </w:rPr>
              <w:t>Atomic DvP, ISO 20022, SWIFT/RTGS</w:t>
            </w:r>
          </w:p>
        </w:tc>
      </w:tr>
      <w:tr>
        <w:trPr>
          <w:trHeight w:val="425" w:hRule="atLeast"/>
        </w:trPr>
        <w:tc>
          <w:tcPr>
            <w:tcW w:type="dxa" w:w="3249"/>
            <w:vAlign w:val="center"/>
          </w:tcPr>
          <w:p>
            <w:pPr>
              <w:spacing w:line="276" w:lineRule="auto" w:before="0" w:after="0"/>
            </w:pPr>
            <w:r/>
            <w:r>
              <w:rPr>
                <w:rFonts w:ascii="Figtree" w:hAnsi="Figtree"/>
                <w:b w:val="0"/>
                <w:i w:val="0"/>
                <w:sz w:val="20"/>
              </w:rPr>
              <w:t>Integration</w:t>
            </w:r>
          </w:p>
        </w:tc>
        <w:tc>
          <w:tcPr>
            <w:tcW w:type="dxa" w:w="3249"/>
            <w:vAlign w:val="center"/>
          </w:tcPr>
          <w:p>
            <w:pPr>
              <w:spacing w:line="276" w:lineRule="auto" w:before="0" w:after="0"/>
            </w:pPr>
            <w:r/>
            <w:r>
              <w:rPr>
                <w:rFonts w:ascii="Figtree" w:hAnsi="Figtree"/>
                <w:b w:val="0"/>
                <w:i w:val="0"/>
                <w:sz w:val="20"/>
              </w:rPr>
              <w:t>API-first, core banking, treasury management</w:t>
            </w:r>
          </w:p>
        </w:tc>
        <w:tc>
          <w:tcPr>
            <w:tcW w:type="dxa" w:w="3249"/>
            <w:vAlign w:val="center"/>
          </w:tcPr>
          <w:p>
            <w:pPr>
              <w:spacing w:line="276" w:lineRule="auto" w:before="0" w:after="0"/>
            </w:pPr>
            <w:r/>
            <w:r>
              <w:rPr>
                <w:rFonts w:ascii="Figtree" w:hAnsi="Figtree"/>
                <w:b w:val="0"/>
                <w:i w:val="0"/>
                <w:sz w:val="20"/>
              </w:rPr>
              <w:t>REST, GraphQL, webhooks, oRPC, SDK, CLI</w:t>
            </w:r>
          </w:p>
        </w:tc>
      </w:tr>
      <w:tr>
        <w:trPr>
          <w:trHeight w:val="425" w:hRule="atLeast"/>
        </w:trPr>
        <w:tc>
          <w:tcPr>
            <w:tcW w:type="dxa" w:w="3249"/>
            <w:vAlign w:val="center"/>
          </w:tcPr>
          <w:p>
            <w:pPr>
              <w:spacing w:line="276" w:lineRule="auto" w:before="0" w:after="0"/>
            </w:pPr>
            <w:r/>
            <w:r>
              <w:rPr>
                <w:rFonts w:ascii="Figtree" w:hAnsi="Figtree"/>
                <w:b w:val="0"/>
                <w:i w:val="0"/>
                <w:sz w:val="20"/>
              </w:rPr>
              <w:t>Infrastructure</w:t>
            </w:r>
          </w:p>
        </w:tc>
        <w:tc>
          <w:tcPr>
            <w:tcW w:type="dxa" w:w="3249"/>
            <w:vAlign w:val="center"/>
          </w:tcPr>
          <w:p>
            <w:pPr>
              <w:spacing w:line="276" w:lineRule="auto" w:before="0" w:after="0"/>
            </w:pPr>
            <w:r/>
            <w:r>
              <w:rPr>
                <w:rFonts w:ascii="Figtree" w:hAnsi="Figtree"/>
                <w:b w:val="0"/>
                <w:i w:val="0"/>
                <w:sz w:val="20"/>
              </w:rPr>
              <w:t>Segregated environments, resilience, DR</w:t>
            </w:r>
          </w:p>
        </w:tc>
        <w:tc>
          <w:tcPr>
            <w:tcW w:type="dxa" w:w="3249"/>
            <w:vAlign w:val="center"/>
          </w:tcPr>
          <w:p>
            <w:pPr>
              <w:spacing w:line="276" w:lineRule="auto" w:before="0" w:after="0"/>
            </w:pPr>
            <w:r/>
            <w:r>
              <w:rPr>
                <w:rFonts w:ascii="Figtree" w:hAnsi="Figtree"/>
                <w:b w:val="0"/>
                <w:i w:val="0"/>
                <w:sz w:val="20"/>
              </w:rPr>
              <w:t>Full environment segregation, 3-pillar observability</w:t>
            </w:r>
          </w:p>
        </w:tc>
      </w:tr>
    </w:tbl>
    <w:p>
      <w:pPr>
        <w:spacing w:before="0" w:after="0" w:line="120" w:lineRule="exact"/>
      </w:pPr>
    </w:p>
    <w:p>
      <w:pPr>
        <w:pStyle w:val="H2"/>
        <w:numPr>
          <w:ilvl w:val="1"/>
          <w:numId w:val="1"/>
        </w:numPr>
      </w:pPr>
      <w:r>
        <w:t>Key Challenges</w:t>
      </w:r>
    </w:p>
    <w:p>
      <w:r>
        <w:rPr>
          <w:rFonts w:ascii="Figtree" w:hAnsi="Figtree"/>
          <w:b/>
          <w:i w:val="0"/>
          <w:sz w:val="22"/>
        </w:rPr>
        <w:t>Control integrity.</w:t>
      </w:r>
      <w:r>
        <w:rPr>
          <w:rFonts w:ascii="Figtree" w:hAnsi="Figtree"/>
          <w:b w:val="0"/>
          <w:i w:val="0"/>
          <w:sz w:val="22"/>
        </w:rPr>
        <w:t xml:space="preserve"> Every transaction must be traceable: who initiated it, which compliance checks applied, who approved it, and how the state can be reconstructed. DALP provides immutable audit trails, structured event logging, and ex-ante compliance records.</w:t>
      </w:r>
    </w:p>
    <w:p>
      <w:r>
        <w:rPr>
          <w:rFonts w:ascii="Figtree" w:hAnsi="Figtree"/>
          <w:b/>
          <w:i w:val="0"/>
          <w:sz w:val="22"/>
        </w:rPr>
        <w:t>JSE and SARB coexistence.</w:t>
      </w:r>
      <w:r>
        <w:rPr>
          <w:rFonts w:ascii="Figtree" w:hAnsi="Figtree"/>
          <w:b w:val="0"/>
          <w:i w:val="0"/>
          <w:sz w:val="22"/>
        </w:rPr>
        <w:t xml:space="preserve"> The platform must integrate with South Africa's market infrastructure without creating reconciliation overhead. DALP's API-first architecture and ISO 20022 connectivity provide the integration surface.</w:t>
      </w:r>
    </w:p>
    <w:p>
      <w:r>
        <w:rPr>
          <w:rFonts w:ascii="Figtree" w:hAnsi="Figtree"/>
          <w:b/>
          <w:i w:val="0"/>
          <w:sz w:val="22"/>
        </w:rPr>
        <w:t>Phased scalability.</w:t>
      </w:r>
      <w:r>
        <w:rPr>
          <w:rFonts w:ascii="Figtree" w:hAnsi="Figtree"/>
          <w:b w:val="0"/>
          <w:i w:val="0"/>
          <w:sz w:val="22"/>
        </w:rPr>
        <w:t xml:space="preserve"> FirstRand needs to move from initial wholesale bond issuance to broader treasury instrument coverage without platform replacement. DALP's multi-asset architecture supports this progression.</w:t>
      </w:r>
    </w:p>
    <w:p>
      <w:pPr>
        <w:jc w:val="center"/>
      </w:pPr>
      <w:r>
        <w:drawing>
          <wp:inline xmlns:a="http://schemas.openxmlformats.org/drawingml/2006/main" xmlns:pic="http://schemas.openxmlformats.org/drawingml/2006/picture">
            <wp:extent cx="5486400" cy="5827170"/>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5827170"/>
                    </a:xfrm>
                    <a:prstGeom prst="rect"/>
                  </pic:spPr>
                </pic:pic>
              </a:graphicData>
            </a:graphic>
          </wp:inline>
        </w:drawing>
      </w:r>
    </w:p>
    <w:p>
      <w:r>
        <w:br w:type="page"/>
      </w:r>
    </w:p>
    <w:p>
      <w:pPr>
        <w:pStyle w:val="H1"/>
        <w:numPr>
          <w:ilvl w:val="0"/>
          <w:numId w:val="1"/>
        </w:numPr>
      </w:pPr>
      <w:r>
        <w:t>Proposed Solution and Functional Capabilities</w:t>
      </w:r>
    </w:p>
    <w:p>
      <w:pPr>
        <w:pStyle w:val="H2"/>
        <w:numPr>
          <w:ilvl w:val="1"/>
          <w:numId w:val="1"/>
        </w:numPr>
      </w:pPr>
      <w:r>
        <w:t>Solution Overview</w:t>
      </w:r>
    </w:p>
    <w:p>
      <w:r>
        <w:rPr>
          <w:rFonts w:ascii="Figtree" w:hAnsi="Figtree"/>
          <w:b w:val="0"/>
          <w:i w:val="0"/>
          <w:sz w:val="22"/>
        </w:rPr>
        <w:t>DALP deploys as the wholesale bond lifecycle platform within FirstRand's enterprise environment. The solution boundary encompasses asset structuring, primary issuance, compliance enforcement, investor identity management, custody orchestration, DvP settlement, lifecycle servicing, and operational monitoring. FirstRand retains business policy ownership, regulatory engagement, and ultimate control authority.</w:t>
      </w:r>
    </w:p>
    <w:p>
      <w:pPr>
        <w:jc w:val="center"/>
      </w:pPr>
      <w:r>
        <w:drawing>
          <wp:inline xmlns:a="http://schemas.openxmlformats.org/drawingml/2006/main" xmlns:pic="http://schemas.openxmlformats.org/drawingml/2006/picture">
            <wp:extent cx="5486400" cy="3093098"/>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3093098"/>
                    </a:xfrm>
                    <a:prstGeom prst="rect"/>
                  </pic:spPr>
                </pic:pic>
              </a:graphicData>
            </a:graphic>
          </wp:inline>
        </w:drawing>
      </w:r>
    </w:p>
    <w:p>
      <w:pPr>
        <w:pStyle w:val="H2"/>
        <w:numPr>
          <w:ilvl w:val="1"/>
          <w:numId w:val="1"/>
        </w:numPr>
      </w:pPr>
      <w:r>
        <w:t>Issuance and Asset Configuration</w:t>
      </w:r>
    </w:p>
    <w:p>
      <w:r>
        <w:rPr>
          <w:rFonts w:ascii="Figtree" w:hAnsi="Figtree"/>
          <w:b w:val="0"/>
          <w:i w:val="0"/>
          <w:sz w:val="22"/>
        </w:rPr>
        <w:t>DALP's bond templates support wholesale instrument types including government bonds, corporate bonds, commercial paper, and structured treasury products. The Asset Designer wizard enables product teams to configure face value, coupon type, frequency, maturity date, call/put options, and distribution rules through a validated interface. Deterministic orchestration with paused-by-default governance ensures no instrument becomes active without authorized approval.</w:t>
      </w:r>
    </w:p>
    <w:p>
      <w:pPr>
        <w:pStyle w:val="H2"/>
        <w:numPr>
          <w:ilvl w:val="1"/>
          <w:numId w:val="1"/>
        </w:numPr>
      </w:pPr>
      <w:r>
        <w:t>Identity and Eligibility</w:t>
      </w:r>
    </w:p>
    <w:p>
      <w:r>
        <w:rPr>
          <w:rFonts w:ascii="Figtree" w:hAnsi="Figtree"/>
          <w:b w:val="0"/>
          <w:i w:val="0"/>
          <w:sz w:val="22"/>
        </w:rPr>
        <w:t>OnchainID provides verifiable on-chain investor identities reusable across all instruments. The Identity Registry manages verified profiles with claim-based verification for KYC/KYB credentials, accreditation status, and jurisdictional eligibility. For wholesale distribution, the identity layer supports institutional investor qualification, qualified purchaser verification, and cross-border eligibility assessment.</w:t>
      </w:r>
    </w:p>
    <w:p>
      <w:pPr>
        <w:pStyle w:val="H2"/>
        <w:numPr>
          <w:ilvl w:val="1"/>
          <w:numId w:val="1"/>
        </w:numPr>
      </w:pPr>
      <w:r>
        <w:t>Compliance Enforcement</w:t>
      </w:r>
    </w:p>
    <w:p>
      <w:r>
        <w:rPr>
          <w:rFonts w:ascii="Figtree" w:hAnsi="Figtree"/>
          <w:b w:val="0"/>
          <w:i w:val="0"/>
          <w:sz w:val="22"/>
        </w:rPr>
        <w:t>The 18 compliance module types cover the transfer controls wholesale bond operations require. Country restriction modules enforce geographic eligibility. Investor accreditation modules verify institutional qualification thresholds. Supply limit and holding period modules provide additional governance. Every compliance check executes ex-ante with full audit trail recording.</w:t>
      </w:r>
    </w:p>
    <w:p>
      <w:pPr>
        <w:jc w:val="center"/>
      </w:pPr>
      <w:r>
        <w:drawing>
          <wp:inline xmlns:a="http://schemas.openxmlformats.org/drawingml/2006/main" xmlns:pic="http://schemas.openxmlformats.org/drawingml/2006/picture">
            <wp:extent cx="5486400" cy="3163078"/>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3163078"/>
                    </a:xfrm>
                    <a:prstGeom prst="rect"/>
                  </pic:spPr>
                </pic:pic>
              </a:graphicData>
            </a:graphic>
          </wp:inline>
        </w:drawing>
      </w:r>
    </w:p>
    <w:p>
      <w:pPr>
        <w:pStyle w:val="H2"/>
        <w:numPr>
          <w:ilvl w:val="1"/>
          <w:numId w:val="1"/>
        </w:numPr>
      </w:pPr>
      <w:r>
        <w:t>Settlement and Cash-Leg Coordination</w:t>
      </w:r>
    </w:p>
    <w:p>
      <w:r>
        <w:rPr>
          <w:rFonts w:ascii="Figtree" w:hAnsi="Figtree"/>
          <w:b w:val="0"/>
          <w:i w:val="0"/>
          <w:sz w:val="22"/>
        </w:rPr>
        <w:t>Atomic DvP settlement with ISO 20022 integration for connectivity to SARB's RTGS and the JSE's settlement infrastructure. Deterministic closure into auditable end-states eliminates reconciliation ambiguity. The XvP extension supports multi-party treasury operations where multiple legs must settle simultaneously.</w:t>
      </w:r>
    </w:p>
    <w:p>
      <w:pPr>
        <w:pStyle w:val="H2"/>
        <w:numPr>
          <w:ilvl w:val="1"/>
          <w:numId w:val="1"/>
        </w:numPr>
      </w:pPr>
      <w:r>
        <w:t>Lifecycle Servicing</w:t>
      </w:r>
    </w:p>
    <w:p>
      <w:r>
        <w:rPr>
          <w:rFonts w:ascii="Figtree" w:hAnsi="Figtree"/>
          <w:b w:val="0"/>
          <w:i w:val="0"/>
          <w:sz w:val="22"/>
        </w:rPr>
        <w:t>Automated coupon distribution, maturity redemption, and corporate actions. Each lifecycle event produces a complete audit record. The servicing capability distinguishes DALP from competitors that stop at issuance, providing the operational infrastructure FirstRand needs to manage wholesale instruments through their full lifecycle.</w:t>
      </w:r>
    </w:p>
    <w:p>
      <w:pPr>
        <w:pStyle w:val="H2"/>
        <w:numPr>
          <w:ilvl w:val="1"/>
          <w:numId w:val="1"/>
        </w:numPr>
      </w:pPr>
      <w:r>
        <w:t>Functional Fit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84"/>
        <w:gridCol w:w="5459"/>
        <w:gridCol w:w="72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Capability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3249"/>
            <w:vAlign w:val="center"/>
          </w:tcPr>
          <w:p>
            <w:pPr>
              <w:spacing w:line="276" w:lineRule="auto" w:before="0" w:after="0"/>
            </w:pPr>
            <w:r/>
            <w:r>
              <w:rPr>
                <w:rFonts w:ascii="Figtree" w:hAnsi="Figtree"/>
                <w:b w:val="0"/>
                <w:i w:val="0"/>
                <w:sz w:val="20"/>
              </w:rPr>
              <w:t>Segregated environments</w:t>
            </w:r>
          </w:p>
        </w:tc>
        <w:tc>
          <w:tcPr>
            <w:tcW w:type="dxa" w:w="3249"/>
            <w:vAlign w:val="center"/>
          </w:tcPr>
          <w:p>
            <w:pPr>
              <w:spacing w:line="276" w:lineRule="auto" w:before="0" w:after="0"/>
            </w:pPr>
            <w:r/>
            <w:r>
              <w:rPr>
                <w:rFonts w:ascii="Figtree" w:hAnsi="Figtree"/>
                <w:b w:val="0"/>
                <w:i w:val="0"/>
                <w:sz w:val="20"/>
              </w:rPr>
              <w:t>Dev, staging, UAT, DR, production</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API-first interfaces</w:t>
            </w:r>
          </w:p>
        </w:tc>
        <w:tc>
          <w:tcPr>
            <w:tcW w:type="dxa" w:w="3249"/>
            <w:vAlign w:val="center"/>
          </w:tcPr>
          <w:p>
            <w:pPr>
              <w:spacing w:line="276" w:lineRule="auto" w:before="0" w:after="0"/>
            </w:pPr>
            <w:r/>
            <w:r>
              <w:rPr>
                <w:rFonts w:ascii="Figtree" w:hAnsi="Figtree"/>
                <w:b w:val="0"/>
                <w:i w:val="0"/>
                <w:sz w:val="20"/>
              </w:rPr>
              <w:t>REST, GraphQL, webhooks, oRPC, SDK, CLI</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RBAC, maker-checker, audit</w:t>
            </w:r>
          </w:p>
        </w:tc>
        <w:tc>
          <w:tcPr>
            <w:tcW w:type="dxa" w:w="3249"/>
            <w:vAlign w:val="center"/>
          </w:tcPr>
          <w:p>
            <w:pPr>
              <w:spacing w:line="276" w:lineRule="auto" w:before="0" w:after="0"/>
            </w:pPr>
            <w:r/>
            <w:r>
              <w:rPr>
                <w:rFonts w:ascii="Figtree" w:hAnsi="Figtree"/>
                <w:b w:val="0"/>
                <w:i w:val="0"/>
                <w:sz w:val="20"/>
              </w:rPr>
              <w:t>5 roles, configurable quorum, immutable trail</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Bond lifecycle management</w:t>
            </w:r>
          </w:p>
        </w:tc>
        <w:tc>
          <w:tcPr>
            <w:tcW w:type="dxa" w:w="3249"/>
            <w:vAlign w:val="center"/>
          </w:tcPr>
          <w:p>
            <w:pPr>
              <w:spacing w:line="276" w:lineRule="auto" w:before="0" w:after="0"/>
            </w:pPr>
            <w:r/>
            <w:r>
              <w:rPr>
                <w:rFonts w:ascii="Figtree" w:hAnsi="Figtree"/>
                <w:b w:val="0"/>
                <w:i w:val="0"/>
                <w:sz w:val="20"/>
              </w:rPr>
              <w:t>Templates, configurable policies, governance gates</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Third-party disclosure</w:t>
            </w:r>
          </w:p>
        </w:tc>
        <w:tc>
          <w:tcPr>
            <w:tcW w:type="dxa" w:w="3249"/>
            <w:vAlign w:val="center"/>
          </w:tcPr>
          <w:p>
            <w:pPr>
              <w:spacing w:line="276" w:lineRule="auto" w:before="0" w:after="0"/>
            </w:pPr>
            <w:r/>
            <w:r>
              <w:rPr>
                <w:rFonts w:ascii="Figtree" w:hAnsi="Figtree"/>
                <w:b w:val="0"/>
                <w:i w:val="0"/>
                <w:sz w:val="20"/>
              </w:rPr>
              <w:t>Architecture documentation, partner mapping</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Resilience and DR</w:t>
            </w:r>
          </w:p>
        </w:tc>
        <w:tc>
          <w:tcPr>
            <w:tcW w:type="dxa" w:w="3249"/>
            <w:vAlign w:val="center"/>
          </w:tcPr>
          <w:p>
            <w:pPr>
              <w:spacing w:line="276" w:lineRule="auto" w:before="0" w:after="0"/>
            </w:pPr>
            <w:r/>
            <w:r>
              <w:rPr>
                <w:rFonts w:ascii="Figtree" w:hAnsi="Figtree"/>
                <w:b w:val="0"/>
                <w:i w:val="0"/>
                <w:sz w:val="20"/>
              </w:rPr>
              <w:t>HA, backup, 3-pillar observability</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plan</w:t>
            </w:r>
          </w:p>
        </w:tc>
        <w:tc>
          <w:tcPr>
            <w:tcW w:type="dxa" w:w="3249"/>
            <w:vAlign w:val="center"/>
          </w:tcPr>
          <w:p>
            <w:pPr>
              <w:spacing w:line="276" w:lineRule="auto" w:before="0" w:after="0"/>
            </w:pPr>
            <w:r/>
            <w:r>
              <w:rPr>
                <w:rFonts w:ascii="Figtree" w:hAnsi="Figtree"/>
                <w:b w:val="0"/>
                <w:i w:val="0"/>
                <w:sz w:val="20"/>
              </w:rPr>
              <w:t>19-week phase-gated delivery</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Audit evidence</w:t>
            </w:r>
          </w:p>
        </w:tc>
        <w:tc>
          <w:tcPr>
            <w:tcW w:type="dxa" w:w="3249"/>
            <w:vAlign w:val="center"/>
          </w:tcPr>
          <w:p>
            <w:pPr>
              <w:spacing w:line="276" w:lineRule="auto" w:before="0" w:after="0"/>
            </w:pPr>
            <w:r/>
            <w:r>
              <w:rPr>
                <w:rFonts w:ascii="Figtree" w:hAnsi="Figtree"/>
                <w:b w:val="0"/>
                <w:i w:val="0"/>
                <w:sz w:val="20"/>
              </w:rPr>
              <w:t>Structured logs, compliance records, dashboards</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Coupon and maturity</w:t>
            </w:r>
          </w:p>
        </w:tc>
        <w:tc>
          <w:tcPr>
            <w:tcW w:type="dxa" w:w="3249"/>
            <w:vAlign w:val="center"/>
          </w:tcPr>
          <w:p>
            <w:pPr>
              <w:spacing w:line="276" w:lineRule="auto" w:before="0" w:after="0"/>
            </w:pPr>
            <w:r/>
            <w:r>
              <w:rPr>
                <w:rFonts w:ascii="Figtree" w:hAnsi="Figtree"/>
                <w:b w:val="0"/>
                <w:i w:val="0"/>
                <w:sz w:val="20"/>
              </w:rPr>
              <w:t>Automated schedules, redemption workflows</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Settlement integration</w:t>
            </w:r>
          </w:p>
        </w:tc>
        <w:tc>
          <w:tcPr>
            <w:tcW w:type="dxa" w:w="3249"/>
            <w:vAlign w:val="center"/>
          </w:tcPr>
          <w:p>
            <w:pPr>
              <w:spacing w:line="276" w:lineRule="auto" w:before="0" w:after="0"/>
            </w:pPr>
            <w:r/>
            <w:r>
              <w:rPr>
                <w:rFonts w:ascii="Figtree" w:hAnsi="Figtree"/>
                <w:b w:val="0"/>
                <w:i w:val="0"/>
                <w:sz w:val="20"/>
              </w:rPr>
              <w:t>Atomic DvP, ISO 20022, SWIFT/RTGS</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Transfer restrictions</w:t>
            </w:r>
          </w:p>
        </w:tc>
        <w:tc>
          <w:tcPr>
            <w:tcW w:type="dxa" w:w="3249"/>
            <w:vAlign w:val="center"/>
          </w:tcPr>
          <w:p>
            <w:pPr>
              <w:spacing w:line="276" w:lineRule="auto" w:before="0" w:after="0"/>
            </w:pPr>
            <w:r/>
            <w:r>
              <w:rPr>
                <w:rFonts w:ascii="Figtree" w:hAnsi="Figtree"/>
                <w:b w:val="0"/>
                <w:i w:val="0"/>
                <w:sz w:val="20"/>
              </w:rPr>
              <w:t>18 compliance modules, ex-ante enforcement</w:t>
            </w:r>
          </w:p>
        </w:tc>
        <w:tc>
          <w:tcPr>
            <w:tcW w:type="dxa" w:w="3249"/>
            <w:vAlign w:val="center"/>
          </w:tcPr>
          <w:p>
            <w:pPr>
              <w:spacing w:line="276" w:lineRule="auto" w:before="0" w:after="0"/>
            </w:pPr>
            <w:r/>
            <w:r>
              <w:rPr>
                <w:rFonts w:ascii="Figtree" w:hAnsi="Figtree"/>
                <w:b w:val="0"/>
                <w:i w:val="0"/>
                <w:sz w:val="20"/>
              </w:rPr>
              <w:t>Full</w:t>
            </w:r>
          </w:p>
        </w:tc>
      </w:tr>
    </w:tbl>
    <w:p>
      <w:pPr>
        <w:spacing w:before="0" w:after="0" w:line="120" w:lineRule="exact"/>
      </w:pPr>
    </w:p>
    <w:p>
      <w:r>
        <w:br w:type="page"/>
      </w:r>
    </w:p>
    <w:p>
      <w:pPr>
        <w:pStyle w:val="H1"/>
        <w:numPr>
          <w:ilvl w:val="0"/>
          <w:numId w:val="1"/>
        </w:numPr>
      </w:pPr>
      <w:r>
        <w:t>Technical Architecture</w:t>
      </w:r>
    </w:p>
    <w:p>
      <w:pPr>
        <w:pStyle w:val="H2"/>
        <w:numPr>
          <w:ilvl w:val="1"/>
          <w:numId w:val="1"/>
        </w:numPr>
      </w:pPr>
      <w:r>
        <w:t>Architectural Principles</w:t>
      </w:r>
    </w:p>
    <w:p>
      <w:r>
        <w:rPr>
          <w:rFonts w:ascii="Figtree" w:hAnsi="Figtree"/>
          <w:b w:val="0"/>
          <w:i w:val="0"/>
          <w:sz w:val="22"/>
        </w:rPr>
        <w:t>Lifecycle-first design, durable execution through Restate, defense-in-depth security, separation of concerns across on-chain, execution, API, and presentation layers, and provider abstraction preventing vendor lock-in at any layer.</w:t>
      </w:r>
    </w:p>
    <w:p>
      <w:pPr>
        <w:pStyle w:val="H2"/>
        <w:numPr>
          <w:ilvl w:val="1"/>
          <w:numId w:val="1"/>
        </w:numPr>
      </w:pPr>
      <w:r>
        <w:t>Layered Architecture</w:t>
      </w:r>
    </w:p>
    <w:p>
      <w:pPr>
        <w:jc w:val="center"/>
      </w:pPr>
      <w:r>
        <w:drawing>
          <wp:inline xmlns:a="http://schemas.openxmlformats.org/drawingml/2006/main" xmlns:pic="http://schemas.openxmlformats.org/drawingml/2006/picture">
            <wp:extent cx="5486400" cy="7113864"/>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7113864"/>
                    </a:xfrm>
                    <a:prstGeom prst="rect"/>
                  </pic:spPr>
                </pic:pic>
              </a:graphicData>
            </a:graphic>
          </wp:inline>
        </w:drawing>
      </w:r>
    </w:p>
    <w:p>
      <w:pPr>
        <w:pStyle w:val="H2"/>
        <w:numPr>
          <w:ilvl w:val="1"/>
          <w:numId w:val="1"/>
        </w:numPr>
      </w:pPr>
      <w:r>
        <w:t>Data Architecture</w:t>
      </w:r>
    </w:p>
    <w:p>
      <w:r>
        <w:rPr>
          <w:rFonts w:ascii="Figtree" w:hAnsi="Figtree"/>
          <w:b w:val="0"/>
          <w:i w:val="0"/>
          <w:sz w:val="22"/>
        </w:rPr>
        <w:t>Three data stores: chain state (authoritative ownership and compliance records), application state (PostgreSQL with zero-downtime schema lifecycle), and indexed analytical state (read-optimized views for dashboards and reporting).</w:t>
      </w:r>
    </w:p>
    <w:p>
      <w:pPr>
        <w:pStyle w:val="H2"/>
        <w:numPr>
          <w:ilvl w:val="1"/>
          <w:numId w:val="1"/>
        </w:numPr>
      </w:pPr>
      <w:r>
        <w:t>Network Topology</w:t>
      </w:r>
    </w:p>
    <w:p>
      <w:r>
        <w:rPr>
          <w:rFonts w:ascii="Figtree" w:hAnsi="Figtree"/>
          <w:b w:val="0"/>
          <w:i w:val="0"/>
          <w:sz w:val="22"/>
        </w:rPr>
        <w:t>Recommended permissioned private EVM network with IBFT consensus for deterministic finality. Network topology defined during Discovery based on FirstRand's performance and regulatory requirements.</w:t>
      </w:r>
    </w:p>
    <w:p>
      <w:pPr>
        <w:pStyle w:val="H2"/>
        <w:numPr>
          <w:ilvl w:val="1"/>
          <w:numId w:val="1"/>
        </w:numPr>
      </w:pPr>
      <w:r>
        <w:t>Transaction Pipeline</w:t>
      </w:r>
    </w:p>
    <w:p>
      <w:pPr>
        <w:jc w:val="center"/>
      </w:pPr>
      <w:r>
        <w:drawing>
          <wp:inline xmlns:a="http://schemas.openxmlformats.org/drawingml/2006/main" xmlns:pic="http://schemas.openxmlformats.org/drawingml/2006/picture">
            <wp:extent cx="2781300" cy="6067425"/>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2781300" cy="6067425"/>
                    </a:xfrm>
                    <a:prstGeom prst="rect"/>
                  </pic:spPr>
                </pic:pic>
              </a:graphicData>
            </a:graphic>
          </wp:inline>
        </w:drawing>
      </w:r>
    </w:p>
    <w:p>
      <w:r>
        <w:br w:type="page"/>
      </w:r>
    </w:p>
    <w:p>
      <w:pPr>
        <w:pStyle w:val="H1"/>
        <w:numPr>
          <w:ilvl w:val="0"/>
          <w:numId w:val="1"/>
        </w:numPr>
      </w:pPr>
      <w:r>
        <w:t>Security</w:t>
      </w:r>
    </w:p>
    <w:p>
      <w:pPr>
        <w:pStyle w:val="H2"/>
        <w:numPr>
          <w:ilvl w:val="1"/>
          <w:numId w:val="1"/>
        </w:numPr>
      </w:pPr>
      <w:r>
        <w:t>Security Model</w:t>
      </w:r>
    </w:p>
    <w:p>
      <w:r>
        <w:rPr>
          <w:rFonts w:ascii="Figtree" w:hAnsi="Figtree"/>
          <w:b w:val="0"/>
          <w:i w:val="0"/>
          <w:sz w:val="22"/>
        </w:rPr>
        <w:t>Three-domain trust model: platform domain (SettleMint-managed), custody domain (FirstRand's provider), and governance domain (FirstRand's authority). Defense-in-depth across network, API, session, role, contract, and custody layers.</w:t>
      </w:r>
    </w:p>
    <w:p>
      <w:pPr>
        <w:pStyle w:val="H2"/>
        <w:numPr>
          <w:ilvl w:val="1"/>
          <w:numId w:val="1"/>
        </w:numPr>
      </w:pPr>
      <w:r>
        <w:t>Authentication and Access Control</w:t>
      </w:r>
    </w:p>
    <w:p>
      <w:r>
        <w:rPr>
          <w:rFonts w:ascii="Figtree" w:hAnsi="Figtree"/>
          <w:b w:val="0"/>
          <w:i w:val="0"/>
          <w:sz w:val="22"/>
        </w:rPr>
        <w:t>Two-endpoint authentication separating session-based dApp access from API-key programmatic access. Five-role RBAC with segregation of duties. Hard enforcement of auth-method-to-endpoint affinity.</w:t>
      </w:r>
    </w:p>
    <w:p>
      <w:pPr>
        <w:pStyle w:val="H2"/>
        <w:numPr>
          <w:ilvl w:val="1"/>
          <w:numId w:val="1"/>
        </w:numPr>
      </w:pPr>
      <w:r>
        <w:t>Key Management</w:t>
      </w:r>
    </w:p>
    <w:p>
      <w:r>
        <w:rPr>
          <w:rFonts w:ascii="Figtree" w:hAnsi="Figtree"/>
          <w:b w:val="0"/>
          <w:i w:val="0"/>
          <w:sz w:val="22"/>
        </w:rPr>
        <w:t>Key Guardian with Tier 4 (institutional custody via Fireblocks or DFNS) recommended for production. Maker-checker workflows with configurable quorum. Emergency pause capability with formal recovery procedures.</w:t>
      </w:r>
    </w:p>
    <w:p>
      <w:pPr>
        <w:pStyle w:val="H2"/>
        <w:numPr>
          <w:ilvl w:val="1"/>
          <w:numId w:val="1"/>
        </w:numPr>
      </w:pPr>
      <w:r>
        <w:t>Security Responsibility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053"/>
        <w:gridCol w:w="2895"/>
        <w:gridCol w:w="212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Control Area</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FirstRand</w:t>
            </w:r>
          </w:p>
        </w:tc>
      </w:tr>
      <w:tr>
        <w:trPr>
          <w:trHeight w:val="425" w:hRule="atLeast"/>
        </w:trPr>
        <w:tc>
          <w:tcPr>
            <w:tcW w:type="dxa" w:w="3249"/>
            <w:vAlign w:val="center"/>
          </w:tcPr>
          <w:p>
            <w:pPr>
              <w:spacing w:line="276" w:lineRule="auto" w:before="0" w:after="0"/>
            </w:pPr>
            <w:r/>
            <w:r>
              <w:rPr>
                <w:rFonts w:ascii="Figtree" w:hAnsi="Figtree"/>
                <w:b w:val="0"/>
                <w:i w:val="0"/>
                <w:sz w:val="20"/>
              </w:rPr>
              <w:t>Platform security</w:t>
            </w:r>
          </w:p>
        </w:tc>
        <w:tc>
          <w:tcPr>
            <w:tcW w:type="dxa" w:w="3249"/>
            <w:vAlign w:val="center"/>
          </w:tcPr>
          <w:p>
            <w:pPr>
              <w:spacing w:line="276" w:lineRule="auto" w:before="0" w:after="0"/>
            </w:pPr>
            <w:r/>
            <w:r>
              <w:rPr>
                <w:rFonts w:ascii="Figtree" w:hAnsi="Figtree"/>
                <w:b w:val="0"/>
                <w:i w:val="0"/>
                <w:sz w:val="20"/>
              </w:rPr>
              <w:t>Owner</w:t>
            </w:r>
          </w:p>
        </w:tc>
        <w:tc>
          <w:tcPr>
            <w:tcW w:type="dxa" w:w="3249"/>
            <w:vAlign w:val="center"/>
          </w:tcPr>
          <w:p>
            <w:pPr>
              <w:spacing w:line="276" w:lineRule="auto" w:before="0" w:after="0"/>
            </w:pPr>
            <w:r/>
            <w:r>
              <w:rPr>
                <w:rFonts w:ascii="Figtree" w:hAnsi="Figtree"/>
                <w:b w:val="0"/>
                <w:i w:val="0"/>
                <w:sz w:val="20"/>
              </w:rPr>
              <w:t>Reviewer</w:t>
            </w:r>
          </w:p>
        </w:tc>
      </w:tr>
      <w:tr>
        <w:trPr>
          <w:trHeight w:val="425" w:hRule="atLeast"/>
        </w:trPr>
        <w:tc>
          <w:tcPr>
            <w:tcW w:type="dxa" w:w="3249"/>
            <w:vAlign w:val="center"/>
          </w:tcPr>
          <w:p>
            <w:pPr>
              <w:spacing w:line="276" w:lineRule="auto" w:before="0" w:after="0"/>
            </w:pPr>
            <w:r/>
            <w:r>
              <w:rPr>
                <w:rFonts w:ascii="Figtree" w:hAnsi="Figtree"/>
                <w:b w:val="0"/>
                <w:i w:val="0"/>
                <w:sz w:val="20"/>
              </w:rPr>
              <w:t>Infrastructure</w:t>
            </w:r>
          </w:p>
        </w:tc>
        <w:tc>
          <w:tcPr>
            <w:tcW w:type="dxa" w:w="3249"/>
            <w:vAlign w:val="center"/>
          </w:tcPr>
          <w:p>
            <w:pPr>
              <w:spacing w:line="276" w:lineRule="auto" w:before="0" w:after="0"/>
            </w:pPr>
            <w:r/>
            <w:r>
              <w:rPr>
                <w:rFonts w:ascii="Figtree" w:hAnsi="Figtree"/>
                <w:b w:val="0"/>
                <w:i w:val="0"/>
                <w:sz w:val="20"/>
              </w:rPr>
              <w:t>Owner (managed)</w:t>
            </w:r>
          </w:p>
        </w:tc>
        <w:tc>
          <w:tcPr>
            <w:tcW w:type="dxa" w:w="3249"/>
            <w:vAlign w:val="center"/>
          </w:tcPr>
          <w:p>
            <w:pPr>
              <w:spacing w:line="276" w:lineRule="auto" w:before="0" w:after="0"/>
            </w:pPr>
            <w:r/>
            <w:r>
              <w:rPr>
                <w:rFonts w:ascii="Figtree" w:hAnsi="Figtree"/>
                <w:b w:val="0"/>
                <w:i w:val="0"/>
                <w:sz w:val="20"/>
              </w:rPr>
              <w:t>Reviewer</w:t>
            </w:r>
          </w:p>
        </w:tc>
      </w:tr>
      <w:tr>
        <w:trPr>
          <w:trHeight w:val="425" w:hRule="atLeast"/>
        </w:trPr>
        <w:tc>
          <w:tcPr>
            <w:tcW w:type="dxa" w:w="3249"/>
            <w:vAlign w:val="center"/>
          </w:tcPr>
          <w:p>
            <w:pPr>
              <w:spacing w:line="276" w:lineRule="auto" w:before="0" w:after="0"/>
            </w:pPr>
            <w:r/>
            <w:r>
              <w:rPr>
                <w:rFonts w:ascii="Figtree" w:hAnsi="Figtree"/>
                <w:b w:val="0"/>
                <w:i w:val="0"/>
                <w:sz w:val="20"/>
              </w:rPr>
              <w:t>Key management</w:t>
            </w:r>
          </w:p>
        </w:tc>
        <w:tc>
          <w:tcPr>
            <w:tcW w:type="dxa" w:w="3249"/>
            <w:vAlign w:val="center"/>
          </w:tcPr>
          <w:p>
            <w:pPr>
              <w:spacing w:line="276" w:lineRule="auto" w:before="0" w:after="0"/>
            </w:pPr>
            <w:r/>
            <w:r>
              <w:rPr>
                <w:rFonts w:ascii="Figtree" w:hAnsi="Figtree"/>
                <w:b w:val="0"/>
                <w:i w:val="0"/>
                <w:sz w:val="20"/>
              </w:rPr>
              <w:t>Shared</w:t>
            </w:r>
          </w:p>
        </w:tc>
        <w:tc>
          <w:tcPr>
            <w:tcW w:type="dxa" w:w="3249"/>
            <w:vAlign w:val="center"/>
          </w:tcPr>
          <w:p>
            <w:pPr>
              <w:spacing w:line="276" w:lineRule="auto" w:before="0" w:after="0"/>
            </w:pPr>
            <w:r/>
            <w:r>
              <w:rPr>
                <w:rFonts w:ascii="Figtree" w:hAnsi="Figtree"/>
                <w:b w:val="0"/>
                <w:i w:val="0"/>
                <w:sz w:val="20"/>
              </w:rPr>
              <w:t>Owner</w:t>
            </w:r>
          </w:p>
        </w:tc>
      </w:tr>
      <w:tr>
        <w:trPr>
          <w:trHeight w:val="425" w:hRule="atLeast"/>
        </w:trPr>
        <w:tc>
          <w:tcPr>
            <w:tcW w:type="dxa" w:w="3249"/>
            <w:vAlign w:val="center"/>
          </w:tcPr>
          <w:p>
            <w:pPr>
              <w:spacing w:line="276" w:lineRule="auto" w:before="0" w:after="0"/>
            </w:pPr>
            <w:r/>
            <w:r>
              <w:rPr>
                <w:rFonts w:ascii="Figtree" w:hAnsi="Figtree"/>
                <w:b w:val="0"/>
                <w:i w:val="0"/>
                <w:sz w:val="20"/>
              </w:rPr>
              <w:t>Access control config</w:t>
            </w:r>
          </w:p>
        </w:tc>
        <w:tc>
          <w:tcPr>
            <w:tcW w:type="dxa" w:w="3249"/>
            <w:vAlign w:val="center"/>
          </w:tcPr>
          <w:p>
            <w:pPr>
              <w:spacing w:line="276" w:lineRule="auto" w:before="0" w:after="0"/>
            </w:pPr>
            <w:r/>
            <w:r>
              <w:rPr>
                <w:rFonts w:ascii="Figtree" w:hAnsi="Figtree"/>
                <w:b w:val="0"/>
                <w:i w:val="0"/>
                <w:sz w:val="20"/>
              </w:rPr>
              <w:t>Advisor</w:t>
            </w:r>
          </w:p>
        </w:tc>
        <w:tc>
          <w:tcPr>
            <w:tcW w:type="dxa" w:w="3249"/>
            <w:vAlign w:val="center"/>
          </w:tcPr>
          <w:p>
            <w:pPr>
              <w:spacing w:line="276" w:lineRule="auto" w:before="0" w:after="0"/>
            </w:pPr>
            <w:r/>
            <w:r>
              <w:rPr>
                <w:rFonts w:ascii="Figtree" w:hAnsi="Figtree"/>
                <w:b w:val="0"/>
                <w:i w:val="0"/>
                <w:sz w:val="20"/>
              </w:rPr>
              <w:t>Owner</w:t>
            </w:r>
          </w:p>
        </w:tc>
      </w:tr>
      <w:tr>
        <w:trPr>
          <w:trHeight w:val="425" w:hRule="atLeast"/>
        </w:trPr>
        <w:tc>
          <w:tcPr>
            <w:tcW w:type="dxa" w:w="3249"/>
            <w:vAlign w:val="center"/>
          </w:tcPr>
          <w:p>
            <w:pPr>
              <w:spacing w:line="276" w:lineRule="auto" w:before="0" w:after="0"/>
            </w:pPr>
            <w:r/>
            <w:r>
              <w:rPr>
                <w:rFonts w:ascii="Figtree" w:hAnsi="Figtree"/>
                <w:b w:val="0"/>
                <w:i w:val="0"/>
                <w:sz w:val="20"/>
              </w:rPr>
              <w:t>Compliance rules</w:t>
            </w:r>
          </w:p>
        </w:tc>
        <w:tc>
          <w:tcPr>
            <w:tcW w:type="dxa" w:w="3249"/>
            <w:vAlign w:val="center"/>
          </w:tcPr>
          <w:p>
            <w:pPr>
              <w:spacing w:line="276" w:lineRule="auto" w:before="0" w:after="0"/>
            </w:pPr>
            <w:r/>
            <w:r>
              <w:rPr>
                <w:rFonts w:ascii="Figtree" w:hAnsi="Figtree"/>
                <w:b w:val="0"/>
                <w:i w:val="0"/>
                <w:sz w:val="20"/>
              </w:rPr>
              <w:t>Advisor</w:t>
            </w:r>
          </w:p>
        </w:tc>
        <w:tc>
          <w:tcPr>
            <w:tcW w:type="dxa" w:w="3249"/>
            <w:vAlign w:val="center"/>
          </w:tcPr>
          <w:p>
            <w:pPr>
              <w:spacing w:line="276" w:lineRule="auto" w:before="0" w:after="0"/>
            </w:pPr>
            <w:r/>
            <w:r>
              <w:rPr>
                <w:rFonts w:ascii="Figtree" w:hAnsi="Figtree"/>
                <w:b w:val="0"/>
                <w:i w:val="0"/>
                <w:sz w:val="20"/>
              </w:rPr>
              <w:t>Owner</w:t>
            </w:r>
          </w:p>
        </w:tc>
      </w:tr>
      <w:tr>
        <w:trPr>
          <w:trHeight w:val="425" w:hRule="atLeast"/>
        </w:trPr>
        <w:tc>
          <w:tcPr>
            <w:tcW w:type="dxa" w:w="3249"/>
            <w:vAlign w:val="center"/>
          </w:tcPr>
          <w:p>
            <w:pPr>
              <w:spacing w:line="276" w:lineRule="auto" w:before="0" w:after="0"/>
            </w:pPr>
            <w:r/>
            <w:r>
              <w:rPr>
                <w:rFonts w:ascii="Figtree" w:hAnsi="Figtree"/>
                <w:b w:val="0"/>
                <w:i w:val="0"/>
                <w:sz w:val="20"/>
              </w:rPr>
              <w:t>Penetration testing</w:t>
            </w:r>
          </w:p>
        </w:tc>
        <w:tc>
          <w:tcPr>
            <w:tcW w:type="dxa" w:w="3249"/>
            <w:vAlign w:val="center"/>
          </w:tcPr>
          <w:p>
            <w:pPr>
              <w:spacing w:line="276" w:lineRule="auto" w:before="0" w:after="0"/>
            </w:pPr>
            <w:r/>
            <w:r>
              <w:rPr>
                <w:rFonts w:ascii="Figtree" w:hAnsi="Figtree"/>
                <w:b w:val="0"/>
                <w:i w:val="0"/>
                <w:sz w:val="20"/>
              </w:rPr>
              <w:t>Facilitator</w:t>
            </w:r>
          </w:p>
        </w:tc>
        <w:tc>
          <w:tcPr>
            <w:tcW w:type="dxa" w:w="3249"/>
            <w:vAlign w:val="center"/>
          </w:tcPr>
          <w:p>
            <w:pPr>
              <w:spacing w:line="276" w:lineRule="auto" w:before="0" w:after="0"/>
            </w:pPr>
            <w:r/>
            <w:r>
              <w:rPr>
                <w:rFonts w:ascii="Figtree" w:hAnsi="Figtree"/>
                <w:b w:val="0"/>
                <w:i w:val="0"/>
                <w:sz w:val="20"/>
              </w:rPr>
              <w:t>Coordinator</w:t>
            </w:r>
          </w:p>
        </w:tc>
      </w:tr>
    </w:tbl>
    <w:p>
      <w:pPr>
        <w:spacing w:before="0" w:after="0" w:line="120" w:lineRule="exact"/>
      </w:pPr>
    </w:p>
    <w:p>
      <w:r>
        <w:br w:type="page"/>
      </w:r>
    </w:p>
    <w:p>
      <w:pPr>
        <w:pStyle w:val="H1"/>
        <w:numPr>
          <w:ilvl w:val="0"/>
          <w:numId w:val="1"/>
        </w:numPr>
      </w:pPr>
      <w:r>
        <w:t>Project Implementation and Delivery</w:t>
      </w:r>
    </w:p>
    <w:p>
      <w:pPr>
        <w:pStyle w:val="H2"/>
        <w:numPr>
          <w:ilvl w:val="1"/>
          <w:numId w:val="1"/>
        </w:numPr>
      </w:pPr>
      <w:r>
        <w:t>Phase Plan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67"/>
        <w:gridCol w:w="790"/>
        <w:gridCol w:w="551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Weeks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Objective</w:t>
            </w:r>
          </w:p>
        </w:tc>
      </w:tr>
      <w:tr>
        <w:trPr>
          <w:trHeight w:val="425" w:hRule="atLeast"/>
        </w:trPr>
        <w:tc>
          <w:tcPr>
            <w:tcW w:type="dxa" w:w="3249"/>
            <w:vAlign w:val="center"/>
          </w:tcPr>
          <w:p>
            <w:pPr>
              <w:spacing w:line="276" w:lineRule="auto" w:before="0" w:after="0"/>
            </w:pPr>
            <w:r/>
            <w:r>
              <w:rPr>
                <w:rFonts w:ascii="Figtree" w:hAnsi="Figtree"/>
                <w:b w:val="0"/>
                <w:i w:val="0"/>
                <w:sz w:val="20"/>
              </w:rPr>
              <w:t>Discovery and Requirements</w:t>
            </w:r>
          </w:p>
        </w:tc>
        <w:tc>
          <w:tcPr>
            <w:tcW w:type="dxa" w:w="3249"/>
            <w:vAlign w:val="center"/>
          </w:tcPr>
          <w:p>
            <w:pPr>
              <w:spacing w:line="276" w:lineRule="auto" w:before="0" w:after="0"/>
            </w:pPr>
            <w:r/>
            <w:r>
              <w:rPr>
                <w:rFonts w:ascii="Figtree" w:hAnsi="Figtree"/>
                <w:b w:val="0"/>
                <w:i w:val="0"/>
                <w:sz w:val="20"/>
              </w:rPr>
              <w:t>1 to 3</w:t>
            </w:r>
          </w:p>
        </w:tc>
        <w:tc>
          <w:tcPr>
            <w:tcW w:type="dxa" w:w="3249"/>
            <w:vAlign w:val="center"/>
          </w:tcPr>
          <w:p>
            <w:pPr>
              <w:spacing w:line="276" w:lineRule="auto" w:before="0" w:after="0"/>
            </w:pPr>
            <w:r/>
            <w:r>
              <w:rPr>
                <w:rFonts w:ascii="Figtree" w:hAnsi="Figtree"/>
                <w:b w:val="0"/>
                <w:i w:val="0"/>
                <w:sz w:val="20"/>
              </w:rPr>
              <w:t>Validate requirements, architecture, SARB/FSCA mapping</w:t>
            </w:r>
          </w:p>
        </w:tc>
      </w:tr>
      <w:tr>
        <w:trPr>
          <w:trHeight w:val="425" w:hRule="atLeast"/>
        </w:trPr>
        <w:tc>
          <w:tcPr>
            <w:tcW w:type="dxa" w:w="3249"/>
            <w:vAlign w:val="center"/>
          </w:tcPr>
          <w:p>
            <w:pPr>
              <w:spacing w:line="276" w:lineRule="auto" w:before="0" w:after="0"/>
            </w:pPr>
            <w:r/>
            <w:r>
              <w:rPr>
                <w:rFonts w:ascii="Figtree" w:hAnsi="Figtree"/>
                <w:b w:val="0"/>
                <w:i w:val="0"/>
                <w:sz w:val="20"/>
              </w:rPr>
              <w:t>Foundation and Setup</w:t>
            </w:r>
          </w:p>
        </w:tc>
        <w:tc>
          <w:tcPr>
            <w:tcW w:type="dxa" w:w="3249"/>
            <w:vAlign w:val="center"/>
          </w:tcPr>
          <w:p>
            <w:pPr>
              <w:spacing w:line="276" w:lineRule="auto" w:before="0" w:after="0"/>
            </w:pPr>
            <w:r/>
            <w:r>
              <w:rPr>
                <w:rFonts w:ascii="Figtree" w:hAnsi="Figtree"/>
                <w:b w:val="0"/>
                <w:i w:val="0"/>
                <w:sz w:val="20"/>
              </w:rPr>
              <w:t>4 to 7</w:t>
            </w:r>
          </w:p>
        </w:tc>
        <w:tc>
          <w:tcPr>
            <w:tcW w:type="dxa" w:w="3249"/>
            <w:vAlign w:val="center"/>
          </w:tcPr>
          <w:p>
            <w:pPr>
              <w:spacing w:line="276" w:lineRule="auto" w:before="0" w:after="0"/>
            </w:pPr>
            <w:r/>
            <w:r>
              <w:rPr>
                <w:rFonts w:ascii="Figtree" w:hAnsi="Figtree"/>
                <w:b w:val="0"/>
                <w:i w:val="0"/>
                <w:sz w:val="20"/>
              </w:rPr>
              <w:t>Provision environments, configure bonds and compliance</w:t>
            </w:r>
          </w:p>
        </w:tc>
      </w:tr>
      <w:tr>
        <w:trPr>
          <w:trHeight w:val="425" w:hRule="atLeast"/>
        </w:trPr>
        <w:tc>
          <w:tcPr>
            <w:tcW w:type="dxa" w:w="3249"/>
            <w:vAlign w:val="center"/>
          </w:tcPr>
          <w:p>
            <w:pPr>
              <w:spacing w:line="276" w:lineRule="auto" w:before="0" w:after="0"/>
            </w:pPr>
            <w:r/>
            <w:r>
              <w:rPr>
                <w:rFonts w:ascii="Figtree" w:hAnsi="Figtree"/>
                <w:b w:val="0"/>
                <w:i w:val="0"/>
                <w:sz w:val="20"/>
              </w:rPr>
              <w:t>Configuration and Compliance</w:t>
            </w:r>
          </w:p>
        </w:tc>
        <w:tc>
          <w:tcPr>
            <w:tcW w:type="dxa" w:w="3249"/>
            <w:vAlign w:val="center"/>
          </w:tcPr>
          <w:p>
            <w:pPr>
              <w:spacing w:line="276" w:lineRule="auto" w:before="0" w:after="0"/>
            </w:pPr>
            <w:r/>
            <w:r>
              <w:rPr>
                <w:rFonts w:ascii="Figtree" w:hAnsi="Figtree"/>
                <w:b w:val="0"/>
                <w:i w:val="0"/>
                <w:sz w:val="20"/>
              </w:rPr>
              <w:t>8 to 11</w:t>
            </w:r>
          </w:p>
        </w:tc>
        <w:tc>
          <w:tcPr>
            <w:tcW w:type="dxa" w:w="3249"/>
            <w:vAlign w:val="center"/>
          </w:tcPr>
          <w:p>
            <w:pPr>
              <w:spacing w:line="276" w:lineRule="auto" w:before="0" w:after="0"/>
            </w:pPr>
            <w:r/>
            <w:r>
              <w:rPr>
                <w:rFonts w:ascii="Figtree" w:hAnsi="Figtree"/>
                <w:b w:val="0"/>
                <w:i w:val="0"/>
                <w:sz w:val="20"/>
              </w:rPr>
              <w:t>Integrate with core banking, JSE, FIC; validate lifecycle</w:t>
            </w:r>
          </w:p>
        </w:tc>
      </w:tr>
      <w:tr>
        <w:trPr>
          <w:trHeight w:val="425" w:hRule="atLeast"/>
        </w:trPr>
        <w:tc>
          <w:tcPr>
            <w:tcW w:type="dxa" w:w="3249"/>
            <w:vAlign w:val="center"/>
          </w:tcPr>
          <w:p>
            <w:pPr>
              <w:spacing w:line="276" w:lineRule="auto" w:before="0" w:after="0"/>
            </w:pPr>
            <w:r/>
            <w:r>
              <w:rPr>
                <w:rFonts w:ascii="Figtree" w:hAnsi="Figtree"/>
                <w:b w:val="0"/>
                <w:i w:val="0"/>
                <w:sz w:val="20"/>
              </w:rPr>
              <w:t>Integration and Testing</w:t>
            </w:r>
          </w:p>
        </w:tc>
        <w:tc>
          <w:tcPr>
            <w:tcW w:type="dxa" w:w="3249"/>
            <w:vAlign w:val="center"/>
          </w:tcPr>
          <w:p>
            <w:pPr>
              <w:spacing w:line="276" w:lineRule="auto" w:before="0" w:after="0"/>
            </w:pPr>
            <w:r/>
            <w:r>
              <w:rPr>
                <w:rFonts w:ascii="Figtree" w:hAnsi="Figtree"/>
                <w:b w:val="0"/>
                <w:i w:val="0"/>
                <w:sz w:val="20"/>
              </w:rPr>
              <w:t>12 to 15</w:t>
            </w:r>
          </w:p>
        </w:tc>
        <w:tc>
          <w:tcPr>
            <w:tcW w:type="dxa" w:w="3249"/>
            <w:vAlign w:val="center"/>
          </w:tcPr>
          <w:p>
            <w:pPr>
              <w:spacing w:line="276" w:lineRule="auto" w:before="0" w:after="0"/>
            </w:pPr>
            <w:r/>
            <w:r>
              <w:rPr>
                <w:rFonts w:ascii="Figtree" w:hAnsi="Figtree"/>
                <w:b w:val="0"/>
                <w:i w:val="0"/>
                <w:sz w:val="20"/>
              </w:rPr>
              <w:t>Functional, NFR, security, DR testing, UAT</w:t>
            </w:r>
          </w:p>
        </w:tc>
      </w:tr>
      <w:tr>
        <w:trPr>
          <w:trHeight w:val="425" w:hRule="atLeast"/>
        </w:trPr>
        <w:tc>
          <w:tcPr>
            <w:tcW w:type="dxa" w:w="3249"/>
            <w:vAlign w:val="center"/>
          </w:tcPr>
          <w:p>
            <w:pPr>
              <w:spacing w:line="276" w:lineRule="auto" w:before="0" w:after="0"/>
            </w:pPr>
            <w:r/>
            <w:r>
              <w:rPr>
                <w:rFonts w:ascii="Figtree" w:hAnsi="Figtree"/>
                <w:b w:val="0"/>
                <w:i w:val="0"/>
                <w:sz w:val="20"/>
              </w:rPr>
              <w:t>Go-Live</w:t>
            </w:r>
          </w:p>
        </w:tc>
        <w:tc>
          <w:tcPr>
            <w:tcW w:type="dxa" w:w="3249"/>
            <w:vAlign w:val="center"/>
          </w:tcPr>
          <w:p>
            <w:pPr>
              <w:spacing w:line="276" w:lineRule="auto" w:before="0" w:after="0"/>
            </w:pPr>
            <w:r/>
            <w:r>
              <w:rPr>
                <w:rFonts w:ascii="Figtree" w:hAnsi="Figtree"/>
                <w:b w:val="0"/>
                <w:i w:val="0"/>
                <w:sz w:val="20"/>
              </w:rPr>
              <w:t>16 to 17</w:t>
            </w:r>
          </w:p>
        </w:tc>
        <w:tc>
          <w:tcPr>
            <w:tcW w:type="dxa" w:w="3249"/>
            <w:vAlign w:val="center"/>
          </w:tcPr>
          <w:p>
            <w:pPr>
              <w:spacing w:line="276" w:lineRule="auto" w:before="0" w:after="0"/>
            </w:pPr>
            <w:r/>
            <w:r>
              <w:rPr>
                <w:rFonts w:ascii="Figtree" w:hAnsi="Figtree"/>
                <w:b w:val="0"/>
                <w:i w:val="0"/>
                <w:sz w:val="20"/>
              </w:rPr>
              <w:t>Controlled production cutover</w:t>
            </w:r>
          </w:p>
        </w:tc>
      </w:tr>
      <w:tr>
        <w:trPr>
          <w:trHeight w:val="425" w:hRule="atLeast"/>
        </w:trPr>
        <w:tc>
          <w:tcPr>
            <w:tcW w:type="dxa" w:w="3249"/>
            <w:vAlign w:val="center"/>
          </w:tcPr>
          <w:p>
            <w:pPr>
              <w:spacing w:line="276" w:lineRule="auto" w:before="0" w:after="0"/>
            </w:pPr>
            <w:r/>
            <w:r>
              <w:rPr>
                <w:rFonts w:ascii="Figtree" w:hAnsi="Figtree"/>
                <w:b w:val="0"/>
                <w:i w:val="0"/>
                <w:sz w:val="20"/>
              </w:rPr>
              <w:t>Hypercare</w:t>
            </w:r>
          </w:p>
        </w:tc>
        <w:tc>
          <w:tcPr>
            <w:tcW w:type="dxa" w:w="3249"/>
            <w:vAlign w:val="center"/>
          </w:tcPr>
          <w:p>
            <w:pPr>
              <w:spacing w:line="276" w:lineRule="auto" w:before="0" w:after="0"/>
            </w:pPr>
            <w:r/>
            <w:r>
              <w:rPr>
                <w:rFonts w:ascii="Figtree" w:hAnsi="Figtree"/>
                <w:b w:val="0"/>
                <w:i w:val="0"/>
                <w:sz w:val="20"/>
              </w:rPr>
              <w:t>18 to 21</w:t>
            </w:r>
          </w:p>
        </w:tc>
        <w:tc>
          <w:tcPr>
            <w:tcW w:type="dxa" w:w="3249"/>
            <w:vAlign w:val="center"/>
          </w:tcPr>
          <w:p>
            <w:pPr>
              <w:spacing w:line="276" w:lineRule="auto" w:before="0" w:after="0"/>
            </w:pPr>
            <w:r/>
            <w:r>
              <w:rPr>
                <w:rFonts w:ascii="Figtree" w:hAnsi="Figtree"/>
                <w:b w:val="0"/>
                <w:i w:val="0"/>
                <w:sz w:val="20"/>
              </w:rPr>
              <w:t>Intensive monitoring and operational handover</w:t>
            </w:r>
          </w:p>
        </w:tc>
      </w:tr>
    </w:tbl>
    <w:p>
      <w:pPr>
        <w:spacing w:before="0" w:after="0" w:line="120" w:lineRule="exact"/>
      </w:pPr>
    </w:p>
    <w:p>
      <w:pPr>
        <w:jc w:val="center"/>
      </w:pPr>
      <w:r>
        <w:drawing>
          <wp:inline xmlns:a="http://schemas.openxmlformats.org/drawingml/2006/main" xmlns:pic="http://schemas.openxmlformats.org/drawingml/2006/picture">
            <wp:extent cx="5486400" cy="2547257"/>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2547257"/>
                    </a:xfrm>
                    <a:prstGeom prst="rect"/>
                  </pic:spPr>
                </pic:pic>
              </a:graphicData>
            </a:graphic>
          </wp:inline>
        </w:drawing>
      </w:r>
    </w:p>
    <w:p>
      <w:pPr>
        <w:pStyle w:val="H2"/>
        <w:numPr>
          <w:ilvl w:val="1"/>
          <w:numId w:val="1"/>
        </w:numPr>
      </w:pPr>
      <w:r>
        <w:t>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62"/>
        <w:gridCol w:w="908"/>
        <w:gridCol w:w="712"/>
        <w:gridCol w:w="408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SARB regulatory interpretation delays</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Early engagement during Discovery</w:t>
            </w:r>
          </w:p>
        </w:tc>
      </w:tr>
      <w:tr>
        <w:trPr>
          <w:trHeight w:val="425" w:hRule="atLeast"/>
        </w:trPr>
        <w:tc>
          <w:tcPr>
            <w:tcW w:type="dxa" w:w="2436"/>
            <w:vAlign w:val="center"/>
          </w:tcPr>
          <w:p>
            <w:pPr>
              <w:spacing w:line="276" w:lineRule="auto" w:before="0" w:after="0"/>
            </w:pPr>
            <w:r/>
            <w:r>
              <w:rPr>
                <w:rFonts w:ascii="Figtree" w:hAnsi="Figtree"/>
                <w:b w:val="0"/>
                <w:i w:val="0"/>
                <w:sz w:val="20"/>
              </w:rPr>
              <w:t>JSE integration complexity</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Detailed design in Phase 2, iterative testing</w:t>
            </w:r>
          </w:p>
        </w:tc>
      </w:tr>
      <w:tr>
        <w:trPr>
          <w:trHeight w:val="425" w:hRule="atLeast"/>
        </w:trPr>
        <w:tc>
          <w:tcPr>
            <w:tcW w:type="dxa" w:w="2436"/>
            <w:vAlign w:val="center"/>
          </w:tcPr>
          <w:p>
            <w:pPr>
              <w:spacing w:line="276" w:lineRule="auto" w:before="0" w:after="0"/>
            </w:pPr>
            <w:r/>
            <w:r>
              <w:rPr>
                <w:rFonts w:ascii="Figtree" w:hAnsi="Figtree"/>
                <w:b w:val="0"/>
                <w:i w:val="0"/>
                <w:sz w:val="20"/>
              </w:rPr>
              <w:t>Custody provider onboarding</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Parallel setup from Discovery</w:t>
            </w:r>
          </w:p>
        </w:tc>
      </w:tr>
      <w:tr>
        <w:trPr>
          <w:trHeight w:val="425" w:hRule="atLeast"/>
        </w:trPr>
        <w:tc>
          <w:tcPr>
            <w:tcW w:type="dxa" w:w="2436"/>
            <w:vAlign w:val="center"/>
          </w:tcPr>
          <w:p>
            <w:pPr>
              <w:spacing w:line="276" w:lineRule="auto" w:before="0" w:after="0"/>
            </w:pPr>
            <w:r/>
            <w:r>
              <w:rPr>
                <w:rFonts w:ascii="Figtree" w:hAnsi="Figtree"/>
                <w:b w:val="0"/>
                <w:i w:val="0"/>
                <w:sz w:val="20"/>
              </w:rPr>
              <w:t>FirstRand resource availability</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Named RACI, steering committee</w:t>
            </w:r>
          </w:p>
        </w:tc>
      </w:tr>
      <w:tr>
        <w:trPr>
          <w:trHeight w:val="425" w:hRule="atLeast"/>
        </w:trPr>
        <w:tc>
          <w:tcPr>
            <w:tcW w:type="dxa" w:w="2436"/>
            <w:vAlign w:val="center"/>
          </w:tcPr>
          <w:p>
            <w:pPr>
              <w:spacing w:line="276" w:lineRule="auto" w:before="0" w:after="0"/>
            </w:pPr>
            <w:r/>
            <w:r>
              <w:rPr>
                <w:rFonts w:ascii="Figtree" w:hAnsi="Figtree"/>
                <w:b w:val="0"/>
                <w:i w:val="0"/>
                <w:sz w:val="20"/>
              </w:rPr>
              <w:t>Security review timeline</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InfoSec engaged from Phase 1</w:t>
            </w:r>
          </w:p>
        </w:tc>
      </w:tr>
    </w:tbl>
    <w:p>
      <w:pPr>
        <w:spacing w:before="0" w:after="0" w:line="120" w:lineRule="exact"/>
      </w:pPr>
    </w:p>
    <w:p>
      <w:r>
        <w:br w:type="page"/>
      </w:r>
    </w:p>
    <w:p>
      <w:pPr>
        <w:pStyle w:val="H1"/>
        <w:numPr>
          <w:ilvl w:val="0"/>
          <w:numId w:val="1"/>
        </w:numPr>
      </w:pPr>
      <w:r>
        <w:t>Deployment</w:t>
      </w:r>
    </w:p>
    <w:p>
      <w:pPr>
        <w:pStyle w:val="H2"/>
        <w:numPr>
          <w:ilvl w:val="1"/>
          <w:numId w:val="1"/>
        </w:numPr>
      </w:pPr>
      <w:r>
        <w:t>Recommended Model</w:t>
      </w:r>
    </w:p>
    <w:p>
      <w:r>
        <w:rPr>
          <w:rFonts w:ascii="Figtree" w:hAnsi="Figtree"/>
          <w:b w:val="0"/>
          <w:i w:val="0"/>
          <w:sz w:val="22"/>
        </w:rPr>
        <w:t>Dedicated cloud deployment with South Africa-resident infrastructure. All deployment models deliver identical platform capabilities. SettleMint manages platform operations within the dedicated environment.</w:t>
      </w:r>
    </w:p>
    <w:p>
      <w:pPr>
        <w:pStyle w:val="H2"/>
        <w:numPr>
          <w:ilvl w:val="1"/>
          <w:numId w:val="1"/>
        </w:numPr>
      </w:pPr>
      <w:r>
        <w:t>Infrastructure Requirements</w:t>
      </w:r>
    </w:p>
    <w:p>
      <w:r>
        <w:rPr>
          <w:rFonts w:ascii="Figtree" w:hAnsi="Figtree"/>
          <w:b w:val="0"/>
          <w:i w:val="0"/>
          <w:sz w:val="22"/>
        </w:rPr>
        <w:t>Kubernetes/OpenShift, PostgreSQL, Redis, S3-compatible storage, standard network ingress. Multi-zone distribution for resilience.</w:t>
      </w:r>
    </w:p>
    <w:p>
      <w:pPr>
        <w:jc w:val="center"/>
      </w:pPr>
      <w:r>
        <w:drawing>
          <wp:inline xmlns:a="http://schemas.openxmlformats.org/drawingml/2006/main" xmlns:pic="http://schemas.openxmlformats.org/drawingml/2006/picture">
            <wp:extent cx="5486400" cy="4390992"/>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4390992"/>
                    </a:xfrm>
                    <a:prstGeom prst="rect"/>
                  </pic:spPr>
                </pic:pic>
              </a:graphicData>
            </a:graphic>
          </wp:inline>
        </w:drawing>
      </w:r>
    </w:p>
    <w:p>
      <w:r>
        <w:br w:type="page"/>
      </w:r>
    </w:p>
    <w:p>
      <w:pPr>
        <w:pStyle w:val="H1"/>
        <w:numPr>
          <w:ilvl w:val="0"/>
          <w:numId w:val="1"/>
        </w:numPr>
      </w:pPr>
      <w:r>
        <w:t>Training and Knowledge Transfer</w:t>
      </w:r>
    </w:p>
    <w:p>
      <w:r>
        <w:rPr>
          <w:rFonts w:ascii="Figtree" w:hAnsi="Figtree"/>
          <w:b w:val="0"/>
          <w:i w:val="0"/>
          <w:sz w:val="22"/>
        </w:rPr>
        <w:t>Three tracks: Administrator (platform configuration, monitoring), Developer/Integration (APIs, SDK, CLI), and End-User/Operations (bond lifecycle, servicing, reporting). Knowledge transfer through guided labs, shadowing, runbooks, and operational readiness assessment.</w:t>
      </w:r>
    </w:p>
    <w:p>
      <w:r>
        <w:br w:type="page"/>
      </w:r>
    </w:p>
    <w:p>
      <w:pPr>
        <w:pStyle w:val="H1"/>
        <w:numPr>
          <w:ilvl w:val="0"/>
          <w:numId w:val="1"/>
        </w:numPr>
      </w:pPr>
      <w:r>
        <w:t>Support and SLA</w:t>
      </w:r>
    </w:p>
    <w:p>
      <w:pPr>
        <w:pStyle w:val="H2"/>
        <w:numPr>
          <w:ilvl w:val="1"/>
          <w:numId w:val="1"/>
        </w:numPr>
      </w:pPr>
      <w:r>
        <w:t>Recommended Tier: Premium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17"/>
        <w:gridCol w:w="555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Premium</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07:00 to 22:00 CET, P1 weekends</w:t>
            </w:r>
          </w:p>
        </w:tc>
      </w:tr>
      <w:tr>
        <w:trPr>
          <w:trHeight w:val="425" w:hRule="atLeast"/>
        </w:trPr>
        <w:tc>
          <w:tcPr>
            <w:tcW w:type="dxa" w:w="4873"/>
            <w:vAlign w:val="center"/>
          </w:tcPr>
          <w:p>
            <w:pPr>
              <w:spacing w:line="276" w:lineRule="auto" w:before="0" w:after="0"/>
            </w:pPr>
            <w:r/>
            <w:r>
              <w:rPr>
                <w:rFonts w:ascii="Figtree" w:hAnsi="Figtree"/>
                <w:b w:val="0"/>
                <w:i w:val="0"/>
                <w:sz w:val="20"/>
              </w:rPr>
              <w:t>Channels</w:t>
            </w:r>
          </w:p>
        </w:tc>
        <w:tc>
          <w:tcPr>
            <w:tcW w:type="dxa" w:w="4873"/>
            <w:vAlign w:val="center"/>
          </w:tcPr>
          <w:p>
            <w:pPr>
              <w:spacing w:line="276" w:lineRule="auto" w:before="0" w:after="0"/>
            </w:pPr>
            <w:r/>
            <w:r>
              <w:rPr>
                <w:rFonts w:ascii="Figtree" w:hAnsi="Figtree"/>
                <w:b w:val="0"/>
                <w:i w:val="0"/>
                <w:sz w:val="20"/>
              </w:rPr>
              <w:t>Email, portal, Slack, phone</w:t>
            </w:r>
          </w:p>
        </w:tc>
      </w:tr>
      <w:tr>
        <w:trPr>
          <w:trHeight w:val="425" w:hRule="atLeast"/>
        </w:trPr>
        <w:tc>
          <w:tcPr>
            <w:tcW w:type="dxa" w:w="4873"/>
            <w:vAlign w:val="center"/>
          </w:tcPr>
          <w:p>
            <w:pPr>
              <w:spacing w:line="276" w:lineRule="auto" w:before="0" w:after="0"/>
            </w:pPr>
            <w:r/>
            <w:r>
              <w:rPr>
                <w:rFonts w:ascii="Figtree" w:hAnsi="Figtree"/>
                <w:b w:val="0"/>
                <w:i w:val="0"/>
                <w:sz w:val="20"/>
              </w:rPr>
              <w:t>Uptime SLA</w:t>
            </w:r>
          </w:p>
        </w:tc>
        <w:tc>
          <w:tcPr>
            <w:tcW w:type="dxa" w:w="4873"/>
            <w:vAlign w:val="center"/>
          </w:tcPr>
          <w:p>
            <w:pPr>
              <w:spacing w:line="276" w:lineRule="auto" w:before="0" w:after="0"/>
            </w:pPr>
            <w:r/>
            <w:r>
              <w:rPr>
                <w:rFonts w:ascii="Figtree" w:hAnsi="Figtree"/>
                <w:b w:val="0"/>
                <w:i w:val="0"/>
                <w:sz w:val="20"/>
              </w:rPr>
              <w:t>99.95% monthly</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Designated Engineer</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Release Cycle</w:t>
            </w:r>
          </w:p>
        </w:tc>
        <w:tc>
          <w:tcPr>
            <w:tcW w:type="dxa" w:w="4873"/>
            <w:vAlign w:val="center"/>
          </w:tcPr>
          <w:p>
            <w:pPr>
              <w:spacing w:line="276" w:lineRule="auto" w:before="0" w:after="0"/>
            </w:pPr>
            <w:r/>
            <w:r>
              <w:rPr>
                <w:rFonts w:ascii="Figtree" w:hAnsi="Figtree"/>
                <w:b w:val="0"/>
                <w:i w:val="0"/>
                <w:sz w:val="20"/>
              </w:rPr>
              <w:t>Monthly</w:t>
            </w:r>
          </w:p>
        </w:tc>
      </w:tr>
    </w:tbl>
    <w:p>
      <w:pPr>
        <w:spacing w:before="0" w:after="0" w:line="120" w:lineRule="exact"/>
      </w:pPr>
    </w:p>
    <w:p>
      <w:pPr>
        <w:pStyle w:val="H2"/>
        <w:numPr>
          <w:ilvl w:val="1"/>
          <w:numId w:val="1"/>
        </w:numPr>
      </w:pPr>
      <w:r>
        <w:t>Severity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70"/>
        <w:gridCol w:w="3540"/>
        <w:gridCol w:w="376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Resolution Target</w:t>
            </w:r>
          </w:p>
        </w:tc>
      </w:tr>
      <w:tr>
        <w:trPr>
          <w:trHeight w:val="425" w:hRule="atLeast"/>
        </w:trPr>
        <w:tc>
          <w:tcPr>
            <w:tcW w:type="dxa" w:w="3249"/>
            <w:vAlign w:val="center"/>
          </w:tcPr>
          <w:p>
            <w:pPr>
              <w:spacing w:line="276" w:lineRule="auto" w:before="0" w:after="0"/>
            </w:pPr>
            <w:r/>
            <w:r>
              <w:rPr>
                <w:rFonts w:ascii="Figtree" w:hAnsi="Figtree"/>
                <w:b w:val="0"/>
                <w:i w:val="0"/>
                <w:sz w:val="20"/>
              </w:rPr>
              <w:t>P1</w:t>
            </w:r>
          </w:p>
        </w:tc>
        <w:tc>
          <w:tcPr>
            <w:tcW w:type="dxa" w:w="3249"/>
            <w:vAlign w:val="center"/>
          </w:tcPr>
          <w:p>
            <w:pPr>
              <w:spacing w:line="276" w:lineRule="auto" w:before="0" w:after="0"/>
            </w:pPr>
            <w:r/>
            <w:r>
              <w:rPr>
                <w:rFonts w:ascii="Figtree" w:hAnsi="Figtree"/>
                <w:b w:val="0"/>
                <w:i w:val="0"/>
                <w:sz w:val="20"/>
              </w:rPr>
              <w:t>2 hours</w:t>
            </w:r>
          </w:p>
        </w:tc>
        <w:tc>
          <w:tcPr>
            <w:tcW w:type="dxa" w:w="3249"/>
            <w:vAlign w:val="center"/>
          </w:tcPr>
          <w:p>
            <w:pPr>
              <w:spacing w:line="276" w:lineRule="auto" w:before="0" w:after="0"/>
            </w:pPr>
            <w:r/>
            <w:r>
              <w:rPr>
                <w:rFonts w:ascii="Figtree" w:hAnsi="Figtree"/>
                <w:b w:val="0"/>
                <w:i w:val="0"/>
                <w:sz w:val="20"/>
              </w:rPr>
              <w:t>4 hours</w:t>
            </w:r>
          </w:p>
        </w:tc>
      </w:tr>
      <w:tr>
        <w:trPr>
          <w:trHeight w:val="425" w:hRule="atLeast"/>
        </w:trPr>
        <w:tc>
          <w:tcPr>
            <w:tcW w:type="dxa" w:w="3249"/>
            <w:vAlign w:val="center"/>
          </w:tcPr>
          <w:p>
            <w:pPr>
              <w:spacing w:line="276" w:lineRule="auto" w:before="0" w:after="0"/>
            </w:pPr>
            <w:r/>
            <w:r>
              <w:rPr>
                <w:rFonts w:ascii="Figtree" w:hAnsi="Figtree"/>
                <w:b w:val="0"/>
                <w:i w:val="0"/>
                <w:sz w:val="20"/>
              </w:rPr>
              <w:t>P2</w:t>
            </w:r>
          </w:p>
        </w:tc>
        <w:tc>
          <w:tcPr>
            <w:tcW w:type="dxa" w:w="3249"/>
            <w:vAlign w:val="center"/>
          </w:tcPr>
          <w:p>
            <w:pPr>
              <w:spacing w:line="276" w:lineRule="auto" w:before="0" w:after="0"/>
            </w:pPr>
            <w:r/>
            <w:r>
              <w:rPr>
                <w:rFonts w:ascii="Figtree" w:hAnsi="Figtree"/>
                <w:b w:val="0"/>
                <w:i w:val="0"/>
                <w:sz w:val="20"/>
              </w:rPr>
              <w:t>4 hours</w:t>
            </w:r>
          </w:p>
        </w:tc>
        <w:tc>
          <w:tcPr>
            <w:tcW w:type="dxa" w:w="3249"/>
            <w:vAlign w:val="center"/>
          </w:tcPr>
          <w:p>
            <w:pPr>
              <w:spacing w:line="276" w:lineRule="auto" w:before="0" w:after="0"/>
            </w:pPr>
            <w:r/>
            <w:r>
              <w:rPr>
                <w:rFonts w:ascii="Figtree" w:hAnsi="Figtree"/>
                <w:b w:val="0"/>
                <w:i w:val="0"/>
                <w:sz w:val="20"/>
              </w:rPr>
              <w:t>8 hours</w:t>
            </w:r>
          </w:p>
        </w:tc>
      </w:tr>
      <w:tr>
        <w:trPr>
          <w:trHeight w:val="425" w:hRule="atLeast"/>
        </w:trPr>
        <w:tc>
          <w:tcPr>
            <w:tcW w:type="dxa" w:w="3249"/>
            <w:vAlign w:val="center"/>
          </w:tcPr>
          <w:p>
            <w:pPr>
              <w:spacing w:line="276" w:lineRule="auto" w:before="0" w:after="0"/>
            </w:pPr>
            <w:r/>
            <w:r>
              <w:rPr>
                <w:rFonts w:ascii="Figtree" w:hAnsi="Figtree"/>
                <w:b w:val="0"/>
                <w:i w:val="0"/>
                <w:sz w:val="20"/>
              </w:rPr>
              <w:t>P3</w:t>
            </w:r>
          </w:p>
        </w:tc>
        <w:tc>
          <w:tcPr>
            <w:tcW w:type="dxa" w:w="3249"/>
            <w:vAlign w:val="center"/>
          </w:tcPr>
          <w:p>
            <w:pPr>
              <w:spacing w:line="276" w:lineRule="auto" w:before="0" w:after="0"/>
            </w:pPr>
            <w:r/>
            <w:r>
              <w:rPr>
                <w:rFonts w:ascii="Figtree" w:hAnsi="Figtree"/>
                <w:b w:val="0"/>
                <w:i w:val="0"/>
                <w:sz w:val="20"/>
              </w:rPr>
              <w:t>8 business hours</w:t>
            </w:r>
          </w:p>
        </w:tc>
        <w:tc>
          <w:tcPr>
            <w:tcW w:type="dxa" w:w="3249"/>
            <w:vAlign w:val="center"/>
          </w:tcPr>
          <w:p>
            <w:pPr>
              <w:spacing w:line="276" w:lineRule="auto" w:before="0" w:after="0"/>
            </w:pPr>
            <w:r/>
            <w:r>
              <w:rPr>
                <w:rFonts w:ascii="Figtree" w:hAnsi="Figtree"/>
                <w:b w:val="0"/>
                <w:i w:val="0"/>
                <w:sz w:val="20"/>
              </w:rPr>
              <w:t>3 business days</w:t>
            </w:r>
          </w:p>
        </w:tc>
      </w:tr>
      <w:tr>
        <w:trPr>
          <w:trHeight w:val="425" w:hRule="atLeast"/>
        </w:trPr>
        <w:tc>
          <w:tcPr>
            <w:tcW w:type="dxa" w:w="3249"/>
            <w:vAlign w:val="center"/>
          </w:tcPr>
          <w:p>
            <w:pPr>
              <w:spacing w:line="276" w:lineRule="auto" w:before="0" w:after="0"/>
            </w:pPr>
            <w:r/>
            <w:r>
              <w:rPr>
                <w:rFonts w:ascii="Figtree" w:hAnsi="Figtree"/>
                <w:b w:val="0"/>
                <w:i w:val="0"/>
                <w:sz w:val="20"/>
              </w:rPr>
              <w:t>P4</w:t>
            </w:r>
          </w:p>
        </w:tc>
        <w:tc>
          <w:tcPr>
            <w:tcW w:type="dxa" w:w="3249"/>
            <w:vAlign w:val="center"/>
          </w:tcPr>
          <w:p>
            <w:pPr>
              <w:spacing w:line="276" w:lineRule="auto" w:before="0" w:after="0"/>
            </w:pPr>
            <w:r/>
            <w:r>
              <w:rPr>
                <w:rFonts w:ascii="Figtree" w:hAnsi="Figtree"/>
                <w:b w:val="0"/>
                <w:i w:val="0"/>
                <w:sz w:val="20"/>
              </w:rPr>
              <w:t>2 business days</w:t>
            </w:r>
          </w:p>
        </w:tc>
        <w:tc>
          <w:tcPr>
            <w:tcW w:type="dxa" w:w="3249"/>
            <w:vAlign w:val="center"/>
          </w:tcPr>
          <w:p>
            <w:pPr>
              <w:spacing w:line="276" w:lineRule="auto" w:before="0" w:after="0"/>
            </w:pPr>
            <w:r/>
            <w:r>
              <w:rPr>
                <w:rFonts w:ascii="Figtree" w:hAnsi="Figtree"/>
                <w:b w:val="0"/>
                <w:i w:val="0"/>
                <w:sz w:val="20"/>
              </w:rPr>
              <w:t>Next release</w:t>
            </w:r>
          </w:p>
        </w:tc>
      </w:tr>
    </w:tbl>
    <w:p>
      <w:pPr>
        <w:spacing w:before="0" w:after="0" w:line="120" w:lineRule="exact"/>
      </w:pPr>
    </w:p>
    <w:p>
      <w:r>
        <w:br w:type="page"/>
      </w:r>
    </w:p>
    <w:p>
      <w:pPr>
        <w:pStyle w:val="H1"/>
        <w:numPr>
          <w:ilvl w:val="0"/>
          <w:numId w:val="1"/>
        </w:numPr>
      </w:pPr>
      <w:r>
        <w:t>Compliance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63"/>
        <w:gridCol w:w="1413"/>
        <w:gridCol w:w="459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r>
      <w:tr>
        <w:trPr>
          <w:trHeight w:val="425" w:hRule="atLeast"/>
        </w:trPr>
        <w:tc>
          <w:tcPr>
            <w:tcW w:type="dxa" w:w="3249"/>
            <w:vAlign w:val="center"/>
          </w:tcPr>
          <w:p>
            <w:pPr>
              <w:spacing w:line="276" w:lineRule="auto" w:before="0" w:after="0"/>
            </w:pPr>
            <w:r/>
            <w:r>
              <w:rPr>
                <w:rFonts w:ascii="Figtree" w:hAnsi="Figtree"/>
                <w:b w:val="0"/>
                <w:i w:val="0"/>
                <w:sz w:val="20"/>
              </w:rPr>
              <w:t>Segregated environments</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Dev, staging, UAT, DR, production</w:t>
            </w:r>
          </w:p>
        </w:tc>
      </w:tr>
      <w:tr>
        <w:trPr>
          <w:trHeight w:val="425" w:hRule="atLeast"/>
        </w:trPr>
        <w:tc>
          <w:tcPr>
            <w:tcW w:type="dxa" w:w="3249"/>
            <w:vAlign w:val="center"/>
          </w:tcPr>
          <w:p>
            <w:pPr>
              <w:spacing w:line="276" w:lineRule="auto" w:before="0" w:after="0"/>
            </w:pPr>
            <w:r/>
            <w:r>
              <w:rPr>
                <w:rFonts w:ascii="Figtree" w:hAnsi="Figtree"/>
                <w:b w:val="0"/>
                <w:i w:val="0"/>
                <w:sz w:val="20"/>
              </w:rPr>
              <w:t>API-first interfaces</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REST, GraphQL, webhooks, oRPC, SDK, CLI</w:t>
            </w:r>
          </w:p>
        </w:tc>
      </w:tr>
      <w:tr>
        <w:trPr>
          <w:trHeight w:val="425" w:hRule="atLeast"/>
        </w:trPr>
        <w:tc>
          <w:tcPr>
            <w:tcW w:type="dxa" w:w="3249"/>
            <w:vAlign w:val="center"/>
          </w:tcPr>
          <w:p>
            <w:pPr>
              <w:spacing w:line="276" w:lineRule="auto" w:before="0" w:after="0"/>
            </w:pPr>
            <w:r/>
            <w:r>
              <w:rPr>
                <w:rFonts w:ascii="Figtree" w:hAnsi="Figtree"/>
                <w:b w:val="0"/>
                <w:i w:val="0"/>
                <w:sz w:val="20"/>
              </w:rPr>
              <w:t>RBAC, maker-checker, audit</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5 roles, quorum, immutable trail</w:t>
            </w:r>
          </w:p>
        </w:tc>
      </w:tr>
      <w:tr>
        <w:trPr>
          <w:trHeight w:val="425" w:hRule="atLeast"/>
        </w:trPr>
        <w:tc>
          <w:tcPr>
            <w:tcW w:type="dxa" w:w="3249"/>
            <w:vAlign w:val="center"/>
          </w:tcPr>
          <w:p>
            <w:pPr>
              <w:spacing w:line="276" w:lineRule="auto" w:before="0" w:after="0"/>
            </w:pPr>
            <w:r/>
            <w:r>
              <w:rPr>
                <w:rFonts w:ascii="Figtree" w:hAnsi="Figtree"/>
                <w:b w:val="0"/>
                <w:i w:val="0"/>
                <w:sz w:val="20"/>
              </w:rPr>
              <w:t>Bond lifecycle states</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Templates, policies, governance gates</w:t>
            </w:r>
          </w:p>
        </w:tc>
      </w:tr>
      <w:tr>
        <w:trPr>
          <w:trHeight w:val="425" w:hRule="atLeast"/>
        </w:trPr>
        <w:tc>
          <w:tcPr>
            <w:tcW w:type="dxa" w:w="3249"/>
            <w:vAlign w:val="center"/>
          </w:tcPr>
          <w:p>
            <w:pPr>
              <w:spacing w:line="276" w:lineRule="auto" w:before="0" w:after="0"/>
            </w:pPr>
            <w:r/>
            <w:r>
              <w:rPr>
                <w:rFonts w:ascii="Figtree" w:hAnsi="Figtree"/>
                <w:b w:val="0"/>
                <w:i w:val="0"/>
                <w:sz w:val="20"/>
              </w:rPr>
              <w:t>Third-party disclosure</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Architecture documentation</w:t>
            </w:r>
          </w:p>
        </w:tc>
      </w:tr>
      <w:tr>
        <w:trPr>
          <w:trHeight w:val="425" w:hRule="atLeast"/>
        </w:trPr>
        <w:tc>
          <w:tcPr>
            <w:tcW w:type="dxa" w:w="3249"/>
            <w:vAlign w:val="center"/>
          </w:tcPr>
          <w:p>
            <w:pPr>
              <w:spacing w:line="276" w:lineRule="auto" w:before="0" w:after="0"/>
            </w:pPr>
            <w:r/>
            <w:r>
              <w:rPr>
                <w:rFonts w:ascii="Figtree" w:hAnsi="Figtree"/>
                <w:b w:val="0"/>
                <w:i w:val="0"/>
                <w:sz w:val="20"/>
              </w:rPr>
              <w:t>Resilience and DR</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HA, backup, 3-pillar observability</w:t>
            </w:r>
          </w:p>
        </w:tc>
      </w:tr>
      <w:tr>
        <w:trPr>
          <w:trHeight w:val="425" w:hRule="atLeast"/>
        </w:trPr>
        <w:tc>
          <w:tcPr>
            <w:tcW w:type="dxa" w:w="3249"/>
            <w:vAlign w:val="center"/>
          </w:tcPr>
          <w:p>
            <w:pPr>
              <w:spacing w:line="276" w:lineRule="auto" w:before="0" w:after="0"/>
            </w:pPr>
            <w:r/>
            <w:r>
              <w:rPr>
                <w:rFonts w:ascii="Figtree" w:hAnsi="Figtree"/>
                <w:b w:val="0"/>
                <w:i w:val="0"/>
                <w:sz w:val="20"/>
              </w:rPr>
              <w:t>Delivery plan</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19-week phase-gated</w:t>
            </w:r>
          </w:p>
        </w:tc>
      </w:tr>
      <w:tr>
        <w:trPr>
          <w:trHeight w:val="425" w:hRule="atLeast"/>
        </w:trPr>
        <w:tc>
          <w:tcPr>
            <w:tcW w:type="dxa" w:w="3249"/>
            <w:vAlign w:val="center"/>
          </w:tcPr>
          <w:p>
            <w:pPr>
              <w:spacing w:line="276" w:lineRule="auto" w:before="0" w:after="0"/>
            </w:pPr>
            <w:r/>
            <w:r>
              <w:rPr>
                <w:rFonts w:ascii="Figtree" w:hAnsi="Figtree"/>
                <w:b w:val="0"/>
                <w:i w:val="0"/>
                <w:sz w:val="20"/>
              </w:rPr>
              <w:t>Audit evidence</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534 error codes, compliance records</w:t>
            </w:r>
          </w:p>
        </w:tc>
      </w:tr>
      <w:tr>
        <w:trPr>
          <w:trHeight w:val="425" w:hRule="atLeast"/>
        </w:trPr>
        <w:tc>
          <w:tcPr>
            <w:tcW w:type="dxa" w:w="3249"/>
            <w:vAlign w:val="center"/>
          </w:tcPr>
          <w:p>
            <w:pPr>
              <w:spacing w:line="276" w:lineRule="auto" w:before="0" w:after="0"/>
            </w:pPr>
            <w:r/>
            <w:r>
              <w:rPr>
                <w:rFonts w:ascii="Figtree" w:hAnsi="Figtree"/>
                <w:b w:val="0"/>
                <w:i w:val="0"/>
                <w:sz w:val="20"/>
              </w:rPr>
              <w:t>Coupon and maturity</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Automated schedules and redemption</w:t>
            </w:r>
          </w:p>
        </w:tc>
      </w:tr>
      <w:tr>
        <w:trPr>
          <w:trHeight w:val="425" w:hRule="atLeast"/>
        </w:trPr>
        <w:tc>
          <w:tcPr>
            <w:tcW w:type="dxa" w:w="3249"/>
            <w:vAlign w:val="center"/>
          </w:tcPr>
          <w:p>
            <w:pPr>
              <w:spacing w:line="276" w:lineRule="auto" w:before="0" w:after="0"/>
            </w:pPr>
            <w:r/>
            <w:r>
              <w:rPr>
                <w:rFonts w:ascii="Figtree" w:hAnsi="Figtree"/>
                <w:b w:val="0"/>
                <w:i w:val="0"/>
                <w:sz w:val="20"/>
              </w:rPr>
              <w:t>Settlement integration</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Atomic DvP, ISO 20022</w:t>
            </w:r>
          </w:p>
        </w:tc>
      </w:tr>
      <w:tr>
        <w:trPr>
          <w:trHeight w:val="425" w:hRule="atLeast"/>
        </w:trPr>
        <w:tc>
          <w:tcPr>
            <w:tcW w:type="dxa" w:w="3249"/>
            <w:vAlign w:val="center"/>
          </w:tcPr>
          <w:p>
            <w:pPr>
              <w:spacing w:line="276" w:lineRule="auto" w:before="0" w:after="0"/>
            </w:pPr>
            <w:r/>
            <w:r>
              <w:rPr>
                <w:rFonts w:ascii="Figtree" w:hAnsi="Figtree"/>
                <w:b w:val="0"/>
                <w:i w:val="0"/>
                <w:sz w:val="20"/>
              </w:rPr>
              <w:t>Transfer restrictions</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18 modules, ex-ante enforcement</w:t>
            </w:r>
          </w:p>
        </w:tc>
      </w:tr>
      <w:tr>
        <w:trPr>
          <w:trHeight w:val="425" w:hRule="atLeast"/>
        </w:trPr>
        <w:tc>
          <w:tcPr>
            <w:tcW w:type="dxa" w:w="3249"/>
            <w:vAlign w:val="center"/>
          </w:tcPr>
          <w:p>
            <w:pPr>
              <w:spacing w:line="276" w:lineRule="auto" w:before="0" w:after="0"/>
            </w:pPr>
            <w:r/>
            <w:r>
              <w:rPr>
                <w:rFonts w:ascii="Figtree" w:hAnsi="Figtree"/>
                <w:b w:val="0"/>
                <w:i w:val="0"/>
                <w:sz w:val="20"/>
              </w:rPr>
              <w:t>Regulatory mapping</w:t>
            </w:r>
          </w:p>
        </w:tc>
        <w:tc>
          <w:tcPr>
            <w:tcW w:type="dxa" w:w="3249"/>
            <w:vAlign w:val="center"/>
          </w:tcPr>
          <w:p>
            <w:pPr>
              <w:spacing w:line="276" w:lineRule="auto" w:before="0" w:after="0"/>
            </w:pPr>
            <w:r/>
            <w:r>
              <w:rPr>
                <w:rFonts w:ascii="Figtree" w:hAnsi="Figtree"/>
                <w:b w:val="0"/>
                <w:i w:val="0"/>
                <w:sz w:val="20"/>
              </w:rPr>
              <w:t>Configurable</w:t>
            </w:r>
          </w:p>
        </w:tc>
        <w:tc>
          <w:tcPr>
            <w:tcW w:type="dxa" w:w="3249"/>
            <w:vAlign w:val="center"/>
          </w:tcPr>
          <w:p>
            <w:pPr>
              <w:spacing w:line="276" w:lineRule="auto" w:before="0" w:after="0"/>
            </w:pPr>
            <w:r/>
            <w:r>
              <w:rPr>
                <w:rFonts w:ascii="Figtree" w:hAnsi="Figtree"/>
                <w:b w:val="0"/>
                <w:i w:val="0"/>
                <w:sz w:val="20"/>
              </w:rPr>
              <w:t>Modules mapped; buyer interprets</w:t>
            </w:r>
          </w:p>
        </w:tc>
      </w:tr>
      <w:tr>
        <w:trPr>
          <w:trHeight w:val="425" w:hRule="atLeast"/>
        </w:trPr>
        <w:tc>
          <w:tcPr>
            <w:tcW w:type="dxa" w:w="3249"/>
            <w:vAlign w:val="center"/>
          </w:tcPr>
          <w:p>
            <w:pPr>
              <w:spacing w:line="276" w:lineRule="auto" w:before="0" w:after="0"/>
            </w:pPr>
            <w:r/>
            <w:r>
              <w:rPr>
                <w:rFonts w:ascii="Figtree" w:hAnsi="Figtree"/>
                <w:b w:val="0"/>
                <w:i w:val="0"/>
                <w:sz w:val="20"/>
              </w:rPr>
              <w:t>AML/CFT and FIC</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Webhook integration with screening</w:t>
            </w:r>
          </w:p>
        </w:tc>
      </w:tr>
      <w:tr>
        <w:trPr>
          <w:trHeight w:val="425" w:hRule="atLeast"/>
        </w:trPr>
        <w:tc>
          <w:tcPr>
            <w:tcW w:type="dxa" w:w="3249"/>
            <w:vAlign w:val="center"/>
          </w:tcPr>
          <w:p>
            <w:pPr>
              <w:spacing w:line="276" w:lineRule="auto" w:before="0" w:after="0"/>
            </w:pPr>
            <w:r/>
            <w:r>
              <w:rPr>
                <w:rFonts w:ascii="Figtree" w:hAnsi="Figtree"/>
                <w:b w:val="0"/>
                <w:i w:val="0"/>
                <w:sz w:val="20"/>
              </w:rPr>
              <w:t>Data governance</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Encryption, residency, retention</w:t>
            </w:r>
          </w:p>
        </w:tc>
      </w:tr>
      <w:tr>
        <w:trPr>
          <w:trHeight w:val="425" w:hRule="atLeast"/>
        </w:trPr>
        <w:tc>
          <w:tcPr>
            <w:tcW w:type="dxa" w:w="3249"/>
            <w:vAlign w:val="center"/>
          </w:tcPr>
          <w:p>
            <w:pPr>
              <w:spacing w:line="276" w:lineRule="auto" w:before="0" w:after="0"/>
            </w:pPr>
            <w:r/>
            <w:r>
              <w:rPr>
                <w:rFonts w:ascii="Figtree" w:hAnsi="Figtree"/>
                <w:b w:val="0"/>
                <w:i w:val="0"/>
                <w:sz w:val="20"/>
              </w:rPr>
              <w:t>Operational resilience</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DR, backup, monitoring</w:t>
            </w:r>
          </w:p>
        </w:tc>
      </w:tr>
    </w:tbl>
    <w:p>
      <w:pPr>
        <w:spacing w:before="0" w:after="0" w:line="120" w:lineRule="exact"/>
      </w:pPr>
    </w:p>
    <w:p>
      <w:r>
        <w:br w:type="page"/>
      </w:r>
    </w:p>
    <w:p>
      <w:pPr>
        <w:pStyle w:val="H1"/>
        <w:numPr>
          <w:ilvl w:val="0"/>
          <w:numId w:val="1"/>
        </w:numPr>
      </w:pPr>
      <w:r>
        <w:t>Support Appendix</w:t>
      </w:r>
    </w:p>
    <w:p>
      <w:r>
        <w:rPr>
          <w:rFonts w:ascii="Figtree" w:hAnsi="Figtree"/>
          <w:b w:val="0"/>
          <w:i w:val="0"/>
          <w:sz w:val="22"/>
        </w:rPr>
        <w:t>Premium support assigns a dedicated engineer maintaining knowledge of FirstRand's deployment, bond templates, compliance configuration, and integration architecture. Monthly service reports cover ticket volumes, resolution times, SLA compliance, and availability. Scheduled maintenance with 72-hour notice minimum; critical security patches with 24-hour notice.</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