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Group</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ING Group</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8"/>
        <w:gridCol w:w="66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Trade Finance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ING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ING-RFP-202603-06</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ING is to adopt DALP as the configuration-led lifecycle, policy, evidence, and integration orchestration layer for tokenized trade finance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ING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r>
        <w:rPr>
          <w:rFonts w:ascii="Figtree" w:hAnsi="Figtree"/>
          <w:i/>
          <w:sz w:val="22"/>
        </w:rPr>
        <w:t>[Diagram 1 — render failed, see markdown source]</w:t>
      </w:r>
    </w:p>
    <w:p>
      <w:pPr>
        <w:pStyle w:val="H2"/>
        <w:numPr>
          <w:ilvl w:val="1"/>
          <w:numId w:val="1"/>
        </w:numPr>
      </w:pPr>
      <w:r>
        <w:t>Understanding the Institution Operating Model</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ING wants a reusable platform, not a one-deal delivery. That is why the proposed model emphasizes reusable product templates, parameterized lifecycle events, policy binding, and audit-friendly exports. For ING,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receivables tokenization, supply-chain finance programme servicing, guarantee and document workflow control, and investor or participant transfer with bank-led approvals.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ING,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ING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and internal auditors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ING is broad: trade finance workflow systems, KYC, sanctions, and onboarding services, document repositories and e-signature tooling, cash management and ERP integrations, and risk, audit, and reporting systems.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ING,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ING,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ING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ING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ING,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ING.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8"/>
        <w:gridCol w:w="72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trade-finance and receivables digitization programmes; bank-led tokenization deployments with document-linked approvals; regulated multi-party workflows with configurable policy enforcement</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Tokenized Trade Finance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