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Intesa Sanpaolo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Intesa Sanpaolo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6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Intesa Sanpaolo</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ISP-RFP-202603-08</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Intesa Sanpaolo is to adopt DALP as the configuration-led lifecycle, policy, evidence, and integration orchestration layer for digital bonds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Intesa Sanpaolo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Intesa Sanpaolo wants a reusable platform, not a one-deal delivery. That is why the proposed model emphasizes reusable product templates, parameterized lifecycle events, policy binding, and audit-friendly exports. For Intesa Sanpaolo,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digital bond issuance, retail and corporate distribution controls, cash-leg and settlement orchestration, and servicing, coupon, and maturity events.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Intesa Sanpaolo,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Intesa Sanpaolo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Intesa Sanpaolo is broad: core banking and payments platforms, custody and distribution channels, risk, compliance, and reporting systems, customer onboarding services, and monitoring and support tooling.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Intesa Sanpaolo,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r>
        <w:rPr>
          <w:rFonts w:ascii="Figtree" w:hAnsi="Figtree"/>
          <w:i/>
          <w:sz w:val="22"/>
        </w:rPr>
        <w:t>[Diagram 7 — render failed, see markdown source]</w:t>
      </w:r>
    </w:p>
    <w:p>
      <w:pPr>
        <w:pStyle w:val="H2"/>
        <w:numPr>
          <w:ilvl w:val="1"/>
          <w:numId w:val="1"/>
        </w:numPr>
      </w:pPr>
      <w:r>
        <w:t>Implementation Approach</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Intesa Sanpaolo,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Intesa Sanpaolo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Intesa Sanpaolo is not buying a pilot stack; it is buying an operating capability for digital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Intesa Sanpaolo can scale new products, legal entities, and corridors without rebuilding the control model each time.</w:t>
      </w:r>
    </w:p>
    <w:p>
      <w:r>
        <w:rPr>
          <w:rFonts w:ascii="Figtree" w:hAnsi="Figtree"/>
          <w:b w:val="0"/>
          <w:i w:val="0"/>
          <w:sz w:val="22"/>
        </w:rPr>
        <w:t>The relevant regulatory backdrop is MiCA, MiFID II, Italian securities and banking law, CONSOB and Bank of Italy expectations, DORA, and GDPR.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Intesa Sanpaolo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Intesa Sanpaolo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Intesa Sanpaolo,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Intesa Sanpaolo.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1"/>
        <w:gridCol w:w="73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institutional digital bond issuance programmes; bank-led tokenized securities environments with configurable compliance controls; regulated deployment patterns for phased expansion across entities and markets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