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020976039"/>
        <w:docPartObj>
          <w:docPartGallery w:val="Cover Pages"/>
          <w:docPartUnique/>
        </w:docPartObj>
      </w:sdtPr>
      <w:sdtContent>
        <w:p w14:paraId="52792642" w14:textId="77777777" w:rsidR="001F6184" w:rsidRPr="000A6351" w:rsidRDefault="001F6184">
          <w:pPr>
            <w:rPr>
              <w:color w:val="0000FF"/>
            </w:rPr>
          </w:pPr>
        </w:p>
        <w:tbl>
          <w:tblPr>
            <w:tblpPr w:leftFromText="187" w:rightFromText="187" w:horzAnchor="margin" w:tblpXSpec="center" w:tblpY="2881"/>
            <w:tblW w:w="4000" w:type="pct"/>
            <w:tblBorders>
              <w:left w:val="single" w:sz="12" w:space="0" w:color="000099" w:themeColor="accent1"/>
            </w:tblBorders>
            <w:tblCellMar>
              <w:left w:w="144" w:type="dxa"/>
              <w:right w:w="115" w:type="dxa"/>
            </w:tblCellMar>
            <w:tblLook w:val="04A0" w:firstRow="1" w:lastRow="0" w:firstColumn="1" w:lastColumn="0" w:noHBand="0" w:noVBand="1"/>
          </w:tblPr>
          <w:tblGrid>
            <w:gridCol w:w="7785"/>
          </w:tblGrid>
          <w:tr w:rsidR="001F6184" w:rsidRPr="00A9690B" w14:paraId="61C01F08" w14:textId="77777777" w:rsidTr="004962CD">
            <w:sdt>
              <w:sdtPr>
                <w:rPr>
                  <w:rFonts w:ascii="Figtree" w:hAnsi="Figtree"/>
                  <w:color w:val="000072" w:themeColor="accent1" w:themeShade="BF"/>
                  <w:sz w:val="24"/>
                  <w:szCs w:val="24"/>
                </w:rPr>
                <w:alias w:val="Company"/>
                <w:id w:val="13406915"/>
                <w:text/>
              </w:sdtPr>
              <w:sdtContent>
                <w:tc>
                  <w:tcPr>
                    <w:tcW w:w="7785" w:type="dxa"/>
                    <w:tcBorders>
                      <w:left w:val="single" w:sz="12" w:space="0" w:color="000099"/>
                    </w:tcBorders>
                    <w:tcMar>
                      <w:top w:w="216" w:type="dxa"/>
                      <w:left w:w="115" w:type="dxa"/>
                      <w:bottom w:w="216" w:type="dxa"/>
                      <w:right w:w="115" w:type="dxa"/>
                    </w:tcMar>
                  </w:tcPr>
                  <w:p w14:paraId="0CBDA06D" w14:textId="77777777" w:rsidR="001F6184" w:rsidRPr="00A9690B" w:rsidRDefault="001F6184">
                    <w:pPr>
                      <w:pStyle w:val="NoSpacing"/>
                      <w:rPr>
                        <w:rFonts w:ascii="Figtree" w:hAnsi="Figtree"/>
                        <w:color w:val="000072" w:themeColor="accent1" w:themeShade="BF"/>
                        <w:sz w:val="24"/>
                      </w:rPr>
                    </w:pPr>
                    <w:r>
                      <w:rPr>
                        <w:rFonts w:ascii="Figtree" w:hAnsi="Figtree"/>
                        <w:color w:val="000099"/>
                        <w:sz w:val="24"/>
                        <w:szCs w:val="24"/>
                      </w:rPr>
                      <w:t xml:space="preserve">Intesa Sanpaolo</w:t>
                    </w:r>
                  </w:p>
                </w:tc>
              </w:sdtContent>
            </w:sdt>
          </w:tr>
          <w:tr w:rsidR="001F6184" w:rsidRPr="00A9690B" w14:paraId="3F596671" w14:textId="77777777" w:rsidTr="004962CD">
            <w:tc>
              <w:tcPr>
                <w:tcW w:w="7785" w:type="dxa"/>
                <w:tcBorders>
                  <w:left w:val="single" w:sz="12" w:space="0" w:color="000099"/>
                </w:tcBorders>
              </w:tcPr>
              <w:sdt>
                <w:sdtPr>
                  <w:rPr>
                    <w:rFonts w:ascii="Figtree" w:eastAsiaTheme="majorEastAsia" w:hAnsi="Figtree" w:cstheme="majorBidi"/>
                    <w:color w:val="000099" w:themeColor="accent1"/>
                    <w:sz w:val="88"/>
                    <w:szCs w:val="88"/>
                  </w:rPr>
                  <w:alias w:val="Title"/>
                  <w:id w:val="13406919"/>
                  <w:text/>
                </w:sdtPr>
                <w:sdtContent>
                  <w:p w14:paraId="227360E8" w14:textId="77777777" w:rsidR="001F6184" w:rsidRPr="00A9690B" w:rsidRDefault="001F6184">
                    <w:pPr>
                      <w:pStyle w:val="NoSpacing"/>
                      <w:spacing w:line="216" w:lineRule="auto"/>
                      <w:rPr>
                        <w:rFonts w:ascii="Figtree" w:eastAsiaTheme="majorEastAsia" w:hAnsi="Figtree" w:cstheme="majorBidi"/>
                        <w:color w:val="000099" w:themeColor="accent1"/>
                        <w:sz w:val="88"/>
                        <w:szCs w:val="88"/>
                      </w:rPr>
                    </w:pPr>
                    <w:r>
                      <w:rPr>
                        <w:color w:val="000099"/>
                        <w:sz w:val="74"/>
                        <w:szCs w:val="420"/>
                      </w:rPr>
                      <w:t xml:space="preserve">Technical Proposal — Digital Bonds Platform</w:t>
                    </w:r>
                  </w:p>
                </w:sdtContent>
              </w:sdt>
            </w:tc>
          </w:tr>
          <w:tr w:rsidR="001F6184" w:rsidRPr="00A9690B" w14:paraId="3A6BC0C4" w14:textId="77777777" w:rsidTr="004962CD">
            <w:sdt>
              <w:sdtPr>
                <w:rPr>
                  <w:rFonts w:ascii="Figtree" w:hAnsi="Figtree"/>
                  <w:color w:val="000072" w:themeColor="accent1" w:themeShade="BF"/>
                  <w:sz w:val="24"/>
                  <w:szCs w:val="24"/>
                </w:rPr>
                <w:alias w:val="Subtitle"/>
                <w:id w:val="13406923"/>
                <w:text/>
              </w:sdtPr>
              <w:sdtContent>
                <w:tc>
                  <w:tcPr>
                    <w:tcW w:w="7785" w:type="dxa"/>
                    <w:tcBorders>
                      <w:left w:val="single" w:sz="12" w:space="0" w:color="000099"/>
                    </w:tcBorders>
                    <w:tcMar>
                      <w:top w:w="216" w:type="dxa"/>
                      <w:left w:w="115" w:type="dxa"/>
                      <w:bottom w:w="216" w:type="dxa"/>
                      <w:right w:w="115" w:type="dxa"/>
                    </w:tcMar>
                  </w:tcPr>
                  <w:p w14:paraId="63BBE5CC" w14:textId="77777777" w:rsidR="001F6184" w:rsidRPr="00A9690B" w:rsidRDefault="001F6184">
                    <w:pPr>
                      <w:pStyle w:val="NoSpacing"/>
                      <w:rPr>
                        <w:rFonts w:ascii="Figtree" w:hAnsi="Figtree"/>
                        <w:color w:val="000072" w:themeColor="accent1" w:themeShade="BF"/>
                        <w:sz w:val="24"/>
                      </w:rPr>
                    </w:pPr>
                    <w:r>
                      <w:rPr>
                        <w:rFonts w:ascii="Figtree" w:hAnsi="Figtree"/>
                        <w:color w:val="000099"/>
                        <w:sz w:val="24"/>
                        <w:szCs w:val="24"/>
                      </w:rPr>
                      <w:t xml:space="preserve">SettleMint | Version 1.0</w:t>
                    </w:r>
                  </w:p>
                </w:tc>
              </w:sdtContent>
            </w:sdt>
          </w:tr>
        </w:tbl>
        <w:p w14:paraId="52CEEA21" w14:textId="77777777" w:rsidR="001F6184" w:rsidRPr="00A9690B" w:rsidRDefault="001F6184">
          <w:r w:rsidRPr="00A9690B">
            <w:br w:type="page"/>
          </w:r>
        </w:p>
      </w:sdtContent>
    </w:sdt>
    <w:p w14:paraId="66F8E667" w14:textId="77777777" w:rsidR="00E86454" w:rsidRPr="00E86454" w:rsidRDefault="00E86454" w:rsidP="00E86454">
      <w:pPr>
        <w:rPr>
          <w:b/>
          <w:bCs/>
        </w:rPr>
      </w:pPr>
      <w:r w:rsidRPr="00E86454">
        <w:rPr>
          <w:b/>
          <w:bCs/>
        </w:rPr>
        <w:lastRenderedPageBreak/>
        <w:t>Confidentiality Statement</w:t>
      </w:r>
    </w:p>
    <w:p w14:paraId="75ABE544" w14:textId="77777777" w:rsidR="00E86454" w:rsidRDefault="00E86454" w:rsidP="00E86454">
      <w:r>
        <w:t>This document contains confidential and proprietary information of SettleMint. By reading this document, you agree not to disclose the confidential information contained herein to any third party without the prior written consent of SettleMint, except to those agents, principals, representatives, or consultants who require access for the purpose of evaluating this document. You further agree to inform such persons of the confidential nature of this document and to obtain their agreement to preserve its confidentiality to the same extent as yours.</w:t>
      </w:r>
    </w:p>
    <w:p w14:paraId="5E875877" w14:textId="77777777" w:rsidR="00E86454" w:rsidRDefault="00E86454" w:rsidP="00E86454">
      <w:r>
        <w:t>This confidentiality statement shall remain binding on the parties for a period of five (5) years from the date stated on the front cover, unless superseded by confidentiality provisions detailed in a subsequent agreement.</w:t>
      </w:r>
    </w:p>
    <w:p w14:paraId="0959A354" w14:textId="77777777" w:rsidR="00E86454" w:rsidRPr="00E86454" w:rsidRDefault="00E86454" w:rsidP="00E86454">
      <w:pPr>
        <w:rPr>
          <w:b/>
          <w:bCs/>
        </w:rPr>
      </w:pPr>
      <w:r w:rsidRPr="00E86454">
        <w:rPr>
          <w:b/>
          <w:bCs/>
        </w:rPr>
        <w:t>Terms and Conditions</w:t>
      </w:r>
    </w:p>
    <w:p w14:paraId="4EDB75AD" w14:textId="77777777" w:rsidR="00E86454" w:rsidRDefault="00E86454" w:rsidP="00E86454">
      <w:r>
        <w:t>This proposal is valid until 15 March 2026. In the absence of confirmation to proceed, SettleMint and Intesa Sanpaolo</w:t>
      </w:r>
      <w:r w:rsidRPr="00E86454">
        <w:rPr>
          <w:color w:val="FF0000"/>
        </w:rPr>
      </w:r>
      <w:r>
        <w:rPr>
          <w:color w:val="FF0000"/>
        </w:rPr>
      </w:r>
      <w:r w:rsidRPr="00E86454">
        <w:rPr>
          <w:color w:val="FF0000"/>
        </w:rPr>
        <w:t xml:space="preserve"> </w:t>
      </w:r>
      <w:r>
        <w:t>acknowledge and agree to abide by the Mutual NDA as the governing agreement.</w:t>
      </w:r>
    </w:p>
    <w:p w14:paraId="543E5579" w14:textId="77777777" w:rsidR="00E86454" w:rsidRDefault="00E86454" w:rsidP="00E86454">
      <w:r>
        <w:t>SettleMint reserves the right to vary the terms of this proposal in response to changes in specifications or information made available at a later date. Submission of this proposal does not convey any right, title, interest, or license in any intellectual property rights (including, but not limited to, patents, copyrights, trade secrets, or trademarks) contained herein.</w:t>
      </w:r>
    </w:p>
    <w:p w14:paraId="7661E4CF" w14:textId="77777777" w:rsidR="00E86454" w:rsidRDefault="00E86454" w:rsidP="00E86454">
      <w:r>
        <w:t>All rights are reserved. This proposal and the information contained within it are provided on an “as is” basis, without any warranties of any kind, express or implied.</w:t>
      </w:r>
    </w:p>
    <w:p w14:paraId="2493E1F2" w14:textId="77777777" w:rsidR="00E86454" w:rsidRDefault="00E86454" w:rsidP="00E86454">
      <w:r>
        <w:t>All contracts with SettleMint will be governed by Belgian Law and subject to the exclusive jurisdiction of Belgian courts.</w:t>
      </w:r>
    </w:p>
    <w:p w14:paraId="584FC76C" w14:textId="77777777" w:rsidR="00E86454" w:rsidRPr="008A14BF" w:rsidRDefault="00E86454" w:rsidP="00E86454">
      <w:pPr>
        <w:rPr>
          <w:b/>
          <w:bCs/>
        </w:rPr>
      </w:pPr>
      <w:r w:rsidRPr="008A14BF">
        <w:rPr>
          <w:b/>
          <w:bCs/>
        </w:rPr>
        <w:t>Contact Details</w:t>
      </w:r>
    </w:p>
    <w:p w14:paraId="07A25128" w14:textId="77777777" w:rsidR="00E86454" w:rsidRDefault="00E86454" w:rsidP="00E86454">
      <w:r>
        <w:t>For any enquiries regarding this document, please contact:</w:t>
      </w:r>
    </w:p>
    <w:p w14:paraId="7910139D" w14:textId="77777777" w:rsidR="00E86454" w:rsidRDefault="00E86454" w:rsidP="00E86454">
      <w:r>
        <w:t>SettleMint Bid Team</w:t>
      </w:r>
    </w:p>
    <w:p w14:paraId="78CD750E" w14:textId="77777777" w:rsidR="00E86454" w:rsidRDefault="00E86454" w:rsidP="00E86454">
      <w:r>
        <w:t>Digital Asset Solutions</w:t>
      </w:r>
    </w:p>
    <w:p w14:paraId="7D10800F" w14:textId="77777777" w:rsidR="00E86454" w:rsidRDefault="00E86454" w:rsidP="00E86454">
      <w:r>
        <w:t>Email: info@settlemint.com</w:t>
      </w:r>
    </w:p>
    <w:p w14:paraId="7D0DC7E4" w14:textId="77777777" w:rsidR="00AD4564" w:rsidRDefault="00E86454" w:rsidP="00E86454">
      <w:r>
        <w:t>Phone: +32 2 808 73 84</w:t>
      </w:r>
    </w:p>
    <w:p w14:paraId="14BA6D31" w14:textId="77777777" w:rsidR="00AD4564" w:rsidRDefault="00AD4564">
      <w:r>
        <w:br w:type="page"/>
      </w:r>
    </w:p>
    <w:p>
      <w:pPr>
        <w:spacing w:before="0" w:after="240"/>
      </w:pPr>
      <w:r>
        <w:rPr>
          <w:b/>
          <w:sz w:val="32"/>
          <w:szCs w:val="32"/>
          <w:color w:val="000072"/>
          <w:rFonts w:ascii="Figtree" w:hAnsi="Figtree" w:cs="Figtree"/>
        </w:rPr>
        <w:t xml:space="preserve">Table of Contents</w:t>
      </w:r>
    </w:p>
    <w:sdt>
      <w:sdtPr>
        <w:rPr>
          <w:rFonts w:ascii="Figtree" w:eastAsiaTheme="minorHAnsi" w:hAnsi="Figtree" w:cstheme="minorBidi"/>
          <w:color w:val="auto"/>
          <w:kern w:val="2"/>
          <w:sz w:val="24"/>
          <w:szCs w:val="24"/>
          <w:lang w:val="en-IN"/>
          <w14:ligatures w14:val="standardContextual"/>
        </w:rPr>
        <w:id w:val="1667814546"/>
        <w:docPartObj>
          <w:docPartGallery w:val="Table of Contents"/>
          <w:docPartUnique/>
        </w:docPartObj>
      </w:sdtPr>
      <w:sdtEndPr>
        <w:rPr>
          <w:b/>
          <w:bCs/>
          <w:noProof/>
        </w:rPr>
      </w:sdtEndPr>
      <w:sdtContent>
        <w:p>
          <w:r>
            <w:fldChar w:fldCharType="begin"/>
            <w:instrText xml:space="preserve"> TOC \o "1-4" \h \z \u </w:instrText>
            <w:fldChar w:fldCharType="separate"/>
          </w:r>
        </w:p>
        <w:p>
          <w:pPr>
            <w:pStyle w:val="TOC2"/>
            <w:tabs>
              <w:tab w:val="right" w:leader="dot" w:pos="9072"/>
            </w:tabs>
          </w:pPr>
          <w:r>
            <w:t xml:space="preserve">Table of Contents</w:t>
          </w:r>
          <w:r>
            <w:tab/>
          </w:r>
          <w:r>
            <w:t xml:space="preserve">3</w:t>
          </w:r>
        </w:p>
        <w:p>
          <w:pPr>
            <w:pStyle w:val="TOC2"/>
            <w:tabs>
              <w:tab w:val="right" w:leader="dot" w:pos="9072"/>
            </w:tabs>
          </w:pPr>
          <w:r>
            <w:t xml:space="preserve">Executive Summary</w:t>
          </w:r>
          <w:r>
            <w:tab/>
          </w:r>
          <w:r>
            <w:t xml:space="preserve">4</w:t>
          </w:r>
        </w:p>
        <w:p>
          <w:pPr>
            <w:pStyle w:val="TOC2"/>
            <w:tabs>
              <w:tab w:val="right" w:leader="dot" w:pos="9072"/>
            </w:tabs>
          </w:pPr>
          <w:r>
            <w:t xml:space="preserve">Understanding the Institution Operating Model</w:t>
          </w:r>
          <w:r>
            <w:tab/>
          </w:r>
          <w:r>
            <w:t xml:space="preserve">5</w:t>
          </w:r>
        </w:p>
        <w:p>
          <w:pPr>
            <w:pStyle w:val="TOC2"/>
            <w:tabs>
              <w:tab w:val="right" w:leader="dot" w:pos="9072"/>
            </w:tabs>
          </w:pPr>
          <w:r>
            <w:t xml:space="preserve">Proposed DALP Operating Model</w:t>
          </w:r>
          <w:r>
            <w:tab/>
          </w:r>
          <w:r>
            <w:t xml:space="preserve">6</w:t>
          </w:r>
        </w:p>
        <w:p>
          <w:pPr>
            <w:pStyle w:val="TOC2"/>
            <w:tabs>
              <w:tab w:val="right" w:leader="dot" w:pos="9072"/>
            </w:tabs>
          </w:pPr>
          <w:r>
            <w:t xml:space="preserve">Target Business Workflows</w:t>
          </w:r>
          <w:r>
            <w:tab/>
          </w:r>
          <w:r>
            <w:t xml:space="preserve">7</w:t>
          </w:r>
        </w:p>
        <w:p>
          <w:pPr>
            <w:pStyle w:val="TOC2"/>
            <w:tabs>
              <w:tab w:val="right" w:leader="dot" w:pos="9072"/>
            </w:tabs>
          </w:pPr>
          <w:r>
            <w:t xml:space="preserve">Architecture and Integration Boundaries</w:t>
          </w:r>
          <w:r>
            <w:tab/>
          </w:r>
          <w:r>
            <w:t xml:space="preserve">8</w:t>
          </w:r>
        </w:p>
        <w:p>
          <w:pPr>
            <w:pStyle w:val="TOC2"/>
            <w:tabs>
              <w:tab w:val="right" w:leader="dot" w:pos="9072"/>
            </w:tabs>
          </w:pPr>
          <w:r>
            <w:t xml:space="preserve">Data, Identity, and Compliance Controls</w:t>
          </w:r>
          <w:r>
            <w:tab/>
          </w:r>
          <w:r>
            <w:t xml:space="preserve">9</w:t>
          </w:r>
        </w:p>
        <w:p>
          <w:pPr>
            <w:pStyle w:val="TOC2"/>
            <w:tabs>
              <w:tab w:val="right" w:leader="dot" w:pos="9072"/>
            </w:tabs>
          </w:pPr>
          <w:r>
            <w:t xml:space="preserve">Security and Operational Resilience</w:t>
          </w:r>
          <w:r>
            <w:tab/>
          </w:r>
          <w:r>
            <w:t xml:space="preserve">10</w:t>
          </w:r>
        </w:p>
        <w:p>
          <w:pPr>
            <w:pStyle w:val="TOC2"/>
            <w:tabs>
              <w:tab w:val="right" w:leader="dot" w:pos="9072"/>
            </w:tabs>
          </w:pPr>
          <w:r>
            <w:t xml:space="preserve">Implementation Approach</w:t>
          </w:r>
          <w:r>
            <w:tab/>
          </w:r>
          <w:r>
            <w:t xml:space="preserve">11</w:t>
          </w:r>
        </w:p>
        <w:p>
          <w:pPr>
            <w:pStyle w:val="TOC2"/>
            <w:tabs>
              <w:tab w:val="right" w:leader="dot" w:pos="9072"/>
            </w:tabs>
          </w:pPr>
          <w:r>
            <w:t xml:space="preserve">Service Model and Operating Readiness</w:t>
          </w:r>
          <w:r>
            <w:tab/>
          </w:r>
          <w:r>
            <w:t xml:space="preserve">12</w:t>
          </w:r>
        </w:p>
        <w:p>
          <w:pPr>
            <w:pStyle w:val="TOC2"/>
            <w:tabs>
              <w:tab w:val="right" w:leader="dot" w:pos="9072"/>
            </w:tabs>
          </w:pPr>
          <w:r>
            <w:t xml:space="preserve">Requirements Response Narrative</w:t>
          </w:r>
          <w:r>
            <w:tab/>
          </w:r>
          <w:r>
            <w:t xml:space="preserve">13</w:t>
          </w:r>
        </w:p>
        <w:p>
          <w:pPr>
            <w:pStyle w:val="TOC2"/>
            <w:tabs>
              <w:tab w:val="right" w:leader="dot" w:pos="9072"/>
            </w:tabs>
          </w:pPr>
          <w:r>
            <w:t xml:space="preserve">Qualified Dependencies and Assumptions</w:t>
          </w:r>
          <w:r>
            <w:tab/>
          </w:r>
          <w:r>
            <w:t xml:space="preserve">14</w:t>
          </w:r>
        </w:p>
        <w:p>
          <w:pPr>
            <w:pStyle w:val="TOC2"/>
            <w:tabs>
              <w:tab w:val="right" w:leader="dot" w:pos="9072"/>
            </w:tabs>
          </w:pPr>
          <w:r>
            <w:t xml:space="preserve">Relevant Delivery Evidence</w:t>
          </w:r>
          <w:r>
            <w:tab/>
          </w:r>
          <w:r>
            <w:t xml:space="preserve">15</w:t>
          </w:r>
        </w:p>
        <w:p>
          <w:pPr>
            <w:pStyle w:val="TOC2"/>
            <w:tabs>
              <w:tab w:val="right" w:leader="dot" w:pos="9072"/>
            </w:tabs>
          </w:pPr>
          <w:r>
            <w:t xml:space="preserve">Appendices</w:t>
          </w:r>
          <w:r>
            <w:tab/>
          </w:r>
          <w:r>
            <w:t xml:space="preserve">16</w:t>
          </w:r>
        </w:p>
        <w:p>
          <w:r>
            <w:fldChar w:fldCharType="end"/>
          </w:r>
        </w:p>
      </w:sdtContent>
    </w:sdt>
    <w:p w14:paraId="3CB9FE7A" w14:textId="77777777" w:rsidR="006B6750" w:rsidRPr="00A9690B" w:rsidRDefault="006B6750" w:rsidP="0018162B">
      <w:pPr>
        <w:rPr>
          <w:rFonts w:eastAsiaTheme="majorEastAsia" w:cstheme="majorBidi"/>
          <w:b/>
          <w:color w:val="0070C0"/>
          <w:sz w:val="32"/>
          <w:szCs w:val="40"/>
        </w:rPr>
      </w:pPr>
      <w:r w:rsidRPr="00A9690B">
        <w:br w:type="page"/>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2732"/>
        <w:gridCol w:w="6339"/>
      </w:tblGrid>
      <w:tr>
        <w:trPr>
          <w:trHeight w:val="425" w:hRule="atLeast"/>
        </w:trPr>
        <w:tc>
          <w:tcPr>
            <w:tcW w:type="dxa" w:w="4873"/>
            <w:vAlign w:val="center"/>
            <w:shd w:fill="E8E0F0" w:val="clear"/>
          </w:tcPr>
          <w:p>
            <w:pPr>
              <w:spacing w:line="276" w:lineRule="auto" w:before="0" w:after="0"/>
              <w:jc w:val="left"/>
            </w:pPr>
            <w:r>
              <w:rPr>
                <w:b/>
                <w:color w:val="2D1A8C"/>
              </w:rPr>
            </w:r>
            <w:r>
              <w:rPr>
                <w:rFonts w:ascii="Figtree" w:hAnsi="Figtree"/>
                <w:b/>
                <w:i w:val="0"/>
                <w:color w:val="2D1A8C"/>
                <w:sz w:val="20"/>
              </w:rPr>
              <w:t>Field</w:t>
            </w:r>
          </w:p>
        </w:tc>
        <w:tc>
          <w:tcPr>
            <w:tcW w:type="dxa" w:w="4873"/>
            <w:vAlign w:val="center"/>
            <w:shd w:fill="E8E0F0" w:val="clear"/>
          </w:tcPr>
          <w:p>
            <w:pPr>
              <w:spacing w:line="276" w:lineRule="auto" w:before="0" w:after="0"/>
              <w:jc w:val="center"/>
            </w:pPr>
            <w:r>
              <w:rPr>
                <w:b/>
                <w:color w:val="2D1A8C"/>
              </w:rPr>
            </w:r>
            <w:r>
              <w:rPr>
                <w:rFonts w:ascii="Figtree" w:hAnsi="Figtree"/>
                <w:b/>
                <w:i w:val="0"/>
                <w:color w:val="2D1A8C"/>
                <w:sz w:val="20"/>
              </w:rPr>
              <w:t>Value</w:t>
            </w:r>
          </w:p>
        </w:tc>
      </w:tr>
      <w:tr>
        <w:trPr>
          <w:trHeight w:val="425" w:hRule="atLeast"/>
        </w:trPr>
        <w:tc>
          <w:tcPr>
            <w:tcW w:type="dxa" w:w="4873"/>
            <w:vAlign w:val="center"/>
          </w:tcPr>
          <w:p>
            <w:pPr>
              <w:spacing w:line="276" w:lineRule="auto" w:before="0" w:after="0"/>
            </w:pPr>
            <w:r/>
            <w:r>
              <w:rPr>
                <w:rFonts w:ascii="Figtree" w:hAnsi="Figtree"/>
                <w:b w:val="0"/>
                <w:i w:val="0"/>
                <w:sz w:val="20"/>
              </w:rPr>
              <w:t>Proposal title</w:t>
            </w:r>
          </w:p>
        </w:tc>
        <w:tc>
          <w:tcPr>
            <w:tcW w:type="dxa" w:w="4873"/>
            <w:vAlign w:val="center"/>
          </w:tcPr>
          <w:p>
            <w:pPr>
              <w:spacing w:line="276" w:lineRule="auto" w:before="0" w:after="0"/>
            </w:pPr>
            <w:r/>
            <w:r>
              <w:rPr>
                <w:rFonts w:ascii="Figtree" w:hAnsi="Figtree"/>
                <w:b w:val="0"/>
                <w:i w:val="0"/>
                <w:sz w:val="20"/>
              </w:rPr>
              <w:t>Technical Proposal — Digital Bonds Platform</w:t>
            </w:r>
          </w:p>
        </w:tc>
      </w:tr>
      <w:tr>
        <w:trPr>
          <w:trHeight w:val="425" w:hRule="atLeast"/>
        </w:trPr>
        <w:tc>
          <w:tcPr>
            <w:tcW w:type="dxa" w:w="4873"/>
            <w:vAlign w:val="center"/>
          </w:tcPr>
          <w:p>
            <w:pPr>
              <w:spacing w:line="276" w:lineRule="auto" w:before="0" w:after="0"/>
            </w:pPr>
            <w:r/>
            <w:r>
              <w:rPr>
                <w:rFonts w:ascii="Figtree" w:hAnsi="Figtree"/>
                <w:b w:val="0"/>
                <w:i w:val="0"/>
                <w:sz w:val="20"/>
              </w:rPr>
              <w:t>Client</w:t>
            </w:r>
          </w:p>
        </w:tc>
        <w:tc>
          <w:tcPr>
            <w:tcW w:type="dxa" w:w="4873"/>
            <w:vAlign w:val="center"/>
          </w:tcPr>
          <w:p>
            <w:pPr>
              <w:spacing w:line="276" w:lineRule="auto" w:before="0" w:after="0"/>
            </w:pPr>
            <w:r/>
            <w:r>
              <w:rPr>
                <w:rFonts w:ascii="Figtree" w:hAnsi="Figtree"/>
                <w:b w:val="0"/>
                <w:i w:val="0"/>
                <w:sz w:val="20"/>
              </w:rPr>
              <w:t>Intesa Sanpaolo</w:t>
            </w:r>
          </w:p>
        </w:tc>
      </w:tr>
      <w:tr>
        <w:trPr>
          <w:trHeight w:val="425" w:hRule="atLeast"/>
        </w:trPr>
        <w:tc>
          <w:tcPr>
            <w:tcW w:type="dxa" w:w="4873"/>
            <w:vAlign w:val="center"/>
          </w:tcPr>
          <w:p>
            <w:pPr>
              <w:spacing w:line="276" w:lineRule="auto" w:before="0" w:after="0"/>
            </w:pPr>
            <w:r/>
            <w:r>
              <w:rPr>
                <w:rFonts w:ascii="Figtree" w:hAnsi="Figtree"/>
                <w:b w:val="0"/>
                <w:i w:val="0"/>
                <w:sz w:val="20"/>
              </w:rPr>
              <w:t>Submitted by</w:t>
            </w:r>
          </w:p>
        </w:tc>
        <w:tc>
          <w:tcPr>
            <w:tcW w:type="dxa" w:w="4873"/>
            <w:vAlign w:val="center"/>
          </w:tcPr>
          <w:p>
            <w:pPr>
              <w:spacing w:line="276" w:lineRule="auto" w:before="0" w:after="0"/>
            </w:pPr>
            <w:r/>
            <w:r>
              <w:rPr>
                <w:rFonts w:ascii="Figtree" w:hAnsi="Figtree"/>
                <w:b w:val="0"/>
                <w:i w:val="0"/>
                <w:sz w:val="20"/>
              </w:rPr>
              <w:t>SettleMint NV</w:t>
            </w:r>
          </w:p>
        </w:tc>
      </w:tr>
      <w:tr>
        <w:trPr>
          <w:trHeight w:val="425" w:hRule="atLeast"/>
        </w:trPr>
        <w:tc>
          <w:tcPr>
            <w:tcW w:type="dxa" w:w="4873"/>
            <w:vAlign w:val="center"/>
          </w:tcPr>
          <w:p>
            <w:pPr>
              <w:spacing w:line="276" w:lineRule="auto" w:before="0" w:after="0"/>
            </w:pPr>
            <w:r/>
            <w:r>
              <w:rPr>
                <w:rFonts w:ascii="Figtree" w:hAnsi="Figtree"/>
                <w:b w:val="0"/>
                <w:i w:val="0"/>
                <w:sz w:val="20"/>
              </w:rPr>
              <w:t>Date</w:t>
            </w:r>
          </w:p>
        </w:tc>
        <w:tc>
          <w:tcPr>
            <w:tcW w:type="dxa" w:w="4873"/>
            <w:vAlign w:val="center"/>
          </w:tcPr>
          <w:p>
            <w:pPr>
              <w:spacing w:line="276" w:lineRule="auto" w:before="0" w:after="0"/>
            </w:pPr>
            <w:r/>
            <w:r>
              <w:rPr>
                <w:rFonts w:ascii="Figtree" w:hAnsi="Figtree"/>
                <w:b w:val="0"/>
                <w:i w:val="0"/>
                <w:sz w:val="20"/>
              </w:rPr>
              <w:t>March 2026</w:t>
            </w:r>
          </w:p>
        </w:tc>
      </w:tr>
      <w:tr>
        <w:trPr>
          <w:trHeight w:val="425" w:hRule="atLeast"/>
        </w:trPr>
        <w:tc>
          <w:tcPr>
            <w:tcW w:type="dxa" w:w="4873"/>
            <w:vAlign w:val="center"/>
          </w:tcPr>
          <w:p>
            <w:pPr>
              <w:spacing w:line="276" w:lineRule="auto" w:before="0" w:after="0"/>
            </w:pPr>
            <w:r/>
            <w:r>
              <w:rPr>
                <w:rFonts w:ascii="Figtree" w:hAnsi="Figtree"/>
                <w:b w:val="0"/>
                <w:i w:val="0"/>
                <w:sz w:val="20"/>
              </w:rPr>
              <w:t>Version</w:t>
            </w:r>
          </w:p>
        </w:tc>
        <w:tc>
          <w:tcPr>
            <w:tcW w:type="dxa" w:w="4873"/>
            <w:vAlign w:val="center"/>
          </w:tcPr>
          <w:p>
            <w:pPr>
              <w:spacing w:line="276" w:lineRule="auto" w:before="0" w:after="0"/>
            </w:pPr>
            <w:r/>
            <w:r>
              <w:rPr>
                <w:rFonts w:ascii="Figtree" w:hAnsi="Figtree"/>
                <w:b w:val="0"/>
                <w:i w:val="0"/>
                <w:sz w:val="20"/>
              </w:rPr>
              <w:t>v1.0</w:t>
            </w:r>
          </w:p>
        </w:tc>
      </w:tr>
      <w:tr>
        <w:trPr>
          <w:trHeight w:val="425" w:hRule="atLeast"/>
        </w:trPr>
        <w:tc>
          <w:tcPr>
            <w:tcW w:type="dxa" w:w="4873"/>
            <w:vAlign w:val="center"/>
          </w:tcPr>
          <w:p>
            <w:pPr>
              <w:spacing w:line="276" w:lineRule="auto" w:before="0" w:after="0"/>
            </w:pPr>
            <w:r/>
            <w:r>
              <w:rPr>
                <w:rFonts w:ascii="Figtree" w:hAnsi="Figtree"/>
                <w:b w:val="0"/>
                <w:i w:val="0"/>
                <w:sz w:val="20"/>
              </w:rPr>
              <w:t>Confidentiality</w:t>
            </w:r>
          </w:p>
        </w:tc>
        <w:tc>
          <w:tcPr>
            <w:tcW w:type="dxa" w:w="4873"/>
            <w:vAlign w:val="center"/>
          </w:tcPr>
          <w:p>
            <w:pPr>
              <w:spacing w:line="276" w:lineRule="auto" w:before="0" w:after="0"/>
            </w:pPr>
            <w:r/>
            <w:r>
              <w:rPr>
                <w:rFonts w:ascii="Figtree" w:hAnsi="Figtree"/>
                <w:b w:val="0"/>
                <w:i w:val="0"/>
                <w:sz w:val="20"/>
              </w:rPr>
              <w:t>Restricted</w:t>
            </w:r>
          </w:p>
        </w:tc>
      </w:tr>
      <w:tr>
        <w:trPr>
          <w:trHeight w:val="425" w:hRule="atLeast"/>
        </w:trPr>
        <w:tc>
          <w:tcPr>
            <w:tcW w:type="dxa" w:w="4873"/>
            <w:vAlign w:val="center"/>
          </w:tcPr>
          <w:p>
            <w:pPr>
              <w:spacing w:line="276" w:lineRule="auto" w:before="0" w:after="0"/>
            </w:pPr>
            <w:r/>
            <w:r>
              <w:rPr>
                <w:rFonts w:ascii="Figtree" w:hAnsi="Figtree"/>
                <w:b w:val="0"/>
                <w:i w:val="0"/>
                <w:sz w:val="20"/>
              </w:rPr>
              <w:t>RFP Reference</w:t>
            </w:r>
          </w:p>
        </w:tc>
        <w:tc>
          <w:tcPr>
            <w:tcW w:type="dxa" w:w="4873"/>
            <w:vAlign w:val="center"/>
          </w:tcPr>
          <w:p>
            <w:pPr>
              <w:spacing w:line="276" w:lineRule="auto" w:before="0" w:after="0"/>
            </w:pPr>
            <w:r/>
            <w:r>
              <w:rPr>
                <w:rFonts w:ascii="Figtree" w:hAnsi="Figtree"/>
                <w:b w:val="0"/>
                <w:i w:val="0"/>
                <w:sz w:val="20"/>
              </w:rPr>
              <w:t>ISP-RFP-202603-08</w:t>
            </w:r>
          </w:p>
        </w:tc>
      </w:tr>
      <w:tr>
        <w:trPr>
          <w:trHeight w:val="425" w:hRule="atLeast"/>
        </w:trPr>
        <w:tc>
          <w:tcPr>
            <w:tcW w:type="dxa" w:w="4873"/>
            <w:vAlign w:val="center"/>
          </w:tcPr>
          <w:p>
            <w:pPr>
              <w:spacing w:line="276" w:lineRule="auto" w:before="0" w:after="0"/>
            </w:pPr>
            <w:r/>
            <w:r>
              <w:rPr>
                <w:rFonts w:ascii="Figtree" w:hAnsi="Figtree"/>
                <w:b w:val="0"/>
                <w:i w:val="0"/>
                <w:sz w:val="20"/>
              </w:rPr>
              <w:t>Primary contact</w:t>
            </w:r>
          </w:p>
        </w:tc>
        <w:tc>
          <w:tcPr>
            <w:tcW w:type="dxa" w:w="4873"/>
            <w:vAlign w:val="center"/>
          </w:tcPr>
          <w:p>
            <w:pPr>
              <w:spacing w:line="276" w:lineRule="auto" w:before="0" w:after="0"/>
            </w:pPr>
            <w:r/>
            <w:r>
              <w:rPr>
                <w:rFonts w:ascii="Figtree" w:hAnsi="Figtree"/>
                <w:b w:val="0"/>
                <w:i w:val="0"/>
                <w:sz w:val="20"/>
              </w:rPr>
              <w:t>SettleMint Bid Team</w:t>
            </w:r>
          </w:p>
        </w:tc>
      </w:tr>
    </w:tbl>
    <w:p>
      <w:pPr>
        <w:spacing w:before="0" w:after="0" w:line="120" w:lineRule="exact"/>
      </w:pPr>
    </w:p>
    <w:p>
      <w:r>
        <w:br w:type="page"/>
      </w:r>
    </w:p>
    <w:p>
      <w:pPr>
        <w:pStyle w:val="H2"/>
        <w:numPr>
          <w:ilvl w:val="1"/>
          <w:numId w:val="1"/>
        </w:numPr>
      </w:pPr>
      <w:r>
        <w:t>Table of Contents</w:t>
      </w:r>
    </w:p>
    <w:p>
      <w:pPr>
        <w:pStyle w:val="ListParagraph"/>
        <w:numPr>
          <w:ilvl w:val="0"/>
          <w:numId w:val="4"/>
        </w:numPr>
      </w:pPr>
      <w:r>
        <w:rPr>
          <w:rFonts w:ascii="Figtree" w:hAnsi="Figtree"/>
          <w:b w:val="0"/>
          <w:i w:val="0"/>
          <w:sz w:val="22"/>
        </w:rPr>
        <w:t>Executive Summary</w:t>
      </w:r>
    </w:p>
    <w:p>
      <w:pPr>
        <w:pStyle w:val="ListParagraph"/>
        <w:numPr>
          <w:ilvl w:val="0"/>
          <w:numId w:val="4"/>
        </w:numPr>
      </w:pPr>
      <w:r>
        <w:rPr>
          <w:rFonts w:ascii="Figtree" w:hAnsi="Figtree"/>
          <w:b w:val="0"/>
          <w:i w:val="0"/>
          <w:sz w:val="22"/>
        </w:rPr>
        <w:t>Understanding the Institution Operating Model</w:t>
      </w:r>
    </w:p>
    <w:p>
      <w:pPr>
        <w:pStyle w:val="ListParagraph"/>
        <w:numPr>
          <w:ilvl w:val="0"/>
          <w:numId w:val="4"/>
        </w:numPr>
      </w:pPr>
      <w:r>
        <w:rPr>
          <w:rFonts w:ascii="Figtree" w:hAnsi="Figtree"/>
          <w:b w:val="0"/>
          <w:i w:val="0"/>
          <w:sz w:val="22"/>
        </w:rPr>
        <w:t>Proposed DALP Operating Model</w:t>
      </w:r>
    </w:p>
    <w:p>
      <w:pPr>
        <w:pStyle w:val="ListParagraph"/>
        <w:numPr>
          <w:ilvl w:val="0"/>
          <w:numId w:val="4"/>
        </w:numPr>
      </w:pPr>
      <w:r>
        <w:rPr>
          <w:rFonts w:ascii="Figtree" w:hAnsi="Figtree"/>
          <w:b w:val="0"/>
          <w:i w:val="0"/>
          <w:sz w:val="22"/>
        </w:rPr>
        <w:t>Target Business Workflows</w:t>
      </w:r>
    </w:p>
    <w:p>
      <w:pPr>
        <w:pStyle w:val="ListParagraph"/>
        <w:numPr>
          <w:ilvl w:val="0"/>
          <w:numId w:val="4"/>
        </w:numPr>
      </w:pPr>
      <w:r>
        <w:rPr>
          <w:rFonts w:ascii="Figtree" w:hAnsi="Figtree"/>
          <w:b w:val="0"/>
          <w:i w:val="0"/>
          <w:sz w:val="22"/>
        </w:rPr>
        <w:t>Architecture and Integration Boundaries</w:t>
      </w:r>
    </w:p>
    <w:p>
      <w:pPr>
        <w:pStyle w:val="ListParagraph"/>
        <w:numPr>
          <w:ilvl w:val="0"/>
          <w:numId w:val="4"/>
        </w:numPr>
      </w:pPr>
      <w:r>
        <w:rPr>
          <w:rFonts w:ascii="Figtree" w:hAnsi="Figtree"/>
          <w:b w:val="0"/>
          <w:i w:val="0"/>
          <w:sz w:val="22"/>
        </w:rPr>
        <w:t>Data, Identity, and Compliance Controls</w:t>
      </w:r>
    </w:p>
    <w:p>
      <w:pPr>
        <w:pStyle w:val="ListParagraph"/>
        <w:numPr>
          <w:ilvl w:val="0"/>
          <w:numId w:val="4"/>
        </w:numPr>
      </w:pPr>
      <w:r>
        <w:rPr>
          <w:rFonts w:ascii="Figtree" w:hAnsi="Figtree"/>
          <w:b w:val="0"/>
          <w:i w:val="0"/>
          <w:sz w:val="22"/>
        </w:rPr>
        <w:t>Security and Operational Resilience</w:t>
      </w:r>
    </w:p>
    <w:p>
      <w:pPr>
        <w:pStyle w:val="ListParagraph"/>
        <w:numPr>
          <w:ilvl w:val="0"/>
          <w:numId w:val="4"/>
        </w:numPr>
      </w:pPr>
      <w:r>
        <w:rPr>
          <w:rFonts w:ascii="Figtree" w:hAnsi="Figtree"/>
          <w:b w:val="0"/>
          <w:i w:val="0"/>
          <w:sz w:val="22"/>
        </w:rPr>
        <w:t>Implementation Approach</w:t>
      </w:r>
    </w:p>
    <w:p>
      <w:pPr>
        <w:pStyle w:val="ListParagraph"/>
        <w:numPr>
          <w:ilvl w:val="0"/>
          <w:numId w:val="4"/>
        </w:numPr>
      </w:pPr>
      <w:r>
        <w:rPr>
          <w:rFonts w:ascii="Figtree" w:hAnsi="Figtree"/>
          <w:b w:val="0"/>
          <w:i w:val="0"/>
          <w:sz w:val="22"/>
        </w:rPr>
        <w:t>Service Model and Operating Readiness</w:t>
      </w:r>
    </w:p>
    <w:p>
      <w:pPr>
        <w:pStyle w:val="ListParagraph"/>
        <w:numPr>
          <w:ilvl w:val="0"/>
          <w:numId w:val="4"/>
        </w:numPr>
      </w:pPr>
      <w:r>
        <w:rPr>
          <w:rFonts w:ascii="Figtree" w:hAnsi="Figtree"/>
          <w:b w:val="0"/>
          <w:i w:val="0"/>
          <w:sz w:val="22"/>
        </w:rPr>
        <w:t>Requirements Response Narrative</w:t>
      </w:r>
    </w:p>
    <w:p>
      <w:pPr>
        <w:pStyle w:val="ListParagraph"/>
        <w:numPr>
          <w:ilvl w:val="0"/>
          <w:numId w:val="4"/>
        </w:numPr>
      </w:pPr>
      <w:r>
        <w:rPr>
          <w:rFonts w:ascii="Figtree" w:hAnsi="Figtree"/>
          <w:b w:val="0"/>
          <w:i w:val="0"/>
          <w:sz w:val="22"/>
        </w:rPr>
        <w:t>Qualified Dependencies and Assumptions</w:t>
      </w:r>
    </w:p>
    <w:p>
      <w:pPr>
        <w:pStyle w:val="ListParagraph"/>
        <w:numPr>
          <w:ilvl w:val="0"/>
          <w:numId w:val="4"/>
        </w:numPr>
      </w:pPr>
      <w:r>
        <w:rPr>
          <w:rFonts w:ascii="Figtree" w:hAnsi="Figtree"/>
          <w:b w:val="0"/>
          <w:i w:val="0"/>
          <w:sz w:val="22"/>
        </w:rPr>
        <w:t>Relevant Delivery Evidence</w:t>
      </w:r>
    </w:p>
    <w:p>
      <w:pPr>
        <w:pStyle w:val="ListParagraph"/>
        <w:numPr>
          <w:ilvl w:val="0"/>
          <w:numId w:val="4"/>
        </w:numPr>
      </w:pPr>
      <w:r>
        <w:rPr>
          <w:rFonts w:ascii="Figtree" w:hAnsi="Figtree"/>
          <w:b w:val="0"/>
          <w:i w:val="0"/>
          <w:sz w:val="22"/>
        </w:rPr>
        <w:t>Appendices</w:t>
      </w:r>
    </w:p>
    <w:p>
      <w:pPr>
        <w:pStyle w:val="H2"/>
        <w:numPr>
          <w:ilvl w:val="1"/>
          <w:numId w:val="1"/>
        </w:numPr>
      </w:pPr>
      <w:r>
        <w:t>Executive Summary</w:t>
      </w:r>
    </w:p>
    <w:p>
      <w:r>
        <w:rPr>
          <w:rFonts w:ascii="Figtree" w:hAnsi="Figtree"/>
          <w:b w:val="0"/>
          <w:i w:val="0"/>
          <w:sz w:val="22"/>
        </w:rPr>
        <w:t>Intesa Sanpaolo is not buying a pilot stack; it is buying an operating capability for digital bonds platform that must survive architecture review, operational risk review, compliance challenge, and production support handover. For that reason, the response throughout this section assumes that DALP is introduced as a governed platform component with clear ownership boundaries, explicit approvals, and deterministic exports into the surrounding bank estate rather than as an isolated innovation sandbox. The practical design principle is configuration before customization: policy, product parameters, participant roles, and lifecycle states are expressed in managed configurations so that Intesa Sanpaolo can scale new products, legal entities, and corridors without rebuilding the control model each time.</w:t>
      </w:r>
    </w:p>
    <w:p>
      <w:r>
        <w:rPr>
          <w:rFonts w:ascii="Figtree" w:hAnsi="Figtree"/>
          <w:b w:val="0"/>
          <w:i w:val="0"/>
          <w:sz w:val="22"/>
        </w:rPr>
        <w:t>The relevant regulatory backdrop is MiCA, MiFID II, Italian securities and banking law, CONSOB and Bank of Italy expectations, DORA, and GDPR. DALP supports these obligations through configurable workflow gates, audit logs, entitlements, approval chains, API-led integration, and exportable evidence packs; where a requirement depends on external market infrastructure, local legal advice, or a customer-selected service provider, we say so explicitly and treat it as a dependency rather than folding it into an unsupported platform claim. That distinction matters for Intesa Sanpaolo because procurement and control teams need to separate core platform capability from implementation work and from third-party services at contract stage, not discover those distinctions during UAT.</w:t>
      </w:r>
    </w:p>
    <w:p>
      <w:r>
        <w:rPr>
          <w:rFonts w:ascii="Figtree" w:hAnsi="Figtree"/>
          <w:b w:val="0"/>
          <w:i w:val="0"/>
          <w:sz w:val="22"/>
        </w:rPr>
        <w:t>In programme thesis, the emphasis is anchoring the response in buyer-owned governance, realistic rollout sequencing, and explicit control responsibilities. We therefore describe not only the happy path but also queue states, dual control, exception routing, evidence retention, and rollback options, because those are the areas where institutional programmes usually fail when digital-asset proposals are written only from a product-marketing perspective. The architecture described here aims to let Intesa Sanpaolo keep supervisory accountability, data ownership, and operational authority while using DALP as the configurable execution and policy layer underneath the target workflow.</w:t>
      </w:r>
    </w:p>
    <w:p>
      <w:r>
        <w:rPr>
          <w:rFonts w:ascii="Figtree" w:hAnsi="Figtree"/>
          <w:b w:val="0"/>
          <w:i w:val="0"/>
          <w:sz w:val="22"/>
        </w:rPr>
        <w:t>The central recommendation for Intesa Sanpaolo is to adopt DALP as the configuration-led lifecycle, policy, and integration orchestration layer for digital bonds platform. This means the bank retains authority over product approval, legal interpretation, participant onboarding policy, and production release gates, while DALP handles the repeatable machinery of workflow states, asset rules, role enforcement, event emission, and evidence generation. That operating split aligns well with how Intesa Sanpaolo already governs material technology changes: central architecture and control teams set the rules; platform configuration operationalizes them consistently.</w:t>
      </w:r>
    </w:p>
    <w:p>
      <w:r>
        <w:rPr>
          <w:rFonts w:ascii="Figtree" w:hAnsi="Figtree"/>
          <w:b w:val="0"/>
          <w:i w:val="0"/>
          <w:sz w:val="22"/>
        </w:rPr>
        <w:t>A strong institutional response has to be honest about what is native, what is configurable, and what sits in implementation scope. DALP natively supports configurable token and workflow models, maker-checker approvals, audit trails, multi-environment deployments, API-led integration, and supervisory evidence packaging. Connectivity to specific market infrastructures, ESG data providers, payment rails, custodians, or registry operators is supported through bank-approved integration patterns and partner workstreams rather than claimed as universal hard-wired functionality.</w:t>
      </w:r>
    </w:p>
    <w:p>
      <w:pPr>
        <w:jc w:val="center"/>
      </w:pPr>
      <w:r>
        <w:drawing>
          <wp:inline xmlns:a="http://schemas.openxmlformats.org/drawingml/2006/main" xmlns:pic="http://schemas.openxmlformats.org/drawingml/2006/picture">
            <wp:extent cx="2628900" cy="5086350"/>
            <wp:docPr id="1" name="Picture 1"/>
            <wp:cNvGraphicFramePr>
              <a:graphicFrameLocks noChangeAspect="1"/>
            </wp:cNvGraphicFramePr>
            <a:graphic>
              <a:graphicData uri="http://schemas.openxmlformats.org/drawingml/2006/picture">
                <pic:pic>
                  <pic:nvPicPr>
                    <pic:cNvPr id="0" name="_diagram-001.png"/>
                    <pic:cNvPicPr/>
                  </pic:nvPicPr>
                  <pic:blipFill>
                    <a:blip r:embed="rId13"/>
                    <a:stretch>
                      <a:fillRect/>
                    </a:stretch>
                  </pic:blipFill>
                  <pic:spPr>
                    <a:xfrm>
                      <a:off x="0" y="0"/>
                      <a:ext cx="2628900" cy="5086350"/>
                    </a:xfrm>
                    <a:prstGeom prst="rect"/>
                  </pic:spPr>
                </pic:pic>
              </a:graphicData>
            </a:graphic>
          </wp:inline>
        </w:drawing>
      </w:r>
    </w:p>
    <w:p>
      <w:pPr>
        <w:pStyle w:val="H2"/>
        <w:numPr>
          <w:ilvl w:val="1"/>
          <w:numId w:val="1"/>
        </w:numPr>
      </w:pPr>
      <w:r>
        <w:t>Understanding the Institution Operating Model</w:t>
      </w:r>
    </w:p>
    <w:p>
      <w:r>
        <w:rPr>
          <w:rFonts w:ascii="Figtree" w:hAnsi="Figtree"/>
          <w:b w:val="0"/>
          <w:i w:val="0"/>
          <w:sz w:val="22"/>
        </w:rPr>
        <w:t>Intesa Sanpaolo is not buying a pilot stack; it is buying an operating capability for digital bonds platform that must survive architecture review, operational risk review, compliance challenge, and production support handover. For that reason, the response throughout this section assumes that DALP is introduced as a governed platform component with clear ownership boundaries, explicit approvals, and deterministic exports into the surrounding bank estate rather than as an isolated innovation sandbox. The practical design principle is configuration before customization: policy, product parameters, participant roles, and lifecycle states are expressed in managed configurations so that Intesa Sanpaolo can scale new products, legal entities, and corridors without rebuilding the control model each time.</w:t>
      </w:r>
    </w:p>
    <w:p>
      <w:r>
        <w:rPr>
          <w:rFonts w:ascii="Figtree" w:hAnsi="Figtree"/>
          <w:b w:val="0"/>
          <w:i w:val="0"/>
          <w:sz w:val="22"/>
        </w:rPr>
        <w:t>The relevant regulatory backdrop is MiCA, MiFID II, Italian securities and banking law, CONSOB and Bank of Italy expectations, DORA, and GDPR. DALP supports these obligations through configurable workflow gates, audit logs, entitlements, approval chains, API-led integration, and exportable evidence packs; where a requirement depends on external market infrastructure, local legal advice, or a customer-selected service provider, we say so explicitly and treat it as a dependency rather than folding it into an unsupported platform claim. That distinction matters for Intesa Sanpaolo because procurement and control teams need to separate core platform capability from implementation work and from third-party services at contract stage, not discover those distinctions during UAT.</w:t>
      </w:r>
    </w:p>
    <w:p>
      <w:r>
        <w:rPr>
          <w:rFonts w:ascii="Figtree" w:hAnsi="Figtree"/>
          <w:b w:val="0"/>
          <w:i w:val="0"/>
          <w:sz w:val="22"/>
        </w:rPr>
        <w:t>In buyer objectives and constraints, the emphasis is translating the rfp from feature requests into an operating model that can be owned by treasury, operations, compliance, and architecture teams together. We therefore describe not only the happy path but also queue states, dual control, exception routing, evidence retention, and rollback options, because those are the areas where institutional programmes usually fail when digital-asset proposals are written only from a product-marketing perspective. The architecture described here aims to let Intesa Sanpaolo keep supervisory accountability, data ownership, and operational authority while using DALP as the configurable execution and policy layer underneath the target workflow.</w:t>
      </w:r>
    </w:p>
    <w:p>
      <w:r>
        <w:rPr>
          <w:rFonts w:ascii="Figtree" w:hAnsi="Figtree"/>
          <w:b w:val="0"/>
          <w:i w:val="0"/>
          <w:sz w:val="22"/>
        </w:rPr>
        <w:t>The RFP makes clear that Intesa Sanpaolo wants a reusable platform, not a one-deal delivery. That is why the proposed model emphasizes reusable product templates, parameterized lifecycle events, policy binding, and audit-friendly exports. For Intesa Sanpaolo, the economic value of the programme comes from reducing repeated project friction across new products and entities, not from proving that one isolated transaction can be put on a ledger.</w:t>
      </w:r>
    </w:p>
    <w:p>
      <w:r>
        <w:rPr>
          <w:rFonts w:ascii="Figtree" w:hAnsi="Figtree"/>
          <w:b w:val="0"/>
          <w:i w:val="0"/>
          <w:sz w:val="22"/>
        </w:rPr>
        <w:t>The in-scope use cases we treat as primary are digital bond issuance, retail and corporate distribution controls, cash-leg and settlement orchestration, and servicing, coupon, and maturity events. These workflows all require different front-office narratives, but they share the same control skeleton: product configuration, participant policy, approvals, execution, exception handling, reporting, and archive. That shared skeleton is the reason a platform approach is more robust than a set of bespoke point solutions.</w:t>
      </w:r>
    </w:p>
    <w:p>
      <w:pPr>
        <w:jc w:val="center"/>
      </w:pPr>
      <w:r>
        <w:drawing>
          <wp:inline xmlns:a="http://schemas.openxmlformats.org/drawingml/2006/main" xmlns:pic="http://schemas.openxmlformats.org/drawingml/2006/picture">
            <wp:extent cx="5486400" cy="279918"/>
            <wp:docPr id="2" name="Picture 2"/>
            <wp:cNvGraphicFramePr>
              <a:graphicFrameLocks noChangeAspect="1"/>
            </wp:cNvGraphicFramePr>
            <a:graphic>
              <a:graphicData uri="http://schemas.openxmlformats.org/drawingml/2006/picture">
                <pic:pic>
                  <pic:nvPicPr>
                    <pic:cNvPr id="0" name="_diagram-002.png"/>
                    <pic:cNvPicPr/>
                  </pic:nvPicPr>
                  <pic:blipFill>
                    <a:blip r:embed="rId14"/>
                    <a:stretch>
                      <a:fillRect/>
                    </a:stretch>
                  </pic:blipFill>
                  <pic:spPr>
                    <a:xfrm>
                      <a:off x="0" y="0"/>
                      <a:ext cx="5486400" cy="279918"/>
                    </a:xfrm>
                    <a:prstGeom prst="rect"/>
                  </pic:spPr>
                </pic:pic>
              </a:graphicData>
            </a:graphic>
          </wp:inline>
        </w:drawing>
      </w:r>
    </w:p>
    <w:p>
      <w:pPr>
        <w:pStyle w:val="H2"/>
        <w:numPr>
          <w:ilvl w:val="1"/>
          <w:numId w:val="1"/>
        </w:numPr>
      </w:pPr>
      <w:r>
        <w:t>Proposed DALP Operating Model</w:t>
      </w:r>
    </w:p>
    <w:p>
      <w:r>
        <w:rPr>
          <w:rFonts w:ascii="Figtree" w:hAnsi="Figtree"/>
          <w:b w:val="0"/>
          <w:i w:val="0"/>
          <w:sz w:val="22"/>
        </w:rPr>
        <w:t>Intesa Sanpaolo is not buying a pilot stack; it is buying an operating capability for digital bonds platform that must survive architecture review, operational risk review, compliance challenge, and production support handover. For that reason, the response throughout this section assumes that DALP is introduced as a governed platform component with clear ownership boundaries, explicit approvals, and deterministic exports into the surrounding bank estate rather than as an isolated innovation sandbox. The practical design principle is configuration before customization: policy, product parameters, participant roles, and lifecycle states are expressed in managed configurations so that Intesa Sanpaolo can scale new products, legal entities, and corridors without rebuilding the control model each time.</w:t>
      </w:r>
    </w:p>
    <w:p>
      <w:r>
        <w:rPr>
          <w:rFonts w:ascii="Figtree" w:hAnsi="Figtree"/>
          <w:b w:val="0"/>
          <w:i w:val="0"/>
          <w:sz w:val="22"/>
        </w:rPr>
        <w:t>The relevant regulatory backdrop is MiCA, MiFID II, Italian securities and banking law, CONSOB and Bank of Italy expectations, DORA, and GDPR. DALP supports these obligations through configurable workflow gates, audit logs, entitlements, approval chains, API-led integration, and exportable evidence packs; where a requirement depends on external market infrastructure, local legal advice, or a customer-selected service provider, we say so explicitly and treat it as a dependency rather than folding it into an unsupported platform claim. That distinction matters for Intesa Sanpaolo because procurement and control teams need to separate core platform capability from implementation work and from third-party services at contract stage, not discover those distinctions during UAT.</w:t>
      </w:r>
    </w:p>
    <w:p>
      <w:r>
        <w:rPr>
          <w:rFonts w:ascii="Figtree" w:hAnsi="Figtree"/>
          <w:b w:val="0"/>
          <w:i w:val="0"/>
          <w:sz w:val="22"/>
        </w:rPr>
        <w:t>In configuration-led delivery, the emphasis is using parameterized assets and workflow components so future variants can be introduced without redesigning the governance layer. We therefore describe not only the happy path but also queue states, dual control, exception routing, evidence retention, and rollback options, because those are the areas where institutional programmes usually fail when digital-asset proposals are written only from a product-marketing perspective. The architecture described here aims to let Intesa Sanpaolo keep supervisory accountability, data ownership, and operational authority while using DALP as the configurable execution and policy layer underneath the target workflow.</w:t>
      </w:r>
    </w:p>
    <w:p>
      <w:r>
        <w:rPr>
          <w:rFonts w:ascii="Figtree" w:hAnsi="Figtree"/>
          <w:b w:val="0"/>
          <w:i w:val="0"/>
          <w:sz w:val="22"/>
        </w:rPr>
        <w:t>At the core of the response is a configurable asset and workflow model. Product teams define the business parameters, compliance teams define the policy overlays, operations teams define approval and servicing patterns, and platform administrators publish those configurations through governed release workflows. This design avoids embedding business change into source-code changes for each standard variation while preserving a documented change trail.</w:t>
      </w:r>
    </w:p>
    <w:p>
      <w:r>
        <w:rPr>
          <w:rFonts w:ascii="Figtree" w:hAnsi="Figtree"/>
          <w:b w:val="0"/>
          <w:i w:val="0"/>
          <w:sz w:val="22"/>
        </w:rPr>
        <w:t>For Intesa Sanpaolo, that configuration-led model supports phased rollout. The bank can start with a contained product perimeter, prove operational fitness, and then add adjacent variants, new approval groups, or new participant types using the same control plane. The benefit is less architectural sprawl, clearer accountability, and faster audit review because the platform semantics stay consistent across deployments.</w:t>
      </w:r>
    </w:p>
    <w:p>
      <w:pPr>
        <w:jc w:val="center"/>
      </w:pPr>
      <w:r>
        <w:drawing>
          <wp:inline xmlns:a="http://schemas.openxmlformats.org/drawingml/2006/main" xmlns:pic="http://schemas.openxmlformats.org/drawingml/2006/picture">
            <wp:extent cx="5486400" cy="1336610"/>
            <wp:docPr id="3" name="Picture 3"/>
            <wp:cNvGraphicFramePr>
              <a:graphicFrameLocks noChangeAspect="1"/>
            </wp:cNvGraphicFramePr>
            <a:graphic>
              <a:graphicData uri="http://schemas.openxmlformats.org/drawingml/2006/picture">
                <pic:pic>
                  <pic:nvPicPr>
                    <pic:cNvPr id="0" name="_diagram-003.png"/>
                    <pic:cNvPicPr/>
                  </pic:nvPicPr>
                  <pic:blipFill>
                    <a:blip r:embed="rId15"/>
                    <a:stretch>
                      <a:fillRect/>
                    </a:stretch>
                  </pic:blipFill>
                  <pic:spPr>
                    <a:xfrm>
                      <a:off x="0" y="0"/>
                      <a:ext cx="5486400" cy="1336610"/>
                    </a:xfrm>
                    <a:prstGeom prst="rect"/>
                  </pic:spPr>
                </pic:pic>
              </a:graphicData>
            </a:graphic>
          </wp:inline>
        </w:drawing>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2026"/>
        <w:gridCol w:w="1544"/>
        <w:gridCol w:w="5501"/>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Requirement theme</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Position</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Response</w:t>
            </w:r>
          </w:p>
        </w:tc>
      </w:tr>
      <w:tr>
        <w:trPr>
          <w:trHeight w:val="425" w:hRule="atLeast"/>
        </w:trPr>
        <w:tc>
          <w:tcPr>
            <w:tcW w:type="dxa" w:w="3249"/>
            <w:vAlign w:val="center"/>
          </w:tcPr>
          <w:p>
            <w:pPr>
              <w:spacing w:line="276" w:lineRule="auto" w:before="0" w:after="0"/>
            </w:pPr>
            <w:r/>
            <w:r>
              <w:rPr>
                <w:rFonts w:ascii="Figtree" w:hAnsi="Figtree"/>
                <w:b w:val="0"/>
                <w:i w:val="0"/>
                <w:sz w:val="20"/>
              </w:rPr>
              <w:t>Lifecycle control</w:t>
            </w:r>
          </w:p>
        </w:tc>
        <w:tc>
          <w:tcPr>
            <w:tcW w:type="dxa" w:w="3249"/>
            <w:vAlign w:val="center"/>
          </w:tcPr>
          <w:p>
            <w:pPr>
              <w:spacing w:line="276" w:lineRule="auto" w:before="0" w:after="0"/>
            </w:pPr>
            <w:r/>
            <w:r>
              <w:rPr>
                <w:rFonts w:ascii="Figtree" w:hAnsi="Figtree"/>
                <w:b w:val="0"/>
                <w:i w:val="0"/>
                <w:sz w:val="20"/>
              </w:rPr>
              <w:t>Supported</w:t>
            </w:r>
          </w:p>
        </w:tc>
        <w:tc>
          <w:tcPr>
            <w:tcW w:type="dxa" w:w="3249"/>
            <w:vAlign w:val="center"/>
          </w:tcPr>
          <w:p>
            <w:pPr>
              <w:spacing w:line="276" w:lineRule="auto" w:before="0" w:after="0"/>
            </w:pPr>
            <w:r/>
            <w:r>
              <w:rPr>
                <w:rFonts w:ascii="Figtree" w:hAnsi="Figtree"/>
                <w:b w:val="0"/>
                <w:i w:val="0"/>
                <w:sz w:val="20"/>
              </w:rPr>
              <w:t>Configurable asset templates, approval states, servicing events, archive and redemption flows.</w:t>
            </w:r>
          </w:p>
        </w:tc>
      </w:tr>
      <w:tr>
        <w:trPr>
          <w:trHeight w:val="425" w:hRule="atLeast"/>
        </w:trPr>
        <w:tc>
          <w:tcPr>
            <w:tcW w:type="dxa" w:w="3249"/>
            <w:vAlign w:val="center"/>
          </w:tcPr>
          <w:p>
            <w:pPr>
              <w:spacing w:line="276" w:lineRule="auto" w:before="0" w:after="0"/>
            </w:pPr>
            <w:r/>
            <w:r>
              <w:rPr>
                <w:rFonts w:ascii="Figtree" w:hAnsi="Figtree"/>
                <w:b w:val="0"/>
                <w:i w:val="0"/>
                <w:sz w:val="20"/>
              </w:rPr>
              <w:t>Enterprise integration</w:t>
            </w:r>
          </w:p>
        </w:tc>
        <w:tc>
          <w:tcPr>
            <w:tcW w:type="dxa" w:w="3249"/>
            <w:vAlign w:val="center"/>
          </w:tcPr>
          <w:p>
            <w:pPr>
              <w:spacing w:line="276" w:lineRule="auto" w:before="0" w:after="0"/>
            </w:pPr>
            <w:r/>
            <w:r>
              <w:rPr>
                <w:rFonts w:ascii="Figtree" w:hAnsi="Figtree"/>
                <w:b w:val="0"/>
                <w:i w:val="0"/>
                <w:sz w:val="20"/>
              </w:rPr>
              <w:t>Supported</w:t>
            </w:r>
          </w:p>
        </w:tc>
        <w:tc>
          <w:tcPr>
            <w:tcW w:type="dxa" w:w="3249"/>
            <w:vAlign w:val="center"/>
          </w:tcPr>
          <w:p>
            <w:pPr>
              <w:spacing w:line="276" w:lineRule="auto" w:before="0" w:after="0"/>
            </w:pPr>
            <w:r/>
            <w:r>
              <w:rPr>
                <w:rFonts w:ascii="Figtree" w:hAnsi="Figtree"/>
                <w:b w:val="0"/>
                <w:i w:val="0"/>
                <w:sz w:val="20"/>
              </w:rPr>
              <w:t>REST APIs, events, and export patterns for bank systems; market-infrastructure adapters remain implementation scope.</w:t>
            </w:r>
          </w:p>
        </w:tc>
      </w:tr>
      <w:tr>
        <w:trPr>
          <w:trHeight w:val="425" w:hRule="atLeast"/>
        </w:trPr>
        <w:tc>
          <w:tcPr>
            <w:tcW w:type="dxa" w:w="3249"/>
            <w:vAlign w:val="center"/>
          </w:tcPr>
          <w:p>
            <w:pPr>
              <w:spacing w:line="276" w:lineRule="auto" w:before="0" w:after="0"/>
            </w:pPr>
            <w:r/>
            <w:r>
              <w:rPr>
                <w:rFonts w:ascii="Figtree" w:hAnsi="Figtree"/>
                <w:b w:val="0"/>
                <w:i w:val="0"/>
                <w:sz w:val="20"/>
              </w:rPr>
              <w:t>Role segregation</w:t>
            </w:r>
          </w:p>
        </w:tc>
        <w:tc>
          <w:tcPr>
            <w:tcW w:type="dxa" w:w="3249"/>
            <w:vAlign w:val="center"/>
          </w:tcPr>
          <w:p>
            <w:pPr>
              <w:spacing w:line="276" w:lineRule="auto" w:before="0" w:after="0"/>
            </w:pPr>
            <w:r/>
            <w:r>
              <w:rPr>
                <w:rFonts w:ascii="Figtree" w:hAnsi="Figtree"/>
                <w:b w:val="0"/>
                <w:i w:val="0"/>
                <w:sz w:val="20"/>
              </w:rPr>
              <w:t>Supported</w:t>
            </w:r>
          </w:p>
        </w:tc>
        <w:tc>
          <w:tcPr>
            <w:tcW w:type="dxa" w:w="3249"/>
            <w:vAlign w:val="center"/>
          </w:tcPr>
          <w:p>
            <w:pPr>
              <w:spacing w:line="276" w:lineRule="auto" w:before="0" w:after="0"/>
            </w:pPr>
            <w:r/>
            <w:r>
              <w:rPr>
                <w:rFonts w:ascii="Figtree" w:hAnsi="Figtree"/>
                <w:b w:val="0"/>
                <w:i w:val="0"/>
                <w:sz w:val="20"/>
              </w:rPr>
              <w:t>RBAC, maker-checker, environment separation, and auditable admin events.</w:t>
            </w:r>
          </w:p>
        </w:tc>
      </w:tr>
      <w:tr>
        <w:trPr>
          <w:trHeight w:val="425" w:hRule="atLeast"/>
        </w:trPr>
        <w:tc>
          <w:tcPr>
            <w:tcW w:type="dxa" w:w="3249"/>
            <w:vAlign w:val="center"/>
          </w:tcPr>
          <w:p>
            <w:pPr>
              <w:spacing w:line="276" w:lineRule="auto" w:before="0" w:after="0"/>
            </w:pPr>
            <w:r/>
            <w:r>
              <w:rPr>
                <w:rFonts w:ascii="Figtree" w:hAnsi="Figtree"/>
                <w:b w:val="0"/>
                <w:i w:val="0"/>
                <w:sz w:val="20"/>
              </w:rPr>
              <w:t>Evidence generation</w:t>
            </w:r>
          </w:p>
        </w:tc>
        <w:tc>
          <w:tcPr>
            <w:tcW w:type="dxa" w:w="3249"/>
            <w:vAlign w:val="center"/>
          </w:tcPr>
          <w:p>
            <w:pPr>
              <w:spacing w:line="276" w:lineRule="auto" w:before="0" w:after="0"/>
            </w:pPr>
            <w:r/>
            <w:r>
              <w:rPr>
                <w:rFonts w:ascii="Figtree" w:hAnsi="Figtree"/>
                <w:b w:val="0"/>
                <w:i w:val="0"/>
                <w:sz w:val="20"/>
              </w:rPr>
              <w:t>Supported</w:t>
            </w:r>
          </w:p>
        </w:tc>
        <w:tc>
          <w:tcPr>
            <w:tcW w:type="dxa" w:w="3249"/>
            <w:vAlign w:val="center"/>
          </w:tcPr>
          <w:p>
            <w:pPr>
              <w:spacing w:line="276" w:lineRule="auto" w:before="0" w:after="0"/>
            </w:pPr>
            <w:r/>
            <w:r>
              <w:rPr>
                <w:rFonts w:ascii="Figtree" w:hAnsi="Figtree"/>
                <w:b w:val="0"/>
                <w:i w:val="0"/>
                <w:sz w:val="20"/>
              </w:rPr>
              <w:t>Audit logs, export packages, dashboards, and regulator-ready extracts.</w:t>
            </w:r>
          </w:p>
        </w:tc>
      </w:tr>
      <w:tr>
        <w:trPr>
          <w:trHeight w:val="425" w:hRule="atLeast"/>
        </w:trPr>
        <w:tc>
          <w:tcPr>
            <w:tcW w:type="dxa" w:w="3249"/>
            <w:vAlign w:val="center"/>
          </w:tcPr>
          <w:p>
            <w:pPr>
              <w:spacing w:line="276" w:lineRule="auto" w:before="0" w:after="0"/>
            </w:pPr>
            <w:r/>
            <w:r>
              <w:rPr>
                <w:rFonts w:ascii="Figtree" w:hAnsi="Figtree"/>
                <w:b w:val="0"/>
                <w:i w:val="0"/>
                <w:sz w:val="20"/>
              </w:rPr>
              <w:t>Jurisdiction-specific legal interpretation</w:t>
            </w:r>
          </w:p>
        </w:tc>
        <w:tc>
          <w:tcPr>
            <w:tcW w:type="dxa" w:w="3249"/>
            <w:vAlign w:val="center"/>
          </w:tcPr>
          <w:p>
            <w:pPr>
              <w:spacing w:line="276" w:lineRule="auto" w:before="0" w:after="0"/>
            </w:pPr>
            <w:r/>
            <w:r>
              <w:rPr>
                <w:rFonts w:ascii="Figtree" w:hAnsi="Figtree"/>
                <w:b w:val="0"/>
                <w:i w:val="0"/>
                <w:sz w:val="20"/>
              </w:rPr>
              <w:t>Buyer owned with partner support</w:t>
            </w:r>
          </w:p>
        </w:tc>
        <w:tc>
          <w:tcPr>
            <w:tcW w:type="dxa" w:w="3249"/>
            <w:vAlign w:val="center"/>
          </w:tcPr>
          <w:p>
            <w:pPr>
              <w:spacing w:line="276" w:lineRule="auto" w:before="0" w:after="0"/>
            </w:pPr>
            <w:r/>
            <w:r>
              <w:rPr>
                <w:rFonts w:ascii="Figtree" w:hAnsi="Figtree"/>
                <w:b w:val="0"/>
                <w:i w:val="0"/>
                <w:sz w:val="20"/>
              </w:rPr>
              <w:t>Implemented as configurable policy and documentation workstream, not a hard-coded legal engine.</w:t>
            </w:r>
          </w:p>
        </w:tc>
      </w:tr>
      <w:tr>
        <w:trPr>
          <w:trHeight w:val="425" w:hRule="atLeast"/>
        </w:trPr>
        <w:tc>
          <w:tcPr>
            <w:tcW w:type="dxa" w:w="3249"/>
            <w:vAlign w:val="center"/>
          </w:tcPr>
          <w:p>
            <w:pPr>
              <w:spacing w:line="276" w:lineRule="auto" w:before="0" w:after="0"/>
            </w:pPr>
            <w:r/>
            <w:r>
              <w:rPr>
                <w:rFonts w:ascii="Figtree" w:hAnsi="Figtree"/>
                <w:b w:val="0"/>
                <w:i w:val="0"/>
                <w:sz w:val="20"/>
              </w:rPr>
              <w:t>Third-party connectivity</w:t>
            </w:r>
          </w:p>
        </w:tc>
        <w:tc>
          <w:tcPr>
            <w:tcW w:type="dxa" w:w="3249"/>
            <w:vAlign w:val="center"/>
          </w:tcPr>
          <w:p>
            <w:pPr>
              <w:spacing w:line="276" w:lineRule="auto" w:before="0" w:after="0"/>
            </w:pPr>
            <w:r/>
            <w:r>
              <w:rPr>
                <w:rFonts w:ascii="Figtree" w:hAnsi="Figtree"/>
                <w:b w:val="0"/>
                <w:i w:val="0"/>
                <w:sz w:val="20"/>
              </w:rPr>
              <w:t>Supported via integration</w:t>
            </w:r>
          </w:p>
        </w:tc>
        <w:tc>
          <w:tcPr>
            <w:tcW w:type="dxa" w:w="3249"/>
            <w:vAlign w:val="center"/>
          </w:tcPr>
          <w:p>
            <w:pPr>
              <w:spacing w:line="276" w:lineRule="auto" w:before="0" w:after="0"/>
            </w:pPr>
            <w:r/>
            <w:r>
              <w:rPr>
                <w:rFonts w:ascii="Figtree" w:hAnsi="Figtree"/>
                <w:b w:val="0"/>
                <w:i w:val="0"/>
                <w:sz w:val="20"/>
              </w:rPr>
              <w:t>Custody, messaging, ESG, payment, registry, and identity providers connected through approved interfaces.</w:t>
            </w:r>
          </w:p>
        </w:tc>
      </w:tr>
    </w:tbl>
    <w:p>
      <w:pPr>
        <w:spacing w:before="0" w:after="0" w:line="120" w:lineRule="exact"/>
      </w:pPr>
    </w:p>
    <w:p>
      <w:pPr>
        <w:pStyle w:val="H2"/>
        <w:numPr>
          <w:ilvl w:val="1"/>
          <w:numId w:val="1"/>
        </w:numPr>
      </w:pPr>
      <w:r>
        <w:t>Target Business Workflows</w:t>
      </w:r>
    </w:p>
    <w:p>
      <w:r>
        <w:rPr>
          <w:rFonts w:ascii="Figtree" w:hAnsi="Figtree"/>
          <w:b w:val="0"/>
          <w:i w:val="0"/>
          <w:sz w:val="22"/>
        </w:rPr>
        <w:t>Intesa Sanpaolo is not buying a pilot stack; it is buying an operating capability for digital bonds platform that must survive architecture review, operational risk review, compliance challenge, and production support handover. For that reason, the response throughout this section assumes that DALP is introduced as a governed platform component with clear ownership boundaries, explicit approvals, and deterministic exports into the surrounding bank estate rather than as an isolated innovation sandbox. The practical design principle is configuration before customization: policy, product parameters, participant roles, and lifecycle states are expressed in managed configurations so that Intesa Sanpaolo can scale new products, legal entities, and corridors without rebuilding the control model each time.</w:t>
      </w:r>
    </w:p>
    <w:p>
      <w:r>
        <w:rPr>
          <w:rFonts w:ascii="Figtree" w:hAnsi="Figtree"/>
          <w:b w:val="0"/>
          <w:i w:val="0"/>
          <w:sz w:val="22"/>
        </w:rPr>
        <w:t>The relevant regulatory backdrop is MiCA, MiFID II, Italian securities and banking law, CONSOB and Bank of Italy expectations, DORA, and GDPR. DALP supports these obligations through configurable workflow gates, audit logs, entitlements, approval chains, API-led integration, and exportable evidence packs; where a requirement depends on external market infrastructure, local legal advice, or a customer-selected service provider, we say so explicitly and treat it as a dependency rather than folding it into an unsupported platform claim. That distinction matters for Intesa Sanpaolo because procurement and control teams need to separate core platform capability from implementation work and from third-party services at contract stage, not discover those distinctions during UAT.</w:t>
      </w:r>
    </w:p>
    <w:p>
      <w:r>
        <w:rPr>
          <w:rFonts w:ascii="Figtree" w:hAnsi="Figtree"/>
          <w:b w:val="0"/>
          <w:i w:val="0"/>
          <w:sz w:val="22"/>
        </w:rPr>
        <w:t>In lifecycle coverage, the emphasis is showing how dalp supports day-to-day operations rather than only product setup. We therefore describe not only the happy path but also queue states, dual control, exception routing, evidence retention, and rollback options, because those are the areas where institutional programmes usually fail when digital-asset proposals are written only from a product-marketing perspective. The architecture described here aims to let Intesa Sanpaolo keep supervisory accountability, data ownership, and operational authority while using DALP as the configurable execution and policy layer underneath the target workflow.</w:t>
      </w:r>
    </w:p>
    <w:p>
      <w:r>
        <w:rPr>
          <w:rFonts w:ascii="Figtree" w:hAnsi="Figtree"/>
          <w:b w:val="0"/>
          <w:i w:val="0"/>
          <w:sz w:val="22"/>
        </w:rPr>
        <w:t>Lifecycle completeness matters more than demo polish. Institutional programmes fail when setup is elegant but servicing, exception handling, and reporting remain manual. The proposed design for Intesa Sanpaolo therefore treats lifecycle stages as first-class operational states with approvals, timers, ownership, and downstream evidence generation attached to each state.</w:t>
      </w:r>
    </w:p>
    <w:p>
      <w:r>
        <w:rPr>
          <w:rFonts w:ascii="Figtree" w:hAnsi="Figtree"/>
          <w:b w:val="0"/>
          <w:i w:val="0"/>
          <w:sz w:val="22"/>
        </w:rPr>
        <w:t>Every state transition generates an auditable event and a clear operational ownership boundary. If an instruction is blocked by policy, if a transfer is pending an external acknowledgement, or if a servicing event requires dual approval, those states remain visible to bank operators through dashboard and export patterns instead of being hidden inside smart-contract internals. This is crucial for operational resilience because supervisors do not accept 'the chain says it happened' as a substitute for reconstructable institutional evidence.</w:t>
      </w:r>
    </w:p>
    <w:p>
      <w:pPr>
        <w:jc w:val="center"/>
      </w:pPr>
      <w:r>
        <w:drawing>
          <wp:inline xmlns:a="http://schemas.openxmlformats.org/drawingml/2006/main" xmlns:pic="http://schemas.openxmlformats.org/drawingml/2006/picture">
            <wp:extent cx="2114550" cy="6686550"/>
            <wp:docPr id="4" name="Picture 4"/>
            <wp:cNvGraphicFramePr>
              <a:graphicFrameLocks noChangeAspect="1"/>
            </wp:cNvGraphicFramePr>
            <a:graphic>
              <a:graphicData uri="http://schemas.openxmlformats.org/drawingml/2006/picture">
                <pic:pic>
                  <pic:nvPicPr>
                    <pic:cNvPr id="0" name="_diagram-004.png"/>
                    <pic:cNvPicPr/>
                  </pic:nvPicPr>
                  <pic:blipFill>
                    <a:blip r:embed="rId16"/>
                    <a:stretch>
                      <a:fillRect/>
                    </a:stretch>
                  </pic:blipFill>
                  <pic:spPr>
                    <a:xfrm>
                      <a:off x="0" y="0"/>
                      <a:ext cx="2114550" cy="6686550"/>
                    </a:xfrm>
                    <a:prstGeom prst="rect"/>
                  </pic:spPr>
                </pic:pic>
              </a:graphicData>
            </a:graphic>
          </wp:inline>
        </w:drawing>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992"/>
        <w:gridCol w:w="2693"/>
        <w:gridCol w:w="2787"/>
        <w:gridCol w:w="2598"/>
      </w:tblGrid>
      <w:tr>
        <w:trPr>
          <w:trHeight w:val="425" w:hRule="atLeast"/>
        </w:trPr>
        <w:tc>
          <w:tcPr>
            <w:tcW w:type="dxa" w:w="2436"/>
            <w:vAlign w:val="center"/>
            <w:shd w:fill="E8E0F0" w:val="clear"/>
          </w:tcPr>
          <w:p>
            <w:pPr>
              <w:spacing w:line="276" w:lineRule="auto" w:before="0" w:after="0"/>
              <w:jc w:val="left"/>
            </w:pPr>
            <w:r>
              <w:rPr>
                <w:b/>
                <w:color w:val="2D1A8C"/>
              </w:rPr>
            </w:r>
            <w:r>
              <w:rPr>
                <w:rFonts w:ascii="Figtree" w:hAnsi="Figtree"/>
                <w:b/>
                <w:i w:val="0"/>
                <w:color w:val="2D1A8C"/>
                <w:sz w:val="20"/>
              </w:rPr>
              <w:t>Workflow stage</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Operational outcome</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Platform role</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Buyer-owned activity</w:t>
            </w:r>
          </w:p>
        </w:tc>
      </w:tr>
      <w:tr>
        <w:trPr>
          <w:trHeight w:val="425" w:hRule="atLeast"/>
        </w:trPr>
        <w:tc>
          <w:tcPr>
            <w:tcW w:type="dxa" w:w="2436"/>
            <w:vAlign w:val="center"/>
          </w:tcPr>
          <w:p>
            <w:pPr>
              <w:spacing w:line="276" w:lineRule="auto" w:before="0" w:after="0"/>
            </w:pPr>
            <w:r/>
            <w:r>
              <w:rPr>
                <w:rFonts w:ascii="Figtree" w:hAnsi="Figtree"/>
                <w:b w:val="0"/>
                <w:i w:val="0"/>
                <w:sz w:val="20"/>
              </w:rPr>
              <w:t>Product setup</w:t>
            </w:r>
          </w:p>
        </w:tc>
        <w:tc>
          <w:tcPr>
            <w:tcW w:type="dxa" w:w="2436"/>
            <w:vAlign w:val="center"/>
          </w:tcPr>
          <w:p>
            <w:pPr>
              <w:spacing w:line="276" w:lineRule="auto" w:before="0" w:after="0"/>
            </w:pPr>
            <w:r/>
            <w:r>
              <w:rPr>
                <w:rFonts w:ascii="Figtree" w:hAnsi="Figtree"/>
                <w:b w:val="0"/>
                <w:i w:val="0"/>
                <w:sz w:val="20"/>
              </w:rPr>
              <w:t>Define the instrument or corridor</w:t>
            </w:r>
          </w:p>
        </w:tc>
        <w:tc>
          <w:tcPr>
            <w:tcW w:type="dxa" w:w="2436"/>
            <w:vAlign w:val="center"/>
          </w:tcPr>
          <w:p>
            <w:pPr>
              <w:spacing w:line="276" w:lineRule="auto" w:before="0" w:after="0"/>
            </w:pPr>
            <w:r/>
            <w:r>
              <w:rPr>
                <w:rFonts w:ascii="Figtree" w:hAnsi="Figtree"/>
                <w:b w:val="0"/>
                <w:i w:val="0"/>
                <w:sz w:val="20"/>
              </w:rPr>
              <w:t>Template selection, parameter validation, approval workflow</w:t>
            </w:r>
          </w:p>
        </w:tc>
        <w:tc>
          <w:tcPr>
            <w:tcW w:type="dxa" w:w="2436"/>
            <w:vAlign w:val="center"/>
          </w:tcPr>
          <w:p>
            <w:pPr>
              <w:spacing w:line="276" w:lineRule="auto" w:before="0" w:after="0"/>
            </w:pPr>
            <w:r/>
            <w:r>
              <w:rPr>
                <w:rFonts w:ascii="Figtree" w:hAnsi="Figtree"/>
                <w:b w:val="0"/>
                <w:i w:val="0"/>
                <w:sz w:val="20"/>
              </w:rPr>
              <w:t>Legal interpretation, commercial approval</w:t>
            </w:r>
          </w:p>
        </w:tc>
      </w:tr>
      <w:tr>
        <w:trPr>
          <w:trHeight w:val="425" w:hRule="atLeast"/>
        </w:trPr>
        <w:tc>
          <w:tcPr>
            <w:tcW w:type="dxa" w:w="2436"/>
            <w:vAlign w:val="center"/>
          </w:tcPr>
          <w:p>
            <w:pPr>
              <w:spacing w:line="276" w:lineRule="auto" w:before="0" w:after="0"/>
            </w:pPr>
            <w:r/>
            <w:r>
              <w:rPr>
                <w:rFonts w:ascii="Figtree" w:hAnsi="Figtree"/>
                <w:b w:val="0"/>
                <w:i w:val="0"/>
                <w:sz w:val="20"/>
              </w:rPr>
              <w:t>Participant readiness</w:t>
            </w:r>
          </w:p>
        </w:tc>
        <w:tc>
          <w:tcPr>
            <w:tcW w:type="dxa" w:w="2436"/>
            <w:vAlign w:val="center"/>
          </w:tcPr>
          <w:p>
            <w:pPr>
              <w:spacing w:line="276" w:lineRule="auto" w:before="0" w:after="0"/>
            </w:pPr>
            <w:r/>
            <w:r>
              <w:rPr>
                <w:rFonts w:ascii="Figtree" w:hAnsi="Figtree"/>
                <w:b w:val="0"/>
                <w:i w:val="0"/>
                <w:sz w:val="20"/>
              </w:rPr>
              <w:t>Establish access and permissions</w:t>
            </w:r>
          </w:p>
        </w:tc>
        <w:tc>
          <w:tcPr>
            <w:tcW w:type="dxa" w:w="2436"/>
            <w:vAlign w:val="center"/>
          </w:tcPr>
          <w:p>
            <w:pPr>
              <w:spacing w:line="276" w:lineRule="auto" w:before="0" w:after="0"/>
            </w:pPr>
            <w:r/>
            <w:r>
              <w:rPr>
                <w:rFonts w:ascii="Figtree" w:hAnsi="Figtree"/>
                <w:b w:val="0"/>
                <w:i w:val="0"/>
                <w:sz w:val="20"/>
              </w:rPr>
              <w:t>Role binding, policy checks, evidence capture</w:t>
            </w:r>
          </w:p>
        </w:tc>
        <w:tc>
          <w:tcPr>
            <w:tcW w:type="dxa" w:w="2436"/>
            <w:vAlign w:val="center"/>
          </w:tcPr>
          <w:p>
            <w:pPr>
              <w:spacing w:line="276" w:lineRule="auto" w:before="0" w:after="0"/>
            </w:pPr>
            <w:r/>
            <w:r>
              <w:rPr>
                <w:rFonts w:ascii="Figtree" w:hAnsi="Figtree"/>
                <w:b w:val="0"/>
                <w:i w:val="0"/>
                <w:sz w:val="20"/>
              </w:rPr>
              <w:t>KYC/AML policy, account opening, contractual onboarding</w:t>
            </w:r>
          </w:p>
        </w:tc>
      </w:tr>
      <w:tr>
        <w:trPr>
          <w:trHeight w:val="425" w:hRule="atLeast"/>
        </w:trPr>
        <w:tc>
          <w:tcPr>
            <w:tcW w:type="dxa" w:w="2436"/>
            <w:vAlign w:val="center"/>
          </w:tcPr>
          <w:p>
            <w:pPr>
              <w:spacing w:line="276" w:lineRule="auto" w:before="0" w:after="0"/>
            </w:pPr>
            <w:r/>
            <w:r>
              <w:rPr>
                <w:rFonts w:ascii="Figtree" w:hAnsi="Figtree"/>
                <w:b w:val="0"/>
                <w:i w:val="0"/>
                <w:sz w:val="20"/>
              </w:rPr>
              <w:t>Execution</w:t>
            </w:r>
          </w:p>
        </w:tc>
        <w:tc>
          <w:tcPr>
            <w:tcW w:type="dxa" w:w="2436"/>
            <w:vAlign w:val="center"/>
          </w:tcPr>
          <w:p>
            <w:pPr>
              <w:spacing w:line="276" w:lineRule="auto" w:before="0" w:after="0"/>
            </w:pPr>
            <w:r/>
            <w:r>
              <w:rPr>
                <w:rFonts w:ascii="Figtree" w:hAnsi="Figtree"/>
                <w:b w:val="0"/>
                <w:i w:val="0"/>
                <w:sz w:val="20"/>
              </w:rPr>
              <w:t>Launch issuance, transfer, settlement, or servicing event</w:t>
            </w:r>
          </w:p>
        </w:tc>
        <w:tc>
          <w:tcPr>
            <w:tcW w:type="dxa" w:w="2436"/>
            <w:vAlign w:val="center"/>
          </w:tcPr>
          <w:p>
            <w:pPr>
              <w:spacing w:line="276" w:lineRule="auto" w:before="0" w:after="0"/>
            </w:pPr>
            <w:r/>
            <w:r>
              <w:rPr>
                <w:rFonts w:ascii="Figtree" w:hAnsi="Figtree"/>
                <w:b w:val="0"/>
                <w:i w:val="0"/>
                <w:sz w:val="20"/>
              </w:rPr>
              <w:t>Controlled workflow execution and event emission</w:t>
            </w:r>
          </w:p>
        </w:tc>
        <w:tc>
          <w:tcPr>
            <w:tcW w:type="dxa" w:w="2436"/>
            <w:vAlign w:val="center"/>
          </w:tcPr>
          <w:p>
            <w:pPr>
              <w:spacing w:line="276" w:lineRule="auto" w:before="0" w:after="0"/>
            </w:pPr>
            <w:r/>
            <w:r>
              <w:rPr>
                <w:rFonts w:ascii="Figtree" w:hAnsi="Figtree"/>
                <w:b w:val="0"/>
                <w:i w:val="0"/>
                <w:sz w:val="20"/>
              </w:rPr>
              <w:t>Cash management, market-infrastructure coordination</w:t>
            </w:r>
          </w:p>
        </w:tc>
      </w:tr>
      <w:tr>
        <w:trPr>
          <w:trHeight w:val="425" w:hRule="atLeast"/>
        </w:trPr>
        <w:tc>
          <w:tcPr>
            <w:tcW w:type="dxa" w:w="2436"/>
            <w:vAlign w:val="center"/>
          </w:tcPr>
          <w:p>
            <w:pPr>
              <w:spacing w:line="276" w:lineRule="auto" w:before="0" w:after="0"/>
            </w:pPr>
            <w:r/>
            <w:r>
              <w:rPr>
                <w:rFonts w:ascii="Figtree" w:hAnsi="Figtree"/>
                <w:b w:val="0"/>
                <w:i w:val="0"/>
                <w:sz w:val="20"/>
              </w:rPr>
              <w:t>Exception handling</w:t>
            </w:r>
          </w:p>
        </w:tc>
        <w:tc>
          <w:tcPr>
            <w:tcW w:type="dxa" w:w="2436"/>
            <w:vAlign w:val="center"/>
          </w:tcPr>
          <w:p>
            <w:pPr>
              <w:spacing w:line="276" w:lineRule="auto" w:before="0" w:after="0"/>
            </w:pPr>
            <w:r/>
            <w:r>
              <w:rPr>
                <w:rFonts w:ascii="Figtree" w:hAnsi="Figtree"/>
                <w:b w:val="0"/>
                <w:i w:val="0"/>
                <w:sz w:val="20"/>
              </w:rPr>
              <w:t>Resolve breaks and retries</w:t>
            </w:r>
          </w:p>
        </w:tc>
        <w:tc>
          <w:tcPr>
            <w:tcW w:type="dxa" w:w="2436"/>
            <w:vAlign w:val="center"/>
          </w:tcPr>
          <w:p>
            <w:pPr>
              <w:spacing w:line="276" w:lineRule="auto" w:before="0" w:after="0"/>
            </w:pPr>
            <w:r/>
            <w:r>
              <w:rPr>
                <w:rFonts w:ascii="Figtree" w:hAnsi="Figtree"/>
                <w:b w:val="0"/>
                <w:i w:val="0"/>
                <w:sz w:val="20"/>
              </w:rPr>
              <w:t>Queue visibility, state tracking, audit packaging</w:t>
            </w:r>
          </w:p>
        </w:tc>
        <w:tc>
          <w:tcPr>
            <w:tcW w:type="dxa" w:w="2436"/>
            <w:vAlign w:val="center"/>
          </w:tcPr>
          <w:p>
            <w:pPr>
              <w:spacing w:line="276" w:lineRule="auto" w:before="0" w:after="0"/>
            </w:pPr>
            <w:r/>
            <w:r>
              <w:rPr>
                <w:rFonts w:ascii="Figtree" w:hAnsi="Figtree"/>
                <w:b w:val="0"/>
                <w:i w:val="0"/>
                <w:sz w:val="20"/>
              </w:rPr>
              <w:t>Operational decisions and escalation</w:t>
            </w:r>
          </w:p>
        </w:tc>
      </w:tr>
      <w:tr>
        <w:trPr>
          <w:trHeight w:val="425" w:hRule="atLeast"/>
        </w:trPr>
        <w:tc>
          <w:tcPr>
            <w:tcW w:type="dxa" w:w="2436"/>
            <w:vAlign w:val="center"/>
          </w:tcPr>
          <w:p>
            <w:pPr>
              <w:spacing w:line="276" w:lineRule="auto" w:before="0" w:after="0"/>
            </w:pPr>
            <w:r/>
            <w:r>
              <w:rPr>
                <w:rFonts w:ascii="Figtree" w:hAnsi="Figtree"/>
                <w:b w:val="0"/>
                <w:i w:val="0"/>
                <w:sz w:val="20"/>
              </w:rPr>
              <w:t>Reporting and archive</w:t>
            </w:r>
          </w:p>
        </w:tc>
        <w:tc>
          <w:tcPr>
            <w:tcW w:type="dxa" w:w="2436"/>
            <w:vAlign w:val="center"/>
          </w:tcPr>
          <w:p>
            <w:pPr>
              <w:spacing w:line="276" w:lineRule="auto" w:before="0" w:after="0"/>
            </w:pPr>
            <w:r/>
            <w:r>
              <w:rPr>
                <w:rFonts w:ascii="Figtree" w:hAnsi="Figtree"/>
                <w:b w:val="0"/>
                <w:i w:val="0"/>
                <w:sz w:val="20"/>
              </w:rPr>
              <w:t>Evidence for audit and supervisors</w:t>
            </w:r>
          </w:p>
        </w:tc>
        <w:tc>
          <w:tcPr>
            <w:tcW w:type="dxa" w:w="2436"/>
            <w:vAlign w:val="center"/>
          </w:tcPr>
          <w:p>
            <w:pPr>
              <w:spacing w:line="276" w:lineRule="auto" w:before="0" w:after="0"/>
            </w:pPr>
            <w:r/>
            <w:r>
              <w:rPr>
                <w:rFonts w:ascii="Figtree" w:hAnsi="Figtree"/>
                <w:b w:val="0"/>
                <w:i w:val="0"/>
                <w:sz w:val="20"/>
              </w:rPr>
              <w:t>Export generation, retention support</w:t>
            </w:r>
          </w:p>
        </w:tc>
        <w:tc>
          <w:tcPr>
            <w:tcW w:type="dxa" w:w="2436"/>
            <w:vAlign w:val="center"/>
          </w:tcPr>
          <w:p>
            <w:pPr>
              <w:spacing w:line="276" w:lineRule="auto" w:before="0" w:after="0"/>
            </w:pPr>
            <w:r/>
            <w:r>
              <w:rPr>
                <w:rFonts w:ascii="Figtree" w:hAnsi="Figtree"/>
                <w:b w:val="0"/>
                <w:i w:val="0"/>
                <w:sz w:val="20"/>
              </w:rPr>
              <w:t>Supervisory narrative, formal submissions</w:t>
            </w:r>
          </w:p>
        </w:tc>
      </w:tr>
    </w:tbl>
    <w:p>
      <w:pPr>
        <w:spacing w:before="0" w:after="0" w:line="120" w:lineRule="exact"/>
      </w:pPr>
    </w:p>
    <w:p>
      <w:pPr>
        <w:pStyle w:val="H2"/>
        <w:numPr>
          <w:ilvl w:val="1"/>
          <w:numId w:val="1"/>
        </w:numPr>
      </w:pPr>
      <w:r>
        <w:t>Architecture and Integration Boundaries</w:t>
      </w:r>
    </w:p>
    <w:p>
      <w:r>
        <w:rPr>
          <w:rFonts w:ascii="Figtree" w:hAnsi="Figtree"/>
          <w:b w:val="0"/>
          <w:i w:val="0"/>
          <w:sz w:val="22"/>
        </w:rPr>
        <w:t>Intesa Sanpaolo is not buying a pilot stack; it is buying an operating capability for digital bonds platform that must survive architecture review, operational risk review, compliance challenge, and production support handover. For that reason, the response throughout this section assumes that DALP is introduced as a governed platform component with clear ownership boundaries, explicit approvals, and deterministic exports into the surrounding bank estate rather than as an isolated innovation sandbox. The practical design principle is configuration before customization: policy, product parameters, participant roles, and lifecycle states are expressed in managed configurations so that Intesa Sanpaolo can scale new products, legal entities, and corridors without rebuilding the control model each time.</w:t>
      </w:r>
    </w:p>
    <w:p>
      <w:r>
        <w:rPr>
          <w:rFonts w:ascii="Figtree" w:hAnsi="Figtree"/>
          <w:b w:val="0"/>
          <w:i w:val="0"/>
          <w:sz w:val="22"/>
        </w:rPr>
        <w:t>The relevant regulatory backdrop is MiCA, MiFID II, Italian securities and banking law, CONSOB and Bank of Italy expectations, DORA, and GDPR. DALP supports these obligations through configurable workflow gates, audit logs, entitlements, approval chains, API-led integration, and exportable evidence packs; where a requirement depends on external market infrastructure, local legal advice, or a customer-selected service provider, we say so explicitly and treat it as a dependency rather than folding it into an unsupported platform claim. That distinction matters for Intesa Sanpaolo because procurement and control teams need to separate core platform capability from implementation work and from third-party services at contract stage, not discover those distinctions during UAT.</w:t>
      </w:r>
    </w:p>
    <w:p>
      <w:r>
        <w:rPr>
          <w:rFonts w:ascii="Figtree" w:hAnsi="Figtree"/>
          <w:b w:val="0"/>
          <w:i w:val="0"/>
          <w:sz w:val="22"/>
        </w:rPr>
        <w:t>In system fit and interface design, the emphasis is ensuring the platform complements the existing bank estate instead of creating a disconnected sidecar. We therefore describe not only the happy path but also queue states, dual control, exception routing, evidence retention, and rollback options, because those are the areas where institutional programmes usually fail when digital-asset proposals are written only from a product-marketing perspective. The architecture described here aims to let Intesa Sanpaolo keep supervisory accountability, data ownership, and operational authority while using DALP as the configurable execution and policy layer underneath the target workflow.</w:t>
      </w:r>
    </w:p>
    <w:p>
      <w:r>
        <w:rPr>
          <w:rFonts w:ascii="Figtree" w:hAnsi="Figtree"/>
          <w:b w:val="0"/>
          <w:i w:val="0"/>
          <w:sz w:val="22"/>
        </w:rPr>
        <w:t>The integration perimeter for Intesa Sanpaolo is broad: core banking and payments platforms, custody and distribution channels, risk, compliance, and reporting systems, customer onboarding services, and monitoring and support tooling. The architecture is therefore API-led and event-aware, with bank systems remaining systems of record for the domains they already own while DALP provides the execution and policy layer for the digital-asset workflow. This prevents authority confusion between ledger state, finance books, payment confirmations, and reporting stores.</w:t>
      </w:r>
    </w:p>
    <w:p>
      <w:r>
        <w:rPr>
          <w:rFonts w:ascii="Figtree" w:hAnsi="Figtree"/>
          <w:b w:val="0"/>
          <w:i w:val="0"/>
          <w:sz w:val="22"/>
        </w:rPr>
        <w:t>A practical principle in this response is that integrations should be observable and reversible. Requests, acknowledgements, status changes, and export jobs need correlation identifiers and repeatable reconciliation logic so that break analysis does not require vendor forensic work during production incidents. The proposed model therefore favors explicit command and event boundaries rather than hidden background synchronization.</w:t>
      </w:r>
    </w:p>
    <w:p>
      <w:pPr>
        <w:jc w:val="center"/>
      </w:pPr>
      <w:r>
        <w:drawing>
          <wp:inline xmlns:a="http://schemas.openxmlformats.org/drawingml/2006/main" xmlns:pic="http://schemas.openxmlformats.org/drawingml/2006/picture">
            <wp:extent cx="5486400" cy="2246345"/>
            <wp:docPr id="5" name="Picture 5"/>
            <wp:cNvGraphicFramePr>
              <a:graphicFrameLocks noChangeAspect="1"/>
            </wp:cNvGraphicFramePr>
            <a:graphic>
              <a:graphicData uri="http://schemas.openxmlformats.org/drawingml/2006/picture">
                <pic:pic>
                  <pic:nvPicPr>
                    <pic:cNvPr id="0" name="_diagram-005.png"/>
                    <pic:cNvPicPr/>
                  </pic:nvPicPr>
                  <pic:blipFill>
                    <a:blip r:embed="rId17"/>
                    <a:stretch>
                      <a:fillRect/>
                    </a:stretch>
                  </pic:blipFill>
                  <pic:spPr>
                    <a:xfrm>
                      <a:off x="0" y="0"/>
                      <a:ext cx="5486400" cy="2246345"/>
                    </a:xfrm>
                    <a:prstGeom prst="rect"/>
                  </pic:spPr>
                </pic:pic>
              </a:graphicData>
            </a:graphic>
          </wp:inline>
        </w:drawing>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1479"/>
        <w:gridCol w:w="3217"/>
        <w:gridCol w:w="4375"/>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Integration domain</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Pattern</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Notes</w:t>
            </w:r>
          </w:p>
        </w:tc>
      </w:tr>
      <w:tr>
        <w:trPr>
          <w:trHeight w:val="425" w:hRule="atLeast"/>
        </w:trPr>
        <w:tc>
          <w:tcPr>
            <w:tcW w:type="dxa" w:w="3249"/>
            <w:vAlign w:val="center"/>
          </w:tcPr>
          <w:p>
            <w:pPr>
              <w:spacing w:line="276" w:lineRule="auto" w:before="0" w:after="0"/>
            </w:pPr>
            <w:r/>
            <w:r>
              <w:rPr>
                <w:rFonts w:ascii="Figtree" w:hAnsi="Figtree"/>
                <w:b w:val="0"/>
                <w:i w:val="0"/>
                <w:sz w:val="20"/>
              </w:rPr>
              <w:t>Core banking / treasury</w:t>
            </w:r>
          </w:p>
        </w:tc>
        <w:tc>
          <w:tcPr>
            <w:tcW w:type="dxa" w:w="3249"/>
            <w:vAlign w:val="center"/>
          </w:tcPr>
          <w:p>
            <w:pPr>
              <w:spacing w:line="276" w:lineRule="auto" w:before="0" w:after="0"/>
            </w:pPr>
            <w:r/>
            <w:r>
              <w:rPr>
                <w:rFonts w:ascii="Figtree" w:hAnsi="Figtree"/>
                <w:b w:val="0"/>
                <w:i w:val="0"/>
                <w:sz w:val="20"/>
              </w:rPr>
              <w:t>REST APIs, events, scheduled exports</w:t>
            </w:r>
          </w:p>
        </w:tc>
        <w:tc>
          <w:tcPr>
            <w:tcW w:type="dxa" w:w="3249"/>
            <w:vAlign w:val="center"/>
          </w:tcPr>
          <w:p>
            <w:pPr>
              <w:spacing w:line="276" w:lineRule="auto" w:before="0" w:after="0"/>
            </w:pPr>
            <w:r/>
            <w:r>
              <w:rPr>
                <w:rFonts w:ascii="Figtree" w:hAnsi="Figtree"/>
                <w:b w:val="0"/>
                <w:i w:val="0"/>
                <w:sz w:val="20"/>
              </w:rPr>
              <w:t>Used for positions, balances, reference data, and accounting handoff</w:t>
            </w:r>
          </w:p>
        </w:tc>
      </w:tr>
      <w:tr>
        <w:trPr>
          <w:trHeight w:val="425" w:hRule="atLeast"/>
        </w:trPr>
        <w:tc>
          <w:tcPr>
            <w:tcW w:type="dxa" w:w="3249"/>
            <w:vAlign w:val="center"/>
          </w:tcPr>
          <w:p>
            <w:pPr>
              <w:spacing w:line="276" w:lineRule="auto" w:before="0" w:after="0"/>
            </w:pPr>
            <w:r/>
            <w:r>
              <w:rPr>
                <w:rFonts w:ascii="Figtree" w:hAnsi="Figtree"/>
                <w:b w:val="0"/>
                <w:i w:val="0"/>
                <w:sz w:val="20"/>
              </w:rPr>
              <w:t>Identity and access</w:t>
            </w:r>
          </w:p>
        </w:tc>
        <w:tc>
          <w:tcPr>
            <w:tcW w:type="dxa" w:w="3249"/>
            <w:vAlign w:val="center"/>
          </w:tcPr>
          <w:p>
            <w:pPr>
              <w:spacing w:line="276" w:lineRule="auto" w:before="0" w:after="0"/>
            </w:pPr>
            <w:r/>
            <w:r>
              <w:rPr>
                <w:rFonts w:ascii="Figtree" w:hAnsi="Figtree"/>
                <w:b w:val="0"/>
                <w:i w:val="0"/>
                <w:sz w:val="20"/>
              </w:rPr>
              <w:t>SSO / IAM integration with role synchronization</w:t>
            </w:r>
          </w:p>
        </w:tc>
        <w:tc>
          <w:tcPr>
            <w:tcW w:type="dxa" w:w="3249"/>
            <w:vAlign w:val="center"/>
          </w:tcPr>
          <w:p>
            <w:pPr>
              <w:spacing w:line="276" w:lineRule="auto" w:before="0" w:after="0"/>
            </w:pPr>
            <w:r/>
            <w:r>
              <w:rPr>
                <w:rFonts w:ascii="Figtree" w:hAnsi="Figtree"/>
                <w:b w:val="0"/>
                <w:i w:val="0"/>
                <w:sz w:val="20"/>
              </w:rPr>
              <w:t>Buyer remains identity authority</w:t>
            </w:r>
          </w:p>
        </w:tc>
      </w:tr>
      <w:tr>
        <w:trPr>
          <w:trHeight w:val="425" w:hRule="atLeast"/>
        </w:trPr>
        <w:tc>
          <w:tcPr>
            <w:tcW w:type="dxa" w:w="3249"/>
            <w:vAlign w:val="center"/>
          </w:tcPr>
          <w:p>
            <w:pPr>
              <w:spacing w:line="276" w:lineRule="auto" w:before="0" w:after="0"/>
            </w:pPr>
            <w:r/>
            <w:r>
              <w:rPr>
                <w:rFonts w:ascii="Figtree" w:hAnsi="Figtree"/>
                <w:b w:val="0"/>
                <w:i w:val="0"/>
                <w:sz w:val="20"/>
              </w:rPr>
              <w:t>Reporting and audit</w:t>
            </w:r>
          </w:p>
        </w:tc>
        <w:tc>
          <w:tcPr>
            <w:tcW w:type="dxa" w:w="3249"/>
            <w:vAlign w:val="center"/>
          </w:tcPr>
          <w:p>
            <w:pPr>
              <w:spacing w:line="276" w:lineRule="auto" w:before="0" w:after="0"/>
            </w:pPr>
            <w:r/>
            <w:r>
              <w:rPr>
                <w:rFonts w:ascii="Figtree" w:hAnsi="Figtree"/>
                <w:b w:val="0"/>
                <w:i w:val="0"/>
                <w:sz w:val="20"/>
              </w:rPr>
              <w:t>Export bundles, dashboard feeds, evidence packages</w:t>
            </w:r>
          </w:p>
        </w:tc>
        <w:tc>
          <w:tcPr>
            <w:tcW w:type="dxa" w:w="3249"/>
            <w:vAlign w:val="center"/>
          </w:tcPr>
          <w:p>
            <w:pPr>
              <w:spacing w:line="276" w:lineRule="auto" w:before="0" w:after="0"/>
            </w:pPr>
            <w:r/>
            <w:r>
              <w:rPr>
                <w:rFonts w:ascii="Figtree" w:hAnsi="Figtree"/>
                <w:b w:val="0"/>
                <w:i w:val="0"/>
                <w:sz w:val="20"/>
              </w:rPr>
              <w:t>Supports internal audit and supervisory requests</w:t>
            </w:r>
          </w:p>
        </w:tc>
      </w:tr>
      <w:tr>
        <w:trPr>
          <w:trHeight w:val="425" w:hRule="atLeast"/>
        </w:trPr>
        <w:tc>
          <w:tcPr>
            <w:tcW w:type="dxa" w:w="3249"/>
            <w:vAlign w:val="center"/>
          </w:tcPr>
          <w:p>
            <w:pPr>
              <w:spacing w:line="276" w:lineRule="auto" w:before="0" w:after="0"/>
            </w:pPr>
            <w:r/>
            <w:r>
              <w:rPr>
                <w:rFonts w:ascii="Figtree" w:hAnsi="Figtree"/>
                <w:b w:val="0"/>
                <w:i w:val="0"/>
                <w:sz w:val="20"/>
              </w:rPr>
              <w:t>External infrastructure</w:t>
            </w:r>
          </w:p>
        </w:tc>
        <w:tc>
          <w:tcPr>
            <w:tcW w:type="dxa" w:w="3249"/>
            <w:vAlign w:val="center"/>
          </w:tcPr>
          <w:p>
            <w:pPr>
              <w:spacing w:line="276" w:lineRule="auto" w:before="0" w:after="0"/>
            </w:pPr>
            <w:r/>
            <w:r>
              <w:rPr>
                <w:rFonts w:ascii="Figtree" w:hAnsi="Figtree"/>
                <w:b w:val="0"/>
                <w:i w:val="0"/>
                <w:sz w:val="20"/>
              </w:rPr>
              <w:t>Adapter or middleware pattern</w:t>
            </w:r>
          </w:p>
        </w:tc>
        <w:tc>
          <w:tcPr>
            <w:tcW w:type="dxa" w:w="3249"/>
            <w:vAlign w:val="center"/>
          </w:tcPr>
          <w:p>
            <w:pPr>
              <w:spacing w:line="276" w:lineRule="auto" w:before="0" w:after="0"/>
            </w:pPr>
            <w:r/>
            <w:r>
              <w:rPr>
                <w:rFonts w:ascii="Figtree" w:hAnsi="Figtree"/>
                <w:b w:val="0"/>
                <w:i w:val="0"/>
                <w:sz w:val="20"/>
              </w:rPr>
              <w:t>Subject to partner, network, or operator approval</w:t>
            </w:r>
          </w:p>
        </w:tc>
      </w:tr>
      <w:tr>
        <w:trPr>
          <w:trHeight w:val="425" w:hRule="atLeast"/>
        </w:trPr>
        <w:tc>
          <w:tcPr>
            <w:tcW w:type="dxa" w:w="3249"/>
            <w:vAlign w:val="center"/>
          </w:tcPr>
          <w:p>
            <w:pPr>
              <w:spacing w:line="276" w:lineRule="auto" w:before="0" w:after="0"/>
            </w:pPr>
            <w:r/>
            <w:r>
              <w:rPr>
                <w:rFonts w:ascii="Figtree" w:hAnsi="Figtree"/>
                <w:b w:val="0"/>
                <w:i w:val="0"/>
                <w:sz w:val="20"/>
              </w:rPr>
              <w:t>Monitoring</w:t>
            </w:r>
          </w:p>
        </w:tc>
        <w:tc>
          <w:tcPr>
            <w:tcW w:type="dxa" w:w="3249"/>
            <w:vAlign w:val="center"/>
          </w:tcPr>
          <w:p>
            <w:pPr>
              <w:spacing w:line="276" w:lineRule="auto" w:before="0" w:after="0"/>
            </w:pPr>
            <w:r/>
            <w:r>
              <w:rPr>
                <w:rFonts w:ascii="Figtree" w:hAnsi="Figtree"/>
                <w:b w:val="0"/>
                <w:i w:val="0"/>
                <w:sz w:val="20"/>
              </w:rPr>
              <w:t>SIEM, metrics, and alert forwarding</w:t>
            </w:r>
          </w:p>
        </w:tc>
        <w:tc>
          <w:tcPr>
            <w:tcW w:type="dxa" w:w="3249"/>
            <w:vAlign w:val="center"/>
          </w:tcPr>
          <w:p>
            <w:pPr>
              <w:spacing w:line="276" w:lineRule="auto" w:before="0" w:after="0"/>
            </w:pPr>
            <w:r/>
            <w:r>
              <w:rPr>
                <w:rFonts w:ascii="Figtree" w:hAnsi="Figtree"/>
                <w:b w:val="0"/>
                <w:i w:val="0"/>
                <w:sz w:val="20"/>
              </w:rPr>
              <w:t>Supports operational resilience and support runbooks</w:t>
            </w:r>
          </w:p>
        </w:tc>
      </w:tr>
    </w:tbl>
    <w:p>
      <w:pPr>
        <w:spacing w:before="0" w:after="0" w:line="120" w:lineRule="exact"/>
      </w:pPr>
    </w:p>
    <w:p>
      <w:pPr>
        <w:pStyle w:val="H2"/>
        <w:numPr>
          <w:ilvl w:val="1"/>
          <w:numId w:val="1"/>
        </w:numPr>
      </w:pPr>
      <w:r>
        <w:t>Data, Identity, and Compliance Controls</w:t>
      </w:r>
    </w:p>
    <w:p>
      <w:r>
        <w:rPr>
          <w:rFonts w:ascii="Figtree" w:hAnsi="Figtree"/>
          <w:b w:val="0"/>
          <w:i w:val="0"/>
          <w:sz w:val="22"/>
        </w:rPr>
        <w:t>Intesa Sanpaolo is not buying a pilot stack; it is buying an operating capability for digital bonds platform that must survive architecture review, operational risk review, compliance challenge, and production support handover. For that reason, the response throughout this section assumes that DALP is introduced as a governed platform component with clear ownership boundaries, explicit approvals, and deterministic exports into the surrounding bank estate rather than as an isolated innovation sandbox. The practical design principle is configuration before customization: policy, product parameters, participant roles, and lifecycle states are expressed in managed configurations so that Intesa Sanpaolo can scale new products, legal entities, and corridors without rebuilding the control model each time.</w:t>
      </w:r>
    </w:p>
    <w:p>
      <w:r>
        <w:rPr>
          <w:rFonts w:ascii="Figtree" w:hAnsi="Figtree"/>
          <w:b w:val="0"/>
          <w:i w:val="0"/>
          <w:sz w:val="22"/>
        </w:rPr>
        <w:t>The relevant regulatory backdrop is MiCA, MiFID II, Italian securities and banking law, CONSOB and Bank of Italy expectations, DORA, and GDPR. DALP supports these obligations through configurable workflow gates, audit logs, entitlements, approval chains, API-led integration, and exportable evidence packs; where a requirement depends on external market infrastructure, local legal advice, or a customer-selected service provider, we say so explicitly and treat it as a dependency rather than folding it into an unsupported platform claim. That distinction matters for Intesa Sanpaolo because procurement and control teams need to separate core platform capability from implementation work and from third-party services at contract stage, not discover those distinctions during UAT.</w:t>
      </w:r>
    </w:p>
    <w:p>
      <w:r>
        <w:rPr>
          <w:rFonts w:ascii="Figtree" w:hAnsi="Figtree"/>
          <w:b w:val="0"/>
          <w:i w:val="0"/>
          <w:sz w:val="22"/>
        </w:rPr>
        <w:t>In policy enforcement, the emphasis is making regulatory obligations operational through configurable policies, role segregation, and evidence output. We therefore describe not only the happy path but also queue states, dual control, exception routing, evidence retention, and rollback options, because those are the areas where institutional programmes usually fail when digital-asset proposals are written only from a product-marketing perspective. The architecture described here aims to let Intesa Sanpaolo keep supervisory accountability, data ownership, and operational authority while using DALP as the configurable execution and policy layer underneath the target workflow.</w:t>
      </w:r>
    </w:p>
    <w:p>
      <w:r>
        <w:rPr>
          <w:rFonts w:ascii="Figtree" w:hAnsi="Figtree"/>
          <w:b w:val="0"/>
          <w:i w:val="0"/>
          <w:sz w:val="22"/>
        </w:rPr>
        <w:t>The platform does not replace the institution's legal accountability; it operationalizes approved policy. Identity sources, investor classifications, sanctions outcomes, and jurisdiction tags can be consumed as controlled inputs, after which DALP can enforce eligibility, transfer restrictions, workflow approvals, and exception routing based on those inputs. That approach is more durable than encoding legal concepts directly into application branches because the underlying rule parameters can evolve under governance.</w:t>
      </w:r>
    </w:p>
    <w:p>
      <w:r>
        <w:rPr>
          <w:rFonts w:ascii="Figtree" w:hAnsi="Figtree"/>
          <w:b w:val="0"/>
          <w:i w:val="0"/>
          <w:sz w:val="22"/>
        </w:rPr>
        <w:t>For Intesa Sanpaolo, data lineage is as important as execution itself. Each significant action should be reconstructable: who submitted it, which policy version was in force, which reference data was used, which external acknowledgements were received, and which export or report captured the result. Those lineage expectations influence not just compliance design but also the shape of the operations dashboard, the archive model, and the test evidence required before go-live.</w:t>
      </w:r>
    </w:p>
    <w:p>
      <w:pPr>
        <w:jc w:val="center"/>
      </w:pPr>
      <w:r>
        <w:drawing>
          <wp:inline xmlns:a="http://schemas.openxmlformats.org/drawingml/2006/main" xmlns:pic="http://schemas.openxmlformats.org/drawingml/2006/picture">
            <wp:extent cx="2628900" cy="5648325"/>
            <wp:docPr id="6" name="Picture 6"/>
            <wp:cNvGraphicFramePr>
              <a:graphicFrameLocks noChangeAspect="1"/>
            </wp:cNvGraphicFramePr>
            <a:graphic>
              <a:graphicData uri="http://schemas.openxmlformats.org/drawingml/2006/picture">
                <pic:pic>
                  <pic:nvPicPr>
                    <pic:cNvPr id="0" name="_diagram-006.png"/>
                    <pic:cNvPicPr/>
                  </pic:nvPicPr>
                  <pic:blipFill>
                    <a:blip r:embed="rId18"/>
                    <a:stretch>
                      <a:fillRect/>
                    </a:stretch>
                  </pic:blipFill>
                  <pic:spPr>
                    <a:xfrm>
                      <a:off x="0" y="0"/>
                      <a:ext cx="2628900" cy="5648325"/>
                    </a:xfrm>
                    <a:prstGeom prst="rect"/>
                  </pic:spPr>
                </pic:pic>
              </a:graphicData>
            </a:graphic>
          </wp:inline>
        </w:drawing>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2317"/>
        <w:gridCol w:w="6754"/>
      </w:tblGrid>
      <w:tr>
        <w:trPr>
          <w:trHeight w:val="425" w:hRule="atLeast"/>
        </w:trPr>
        <w:tc>
          <w:tcPr>
            <w:tcW w:type="dxa" w:w="4873"/>
            <w:vAlign w:val="center"/>
            <w:shd w:fill="E8E0F0" w:val="clear"/>
          </w:tcPr>
          <w:p>
            <w:pPr>
              <w:spacing w:line="276" w:lineRule="auto" w:before="0" w:after="0"/>
              <w:jc w:val="left"/>
            </w:pPr>
            <w:r>
              <w:rPr>
                <w:b/>
                <w:color w:val="2D1A8C"/>
              </w:rPr>
            </w:r>
            <w:r>
              <w:rPr>
                <w:rFonts w:ascii="Figtree" w:hAnsi="Figtree"/>
                <w:b/>
                <w:i w:val="0"/>
                <w:color w:val="2D1A8C"/>
                <w:sz w:val="20"/>
              </w:rPr>
              <w:t>Control area</w:t>
            </w:r>
          </w:p>
        </w:tc>
        <w:tc>
          <w:tcPr>
            <w:tcW w:type="dxa" w:w="4873"/>
            <w:vAlign w:val="center"/>
            <w:shd w:fill="E8E0F0" w:val="clear"/>
          </w:tcPr>
          <w:p>
            <w:pPr>
              <w:spacing w:line="276" w:lineRule="auto" w:before="0" w:after="0"/>
              <w:jc w:val="center"/>
            </w:pPr>
            <w:r>
              <w:rPr>
                <w:b/>
                <w:color w:val="2D1A8C"/>
              </w:rPr>
            </w:r>
            <w:r>
              <w:rPr>
                <w:rFonts w:ascii="Figtree" w:hAnsi="Figtree"/>
                <w:b/>
                <w:i w:val="0"/>
                <w:color w:val="2D1A8C"/>
                <w:sz w:val="20"/>
              </w:rPr>
              <w:t>Response</w:t>
            </w:r>
          </w:p>
        </w:tc>
      </w:tr>
      <w:tr>
        <w:trPr>
          <w:trHeight w:val="425" w:hRule="atLeast"/>
        </w:trPr>
        <w:tc>
          <w:tcPr>
            <w:tcW w:type="dxa" w:w="4873"/>
            <w:vAlign w:val="center"/>
          </w:tcPr>
          <w:p>
            <w:pPr>
              <w:spacing w:line="276" w:lineRule="auto" w:before="0" w:after="0"/>
            </w:pPr>
            <w:r/>
            <w:r>
              <w:rPr>
                <w:rFonts w:ascii="Figtree" w:hAnsi="Figtree"/>
                <w:b w:val="0"/>
                <w:i w:val="0"/>
                <w:sz w:val="20"/>
              </w:rPr>
              <w:t>Role-based access</w:t>
            </w:r>
          </w:p>
        </w:tc>
        <w:tc>
          <w:tcPr>
            <w:tcW w:type="dxa" w:w="4873"/>
            <w:vAlign w:val="center"/>
          </w:tcPr>
          <w:p>
            <w:pPr>
              <w:spacing w:line="276" w:lineRule="auto" w:before="0" w:after="0"/>
            </w:pPr>
            <w:r/>
            <w:r>
              <w:rPr>
                <w:rFonts w:ascii="Figtree" w:hAnsi="Figtree"/>
                <w:b w:val="0"/>
                <w:i w:val="0"/>
                <w:sz w:val="20"/>
              </w:rPr>
              <w:t>Supported through configurable roles, groups, and approval chains</w:t>
            </w:r>
          </w:p>
        </w:tc>
      </w:tr>
      <w:tr>
        <w:trPr>
          <w:trHeight w:val="425" w:hRule="atLeast"/>
        </w:trPr>
        <w:tc>
          <w:tcPr>
            <w:tcW w:type="dxa" w:w="4873"/>
            <w:vAlign w:val="center"/>
          </w:tcPr>
          <w:p>
            <w:pPr>
              <w:spacing w:line="276" w:lineRule="auto" w:before="0" w:after="0"/>
            </w:pPr>
            <w:r/>
            <w:r>
              <w:rPr>
                <w:rFonts w:ascii="Figtree" w:hAnsi="Figtree"/>
                <w:b w:val="0"/>
                <w:i w:val="0"/>
                <w:sz w:val="20"/>
              </w:rPr>
              <w:t>Segregation of duties</w:t>
            </w:r>
          </w:p>
        </w:tc>
        <w:tc>
          <w:tcPr>
            <w:tcW w:type="dxa" w:w="4873"/>
            <w:vAlign w:val="center"/>
          </w:tcPr>
          <w:p>
            <w:pPr>
              <w:spacing w:line="276" w:lineRule="auto" w:before="0" w:after="0"/>
            </w:pPr>
            <w:r/>
            <w:r>
              <w:rPr>
                <w:rFonts w:ascii="Figtree" w:hAnsi="Figtree"/>
                <w:b w:val="0"/>
                <w:i w:val="0"/>
                <w:sz w:val="20"/>
              </w:rPr>
              <w:t>Supported through maker-checker, approval steps, and environment controls</w:t>
            </w:r>
          </w:p>
        </w:tc>
      </w:tr>
      <w:tr>
        <w:trPr>
          <w:trHeight w:val="425" w:hRule="atLeast"/>
        </w:trPr>
        <w:tc>
          <w:tcPr>
            <w:tcW w:type="dxa" w:w="4873"/>
            <w:vAlign w:val="center"/>
          </w:tcPr>
          <w:p>
            <w:pPr>
              <w:spacing w:line="276" w:lineRule="auto" w:before="0" w:after="0"/>
            </w:pPr>
            <w:r/>
            <w:r>
              <w:rPr>
                <w:rFonts w:ascii="Figtree" w:hAnsi="Figtree"/>
                <w:b w:val="0"/>
                <w:i w:val="0"/>
                <w:sz w:val="20"/>
              </w:rPr>
              <w:t>Audit trail</w:t>
            </w:r>
          </w:p>
        </w:tc>
        <w:tc>
          <w:tcPr>
            <w:tcW w:type="dxa" w:w="4873"/>
            <w:vAlign w:val="center"/>
          </w:tcPr>
          <w:p>
            <w:pPr>
              <w:spacing w:line="276" w:lineRule="auto" w:before="0" w:after="0"/>
            </w:pPr>
            <w:r/>
            <w:r>
              <w:rPr>
                <w:rFonts w:ascii="Figtree" w:hAnsi="Figtree"/>
                <w:b w:val="0"/>
                <w:i w:val="0"/>
                <w:sz w:val="20"/>
              </w:rPr>
              <w:t>Supported through immutable event logging and exportable evidence</w:t>
            </w:r>
          </w:p>
        </w:tc>
      </w:tr>
      <w:tr>
        <w:trPr>
          <w:trHeight w:val="425" w:hRule="atLeast"/>
        </w:trPr>
        <w:tc>
          <w:tcPr>
            <w:tcW w:type="dxa" w:w="4873"/>
            <w:vAlign w:val="center"/>
          </w:tcPr>
          <w:p>
            <w:pPr>
              <w:spacing w:line="276" w:lineRule="auto" w:before="0" w:after="0"/>
            </w:pPr>
            <w:r/>
            <w:r>
              <w:rPr>
                <w:rFonts w:ascii="Figtree" w:hAnsi="Figtree"/>
                <w:b w:val="0"/>
                <w:i w:val="0"/>
                <w:sz w:val="20"/>
              </w:rPr>
              <w:t>Policy enforcement</w:t>
            </w:r>
          </w:p>
        </w:tc>
        <w:tc>
          <w:tcPr>
            <w:tcW w:type="dxa" w:w="4873"/>
            <w:vAlign w:val="center"/>
          </w:tcPr>
          <w:p>
            <w:pPr>
              <w:spacing w:line="276" w:lineRule="auto" w:before="0" w:after="0"/>
            </w:pPr>
            <w:r/>
            <w:r>
              <w:rPr>
                <w:rFonts w:ascii="Figtree" w:hAnsi="Figtree"/>
                <w:b w:val="0"/>
                <w:i w:val="0"/>
                <w:sz w:val="20"/>
              </w:rPr>
              <w:t>Supported through configurable rule checks bound to identity and product metadata</w:t>
            </w:r>
          </w:p>
        </w:tc>
      </w:tr>
      <w:tr>
        <w:trPr>
          <w:trHeight w:val="425" w:hRule="atLeast"/>
        </w:trPr>
        <w:tc>
          <w:tcPr>
            <w:tcW w:type="dxa" w:w="4873"/>
            <w:vAlign w:val="center"/>
          </w:tcPr>
          <w:p>
            <w:pPr>
              <w:spacing w:line="276" w:lineRule="auto" w:before="0" w:after="0"/>
            </w:pPr>
            <w:r/>
            <w:r>
              <w:rPr>
                <w:rFonts w:ascii="Figtree" w:hAnsi="Figtree"/>
                <w:b w:val="0"/>
                <w:i w:val="0"/>
                <w:sz w:val="20"/>
              </w:rPr>
              <w:t>Data retention</w:t>
            </w:r>
          </w:p>
        </w:tc>
        <w:tc>
          <w:tcPr>
            <w:tcW w:type="dxa" w:w="4873"/>
            <w:vAlign w:val="center"/>
          </w:tcPr>
          <w:p>
            <w:pPr>
              <w:spacing w:line="276" w:lineRule="auto" w:before="0" w:after="0"/>
            </w:pPr>
            <w:r/>
            <w:r>
              <w:rPr>
                <w:rFonts w:ascii="Figtree" w:hAnsi="Figtree"/>
                <w:b w:val="0"/>
                <w:i w:val="0"/>
                <w:sz w:val="20"/>
              </w:rPr>
              <w:t>Supported through managed exports and archive-oriented lifecycle states</w:t>
            </w:r>
          </w:p>
        </w:tc>
      </w:tr>
    </w:tbl>
    <w:p>
      <w:pPr>
        <w:spacing w:before="0" w:after="0" w:line="120" w:lineRule="exact"/>
      </w:pPr>
    </w:p>
    <w:p>
      <w:pPr>
        <w:pStyle w:val="H2"/>
        <w:numPr>
          <w:ilvl w:val="1"/>
          <w:numId w:val="1"/>
        </w:numPr>
      </w:pPr>
      <w:r>
        <w:t>Security and Operational Resilience</w:t>
      </w:r>
    </w:p>
    <w:p>
      <w:r>
        <w:rPr>
          <w:rFonts w:ascii="Figtree" w:hAnsi="Figtree"/>
          <w:b w:val="0"/>
          <w:i w:val="0"/>
          <w:sz w:val="22"/>
        </w:rPr>
        <w:t>Intesa Sanpaolo is not buying a pilot stack; it is buying an operating capability for digital bonds platform that must survive architecture review, operational risk review, compliance challenge, and production support handover. For that reason, the response throughout this section assumes that DALP is introduced as a governed platform component with clear ownership boundaries, explicit approvals, and deterministic exports into the surrounding bank estate rather than as an isolated innovation sandbox. The practical design principle is configuration before customization: policy, product parameters, participant roles, and lifecycle states are expressed in managed configurations so that Intesa Sanpaolo can scale new products, legal entities, and corridors without rebuilding the control model each time.</w:t>
      </w:r>
    </w:p>
    <w:p>
      <w:r>
        <w:rPr>
          <w:rFonts w:ascii="Figtree" w:hAnsi="Figtree"/>
          <w:b w:val="0"/>
          <w:i w:val="0"/>
          <w:sz w:val="22"/>
        </w:rPr>
        <w:t>The relevant regulatory backdrop is MiCA, MiFID II, Italian securities and banking law, CONSOB and Bank of Italy expectations, DORA, and GDPR. DALP supports these obligations through configurable workflow gates, audit logs, entitlements, approval chains, API-led integration, and exportable evidence packs; where a requirement depends on external market infrastructure, local legal advice, or a customer-selected service provider, we say so explicitly and treat it as a dependency rather than folding it into an unsupported platform claim. That distinction matters for Intesa Sanpaolo because procurement and control teams need to separate core platform capability from implementation work and from third-party services at contract stage, not discover those distinctions during UAT.</w:t>
      </w:r>
    </w:p>
    <w:p>
      <w:r>
        <w:rPr>
          <w:rFonts w:ascii="Figtree" w:hAnsi="Figtree"/>
          <w:b w:val="0"/>
          <w:i w:val="0"/>
          <w:sz w:val="22"/>
        </w:rPr>
        <w:t>In deployment and recovery, the emphasis is demonstrating that the platform can be run as an enterprise service with clear boundaries between environments and recoverable operations. We therefore describe not only the happy path but also queue states, dual control, exception routing, evidence retention, and rollback options, because those are the areas where institutional programmes usually fail when digital-asset proposals are written only from a product-marketing perspective. The architecture described here aims to let Intesa Sanpaolo keep supervisory accountability, data ownership, and operational authority while using DALP as the configurable execution and policy layer underneath the target workflow.</w:t>
      </w:r>
    </w:p>
    <w:p>
      <w:r>
        <w:rPr>
          <w:rFonts w:ascii="Figtree" w:hAnsi="Figtree"/>
          <w:b w:val="0"/>
          <w:i w:val="0"/>
          <w:sz w:val="22"/>
        </w:rPr>
        <w:t>The RFP rightly emphasizes resilience, and the response treats resilience as a whole-system property rather than an infrastructure checkbox. Separate environments, release discipline, privileged-access controls, backup strategy, disaster-recovery rehearsals, and monitoring integration are all needed before a digital-asset workflow can be considered production-ready. DALP supports this model through multi-environment deployment patterns, auditable administrative actions, and integration into the customer's chosen observability and ticketing stack.</w:t>
      </w:r>
    </w:p>
    <w:p>
      <w:r>
        <w:rPr>
          <w:rFonts w:ascii="Figtree" w:hAnsi="Figtree"/>
          <w:b w:val="0"/>
          <w:i w:val="0"/>
          <w:sz w:val="22"/>
        </w:rPr>
        <w:t>Equally important is evidentiary resilience. Operational incidents become governance incidents when teams cannot reconstruct what happened, which controls triggered, or which external dependencies were involved. The proposed design therefore pairs runtime monitoring with exportable event history, approval logs, and repeatable incident runbooks so that production support and post-incident review use the same source of truth.</w:t>
      </w:r>
    </w:p>
    <w:p>
      <w:pPr>
        <w:jc w:val="center"/>
      </w:pPr>
      <w:r>
        <w:drawing>
          <wp:inline xmlns:a="http://schemas.openxmlformats.org/drawingml/2006/main" xmlns:pic="http://schemas.openxmlformats.org/drawingml/2006/picture">
            <wp:extent cx="4810125" cy="4486275"/>
            <wp:docPr id="7" name="Picture 7"/>
            <wp:cNvGraphicFramePr>
              <a:graphicFrameLocks noChangeAspect="1"/>
            </wp:cNvGraphicFramePr>
            <a:graphic>
              <a:graphicData uri="http://schemas.openxmlformats.org/drawingml/2006/picture">
                <pic:pic>
                  <pic:nvPicPr>
                    <pic:cNvPr id="0" name="_diagram-007.png"/>
                    <pic:cNvPicPr/>
                  </pic:nvPicPr>
                  <pic:blipFill>
                    <a:blip r:embed="rId19"/>
                    <a:stretch>
                      <a:fillRect/>
                    </a:stretch>
                  </pic:blipFill>
                  <pic:spPr>
                    <a:xfrm>
                      <a:off x="0" y="0"/>
                      <a:ext cx="4810125" cy="4486275"/>
                    </a:xfrm>
                    <a:prstGeom prst="rect"/>
                  </pic:spPr>
                </pic:pic>
              </a:graphicData>
            </a:graphic>
          </wp:inline>
        </w:drawing>
      </w:r>
    </w:p>
    <w:p>
      <w:pPr>
        <w:pStyle w:val="H2"/>
        <w:numPr>
          <w:ilvl w:val="1"/>
          <w:numId w:val="1"/>
        </w:numPr>
      </w:pPr>
      <w:r>
        <w:t>Implementation Approach</w:t>
      </w:r>
    </w:p>
    <w:p>
      <w:r>
        <w:rPr>
          <w:rFonts w:ascii="Figtree" w:hAnsi="Figtree"/>
          <w:b w:val="0"/>
          <w:i w:val="0"/>
          <w:sz w:val="22"/>
        </w:rPr>
        <w:t>Intesa Sanpaolo is not buying a pilot stack; it is buying an operating capability for digital bonds platform that must survive architecture review, operational risk review, compliance challenge, and production support handover. For that reason, the response throughout this section assumes that DALP is introduced as a governed platform component with clear ownership boundaries, explicit approvals, and deterministic exports into the surrounding bank estate rather than as an isolated innovation sandbox. The practical design principle is configuration before customization: policy, product parameters, participant roles, and lifecycle states are expressed in managed configurations so that Intesa Sanpaolo can scale new products, legal entities, and corridors without rebuilding the control model each time.</w:t>
      </w:r>
    </w:p>
    <w:p>
      <w:r>
        <w:rPr>
          <w:rFonts w:ascii="Figtree" w:hAnsi="Figtree"/>
          <w:b w:val="0"/>
          <w:i w:val="0"/>
          <w:sz w:val="22"/>
        </w:rPr>
        <w:t>The relevant regulatory backdrop is MiCA, MiFID II, Italian securities and banking law, CONSOB and Bank of Italy expectations, DORA, and GDPR. DALP supports these obligations through configurable workflow gates, audit logs, entitlements, approval chains, API-led integration, and exportable evidence packs; where a requirement depends on external market infrastructure, local legal advice, or a customer-selected service provider, we say so explicitly and treat it as a dependency rather than folding it into an unsupported platform claim. That distinction matters for Intesa Sanpaolo because procurement and control teams need to separate core platform capability from implementation work and from third-party services at contract stage, not discover those distinctions during UAT.</w:t>
      </w:r>
    </w:p>
    <w:p>
      <w:r>
        <w:rPr>
          <w:rFonts w:ascii="Figtree" w:hAnsi="Figtree"/>
          <w:b w:val="0"/>
          <w:i w:val="0"/>
          <w:sz w:val="22"/>
        </w:rPr>
        <w:t>In delivery sequencing, the emphasis is reducing delivery risk through phased scope, objective checkpoints, and clear control sign-off before scale-out. We therefore describe not only the happy path but also queue states, dual control, exception routing, evidence retention, and rollback options, because those are the areas where institutional programmes usually fail when digital-asset proposals are written only from a product-marketing perspective. The architecture described here aims to let Intesa Sanpaolo keep supervisory accountability, data ownership, and operational authority while using DALP as the configurable execution and policy layer underneath the target workflow.</w:t>
      </w:r>
    </w:p>
    <w:p>
      <w:r>
        <w:rPr>
          <w:rFonts w:ascii="Figtree" w:hAnsi="Figtree"/>
          <w:b w:val="0"/>
          <w:i w:val="0"/>
          <w:sz w:val="22"/>
        </w:rPr>
        <w:t>The recommended implementation path is to begin with a narrow but real production slice and only then expand. That first slice should include end-to-end control evidence: configuration approval, external integration acknowledgements, operational monitoring, break handling, and audit export. For Intesa Sanpaolo, this means the early phases are as much about proving operational readiness as they are about standing up the base workflow.</w:t>
      </w:r>
    </w:p>
    <w:p>
      <w:r>
        <w:rPr>
          <w:rFonts w:ascii="Figtree" w:hAnsi="Figtree"/>
          <w:b w:val="0"/>
          <w:i w:val="0"/>
          <w:sz w:val="22"/>
        </w:rPr>
        <w:t>Programme governance should combine product, architecture, security, compliance, and operations representation. Each phase should close with an evidence package: decisions taken, configurations approved, interfaces validated, known dependencies, residual risks, and release criteria for the next stage. That package is what lets procurement and steering committees compare delivery progress against the original commitments in the RFP.</w:t>
      </w:r>
    </w:p>
    <w:p>
      <w:pPr>
        <w:jc w:val="center"/>
      </w:pPr>
      <w:r>
        <w:drawing>
          <wp:inline xmlns:a="http://schemas.openxmlformats.org/drawingml/2006/main" xmlns:pic="http://schemas.openxmlformats.org/drawingml/2006/picture">
            <wp:extent cx="5486400" cy="1539551"/>
            <wp:docPr id="8" name="Picture 8"/>
            <wp:cNvGraphicFramePr>
              <a:graphicFrameLocks noChangeAspect="1"/>
            </wp:cNvGraphicFramePr>
            <a:graphic>
              <a:graphicData uri="http://schemas.openxmlformats.org/drawingml/2006/picture">
                <pic:pic>
                  <pic:nvPicPr>
                    <pic:cNvPr id="0" name="_diagram-008.png"/>
                    <pic:cNvPicPr/>
                  </pic:nvPicPr>
                  <pic:blipFill>
                    <a:blip r:embed="rId20"/>
                    <a:stretch>
                      <a:fillRect/>
                    </a:stretch>
                  </pic:blipFill>
                  <pic:spPr>
                    <a:xfrm>
                      <a:off x="0" y="0"/>
                      <a:ext cx="5486400" cy="1539551"/>
                    </a:xfrm>
                    <a:prstGeom prst="rect"/>
                  </pic:spPr>
                </pic:pic>
              </a:graphicData>
            </a:graphic>
          </wp:inline>
        </w:drawing>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1801"/>
        <w:gridCol w:w="4225"/>
        <w:gridCol w:w="3044"/>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Phase</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Primary outcome</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Exit criteria</w:t>
            </w:r>
          </w:p>
        </w:tc>
      </w:tr>
      <w:tr>
        <w:trPr>
          <w:trHeight w:val="425" w:hRule="atLeast"/>
        </w:trPr>
        <w:tc>
          <w:tcPr>
            <w:tcW w:type="dxa" w:w="3249"/>
            <w:vAlign w:val="center"/>
          </w:tcPr>
          <w:p>
            <w:pPr>
              <w:spacing w:line="276" w:lineRule="auto" w:before="0" w:after="0"/>
            </w:pPr>
            <w:r/>
            <w:r>
              <w:rPr>
                <w:rFonts w:ascii="Figtree" w:hAnsi="Figtree"/>
                <w:b w:val="0"/>
                <w:i w:val="0"/>
                <w:sz w:val="20"/>
              </w:rPr>
              <w:t>Discovery and control mapping</w:t>
            </w:r>
          </w:p>
        </w:tc>
        <w:tc>
          <w:tcPr>
            <w:tcW w:type="dxa" w:w="3249"/>
            <w:vAlign w:val="center"/>
          </w:tcPr>
          <w:p>
            <w:pPr>
              <w:spacing w:line="276" w:lineRule="auto" w:before="0" w:after="0"/>
            </w:pPr>
            <w:r/>
            <w:r>
              <w:rPr>
                <w:rFonts w:ascii="Figtree" w:hAnsi="Figtree"/>
                <w:b w:val="0"/>
                <w:i w:val="0"/>
                <w:sz w:val="20"/>
              </w:rPr>
              <w:t>Finalize scope, policies, target integrations, evidence expectations</w:t>
            </w:r>
          </w:p>
        </w:tc>
        <w:tc>
          <w:tcPr>
            <w:tcW w:type="dxa" w:w="3249"/>
            <w:vAlign w:val="center"/>
          </w:tcPr>
          <w:p>
            <w:pPr>
              <w:spacing w:line="276" w:lineRule="auto" w:before="0" w:after="0"/>
            </w:pPr>
            <w:r/>
            <w:r>
              <w:rPr>
                <w:rFonts w:ascii="Figtree" w:hAnsi="Figtree"/>
                <w:b w:val="0"/>
                <w:i w:val="0"/>
                <w:sz w:val="20"/>
              </w:rPr>
              <w:t>Agreed operating model and RACI</w:t>
            </w:r>
          </w:p>
        </w:tc>
      </w:tr>
      <w:tr>
        <w:trPr>
          <w:trHeight w:val="425" w:hRule="atLeast"/>
        </w:trPr>
        <w:tc>
          <w:tcPr>
            <w:tcW w:type="dxa" w:w="3249"/>
            <w:vAlign w:val="center"/>
          </w:tcPr>
          <w:p>
            <w:pPr>
              <w:spacing w:line="276" w:lineRule="auto" w:before="0" w:after="0"/>
            </w:pPr>
            <w:r/>
            <w:r>
              <w:rPr>
                <w:rFonts w:ascii="Figtree" w:hAnsi="Figtree"/>
                <w:b w:val="0"/>
                <w:i w:val="0"/>
                <w:sz w:val="20"/>
              </w:rPr>
              <w:t>Foundation build</w:t>
            </w:r>
          </w:p>
        </w:tc>
        <w:tc>
          <w:tcPr>
            <w:tcW w:type="dxa" w:w="3249"/>
            <w:vAlign w:val="center"/>
          </w:tcPr>
          <w:p>
            <w:pPr>
              <w:spacing w:line="276" w:lineRule="auto" w:before="0" w:after="0"/>
            </w:pPr>
            <w:r/>
            <w:r>
              <w:rPr>
                <w:rFonts w:ascii="Figtree" w:hAnsi="Figtree"/>
                <w:b w:val="0"/>
                <w:i w:val="0"/>
                <w:sz w:val="20"/>
              </w:rPr>
              <w:t>Baseline environments, roles, templates, and monitoring</w:t>
            </w:r>
          </w:p>
        </w:tc>
        <w:tc>
          <w:tcPr>
            <w:tcW w:type="dxa" w:w="3249"/>
            <w:vAlign w:val="center"/>
          </w:tcPr>
          <w:p>
            <w:pPr>
              <w:spacing w:line="276" w:lineRule="auto" w:before="0" w:after="0"/>
            </w:pPr>
            <w:r/>
            <w:r>
              <w:rPr>
                <w:rFonts w:ascii="Figtree" w:hAnsi="Figtree"/>
                <w:b w:val="0"/>
                <w:i w:val="0"/>
                <w:sz w:val="20"/>
              </w:rPr>
              <w:t>Environments ready and admin controls signed off</w:t>
            </w:r>
          </w:p>
        </w:tc>
      </w:tr>
      <w:tr>
        <w:trPr>
          <w:trHeight w:val="425" w:hRule="atLeast"/>
        </w:trPr>
        <w:tc>
          <w:tcPr>
            <w:tcW w:type="dxa" w:w="3249"/>
            <w:vAlign w:val="center"/>
          </w:tcPr>
          <w:p>
            <w:pPr>
              <w:spacing w:line="276" w:lineRule="auto" w:before="0" w:after="0"/>
            </w:pPr>
            <w:r/>
            <w:r>
              <w:rPr>
                <w:rFonts w:ascii="Figtree" w:hAnsi="Figtree"/>
                <w:b w:val="0"/>
                <w:i w:val="0"/>
                <w:sz w:val="20"/>
              </w:rPr>
              <w:t>Configuration and integration</w:t>
            </w:r>
          </w:p>
        </w:tc>
        <w:tc>
          <w:tcPr>
            <w:tcW w:type="dxa" w:w="3249"/>
            <w:vAlign w:val="center"/>
          </w:tcPr>
          <w:p>
            <w:pPr>
              <w:spacing w:line="276" w:lineRule="auto" w:before="0" w:after="0"/>
            </w:pPr>
            <w:r/>
            <w:r>
              <w:rPr>
                <w:rFonts w:ascii="Figtree" w:hAnsi="Figtree"/>
                <w:b w:val="0"/>
                <w:i w:val="0"/>
                <w:sz w:val="20"/>
              </w:rPr>
              <w:t>Product workflows and interfaces implemented</w:t>
            </w:r>
          </w:p>
        </w:tc>
        <w:tc>
          <w:tcPr>
            <w:tcW w:type="dxa" w:w="3249"/>
            <w:vAlign w:val="center"/>
          </w:tcPr>
          <w:p>
            <w:pPr>
              <w:spacing w:line="276" w:lineRule="auto" w:before="0" w:after="0"/>
            </w:pPr>
            <w:r/>
            <w:r>
              <w:rPr>
                <w:rFonts w:ascii="Figtree" w:hAnsi="Figtree"/>
                <w:b w:val="0"/>
                <w:i w:val="0"/>
                <w:sz w:val="20"/>
              </w:rPr>
              <w:t>SIT complete and reconciliation evidence approved</w:t>
            </w:r>
          </w:p>
        </w:tc>
      </w:tr>
      <w:tr>
        <w:trPr>
          <w:trHeight w:val="425" w:hRule="atLeast"/>
        </w:trPr>
        <w:tc>
          <w:tcPr>
            <w:tcW w:type="dxa" w:w="3249"/>
            <w:vAlign w:val="center"/>
          </w:tcPr>
          <w:p>
            <w:pPr>
              <w:spacing w:line="276" w:lineRule="auto" w:before="0" w:after="0"/>
            </w:pPr>
            <w:r/>
            <w:r>
              <w:rPr>
                <w:rFonts w:ascii="Figtree" w:hAnsi="Figtree"/>
                <w:b w:val="0"/>
                <w:i w:val="0"/>
                <w:sz w:val="20"/>
              </w:rPr>
              <w:t>UAT and readiness</w:t>
            </w:r>
          </w:p>
        </w:tc>
        <w:tc>
          <w:tcPr>
            <w:tcW w:type="dxa" w:w="3249"/>
            <w:vAlign w:val="center"/>
          </w:tcPr>
          <w:p>
            <w:pPr>
              <w:spacing w:line="276" w:lineRule="auto" w:before="0" w:after="0"/>
            </w:pPr>
            <w:r/>
            <w:r>
              <w:rPr>
                <w:rFonts w:ascii="Figtree" w:hAnsi="Figtree"/>
                <w:b w:val="0"/>
                <w:i w:val="0"/>
                <w:sz w:val="20"/>
              </w:rPr>
              <w:t>Operational procedures, support model, and exports tested</w:t>
            </w:r>
          </w:p>
        </w:tc>
        <w:tc>
          <w:tcPr>
            <w:tcW w:type="dxa" w:w="3249"/>
            <w:vAlign w:val="center"/>
          </w:tcPr>
          <w:p>
            <w:pPr>
              <w:spacing w:line="276" w:lineRule="auto" w:before="0" w:after="0"/>
            </w:pPr>
            <w:r/>
            <w:r>
              <w:rPr>
                <w:rFonts w:ascii="Figtree" w:hAnsi="Figtree"/>
                <w:b w:val="0"/>
                <w:i w:val="0"/>
                <w:sz w:val="20"/>
              </w:rPr>
              <w:t>Go-live board approves release</w:t>
            </w:r>
          </w:p>
        </w:tc>
      </w:tr>
      <w:tr>
        <w:trPr>
          <w:trHeight w:val="425" w:hRule="atLeast"/>
        </w:trPr>
        <w:tc>
          <w:tcPr>
            <w:tcW w:type="dxa" w:w="3249"/>
            <w:vAlign w:val="center"/>
          </w:tcPr>
          <w:p>
            <w:pPr>
              <w:spacing w:line="276" w:lineRule="auto" w:before="0" w:after="0"/>
            </w:pPr>
            <w:r/>
            <w:r>
              <w:rPr>
                <w:rFonts w:ascii="Figtree" w:hAnsi="Figtree"/>
                <w:b w:val="0"/>
                <w:i w:val="0"/>
                <w:sz w:val="20"/>
              </w:rPr>
              <w:t>Launch and hypercare</w:t>
            </w:r>
          </w:p>
        </w:tc>
        <w:tc>
          <w:tcPr>
            <w:tcW w:type="dxa" w:w="3249"/>
            <w:vAlign w:val="center"/>
          </w:tcPr>
          <w:p>
            <w:pPr>
              <w:spacing w:line="276" w:lineRule="auto" w:before="0" w:after="0"/>
            </w:pPr>
            <w:r/>
            <w:r>
              <w:rPr>
                <w:rFonts w:ascii="Figtree" w:hAnsi="Figtree"/>
                <w:b w:val="0"/>
                <w:i w:val="0"/>
                <w:sz w:val="20"/>
              </w:rPr>
              <w:t>Controlled production rollout</w:t>
            </w:r>
          </w:p>
        </w:tc>
        <w:tc>
          <w:tcPr>
            <w:tcW w:type="dxa" w:w="3249"/>
            <w:vAlign w:val="center"/>
          </w:tcPr>
          <w:p>
            <w:pPr>
              <w:spacing w:line="276" w:lineRule="auto" w:before="0" w:after="0"/>
            </w:pPr>
            <w:r/>
            <w:r>
              <w:rPr>
                <w:rFonts w:ascii="Figtree" w:hAnsi="Figtree"/>
                <w:b w:val="0"/>
                <w:i w:val="0"/>
                <w:sz w:val="20"/>
              </w:rPr>
              <w:t>Stability metrics met and backlog triaged</w:t>
            </w:r>
          </w:p>
        </w:tc>
      </w:tr>
    </w:tbl>
    <w:p>
      <w:pPr>
        <w:spacing w:before="0" w:after="0" w:line="120" w:lineRule="exact"/>
      </w:pPr>
    </w:p>
    <w:p>
      <w:pPr>
        <w:pStyle w:val="H2"/>
        <w:numPr>
          <w:ilvl w:val="1"/>
          <w:numId w:val="1"/>
        </w:numPr>
      </w:pPr>
      <w:r>
        <w:t>Service Model and Operating Readiness</w:t>
      </w:r>
    </w:p>
    <w:p>
      <w:r>
        <w:rPr>
          <w:rFonts w:ascii="Figtree" w:hAnsi="Figtree"/>
          <w:b w:val="0"/>
          <w:i w:val="0"/>
          <w:sz w:val="22"/>
        </w:rPr>
        <w:t>Intesa Sanpaolo is not buying a pilot stack; it is buying an operating capability for digital bonds platform that must survive architecture review, operational risk review, compliance challenge, and production support handover. For that reason, the response throughout this section assumes that DALP is introduced as a governed platform component with clear ownership boundaries, explicit approvals, and deterministic exports into the surrounding bank estate rather than as an isolated innovation sandbox. The practical design principle is configuration before customization: policy, product parameters, participant roles, and lifecycle states are expressed in managed configurations so that Intesa Sanpaolo can scale new products, legal entities, and corridors without rebuilding the control model each time.</w:t>
      </w:r>
    </w:p>
    <w:p>
      <w:r>
        <w:rPr>
          <w:rFonts w:ascii="Figtree" w:hAnsi="Figtree"/>
          <w:b w:val="0"/>
          <w:i w:val="0"/>
          <w:sz w:val="22"/>
        </w:rPr>
        <w:t>The relevant regulatory backdrop is MiCA, MiFID II, Italian securities and banking law, CONSOB and Bank of Italy expectations, DORA, and GDPR. DALP supports these obligations through configurable workflow gates, audit logs, entitlements, approval chains, API-led integration, and exportable evidence packs; where a requirement depends on external market infrastructure, local legal advice, or a customer-selected service provider, we say so explicitly and treat it as a dependency rather than folding it into an unsupported platform claim. That distinction matters for Intesa Sanpaolo because procurement and control teams need to separate core platform capability from implementation work and from third-party services at contract stage, not discover those distinctions during UAT.</w:t>
      </w:r>
    </w:p>
    <w:p>
      <w:r>
        <w:rPr>
          <w:rFonts w:ascii="Figtree" w:hAnsi="Figtree"/>
          <w:b w:val="0"/>
          <w:i w:val="0"/>
          <w:sz w:val="22"/>
        </w:rPr>
        <w:t>In day-2 ownership, the emphasis is ensuring the bank can own the platform after launch without permanent vendor dependency. We therefore describe not only the happy path but also queue states, dual control, exception routing, evidence retention, and rollback options, because those are the areas where institutional programmes usually fail when digital-asset proposals are written only from a product-marketing perspective. The architecture described here aims to let Intesa Sanpaolo keep supervisory accountability, data ownership, and operational authority while using DALP as the configurable execution and policy layer underneath the target workflow.</w:t>
      </w:r>
    </w:p>
    <w:p>
      <w:r>
        <w:rPr>
          <w:rFonts w:ascii="Figtree" w:hAnsi="Figtree"/>
          <w:b w:val="0"/>
          <w:i w:val="0"/>
          <w:sz w:val="22"/>
        </w:rPr>
        <w:t>A credible proposal must explain who runs the service on day two. Our recommended operating model places business ownership, policy ownership, and operational authority with the bank, while SettleMint provides platform product support, upgrade guidance, and specialist implementation assistance where contracted. That split avoids a hidden managed-service dependency while still giving the institution access to vendor expertise when platform changes or incident analysis require it.</w:t>
      </w:r>
    </w:p>
    <w:p>
      <w:r>
        <w:rPr>
          <w:rFonts w:ascii="Figtree" w:hAnsi="Figtree"/>
          <w:b w:val="0"/>
          <w:i w:val="0"/>
          <w:sz w:val="22"/>
        </w:rPr>
        <w:t>Operating readiness also depends on practical artefacts: runbooks, ownership maps, change windows, support severity definitions, dashboard views, and evidence exports for internal control teams. Those artefacts should be produced during implementation rather than postponed until after go-live, because Intesa Sanpaolo will need them for acceptance, audit, and resilience review before any scaled rollout is authorized.</w:t>
      </w:r>
    </w:p>
    <w:p>
      <w:r>
        <w:rPr>
          <w:rFonts w:ascii="Figtree" w:hAnsi="Figtree"/>
          <w:i/>
          <w:sz w:val="22"/>
        </w:rPr>
        <w:t>[Diagram 9 — render failed, see markdown source]</w:t>
      </w:r>
    </w:p>
    <w:p>
      <w:pPr>
        <w:pStyle w:val="H2"/>
        <w:numPr>
          <w:ilvl w:val="1"/>
          <w:numId w:val="1"/>
        </w:numPr>
      </w:pPr>
      <w:r>
        <w:t>Requirements Response Narrative</w:t>
      </w:r>
    </w:p>
    <w:p>
      <w:r>
        <w:rPr>
          <w:rFonts w:ascii="Figtree" w:hAnsi="Figtree"/>
          <w:b w:val="0"/>
          <w:i w:val="0"/>
          <w:sz w:val="22"/>
        </w:rPr>
        <w:t>Intesa Sanpaolo is not buying a pilot stack; it is buying an operating capability for digital bonds platform that must survive architecture review, operational risk review, compliance challenge, and production support handover. For that reason, the response throughout this section assumes that DALP is introduced as a governed platform component with clear ownership boundaries, explicit approvals, and deterministic exports into the surrounding bank estate rather than as an isolated innovation sandbox. The practical design principle is configuration before customization: policy, product parameters, participant roles, and lifecycle states are expressed in managed configurations so that Intesa Sanpaolo can scale new products, legal entities, and corridors without rebuilding the control model each time.</w:t>
      </w:r>
    </w:p>
    <w:p>
      <w:r>
        <w:rPr>
          <w:rFonts w:ascii="Figtree" w:hAnsi="Figtree"/>
          <w:b w:val="0"/>
          <w:i w:val="0"/>
          <w:sz w:val="22"/>
        </w:rPr>
        <w:t>The relevant regulatory backdrop is MiCA, MiFID II, Italian securities and banking law, CONSOB and Bank of Italy expectations, DORA, and GDPR. DALP supports these obligations through configurable workflow gates, audit logs, entitlements, approval chains, API-led integration, and exportable evidence packs; where a requirement depends on external market infrastructure, local legal advice, or a customer-selected service provider, we say so explicitly and treat it as a dependency rather than folding it into an unsupported platform claim. That distinction matters for Intesa Sanpaolo because procurement and control teams need to separate core platform capability from implementation work and from third-party services at contract stage, not discover those distinctions during UAT.</w:t>
      </w:r>
    </w:p>
    <w:p>
      <w:r>
        <w:rPr>
          <w:rFonts w:ascii="Figtree" w:hAnsi="Figtree"/>
          <w:b w:val="0"/>
          <w:i w:val="0"/>
          <w:sz w:val="22"/>
        </w:rPr>
        <w:t>In qualification of coverage, the emphasis is translating the requirement matrix into clear capability positions with no hidden assumptions. We therefore describe not only the happy path but also queue states, dual control, exception routing, evidence retention, and rollback options, because those are the areas where institutional programmes usually fail when digital-asset proposals are written only from a product-marketing perspective. The architecture described here aims to let Intesa Sanpaolo keep supervisory accountability, data ownership, and operational authority while using DALP as the configurable execution and policy layer underneath the target workflow.</w:t>
      </w:r>
    </w:p>
    <w:p>
      <w:r>
        <w:rPr>
          <w:rFonts w:ascii="Figtree" w:hAnsi="Figtree"/>
          <w:b w:val="0"/>
          <w:i w:val="0"/>
          <w:sz w:val="22"/>
        </w:rPr>
        <w:t>Across the RFP, our position is consistent: DALP is strong where configurable lifecycle control, policy enforcement, approvals, integrations, and evidence generation are required. Where the target model depends on legal interpretation, third-party market infrastructure, external attestations, or customer-specific enterprise tooling, we identify the dependency and propose how it is governed. This is the most reliable way to preserve trust during procurement and to avoid over-claiming functionality that, in practice, belongs in implementation scope or in the bank's retained control obligations.</w:t>
      </w:r>
    </w:p>
    <w:p>
      <w:r>
        <w:rPr>
          <w:rFonts w:ascii="Figtree" w:hAnsi="Figtree"/>
          <w:b w:val="0"/>
          <w:i w:val="0"/>
          <w:sz w:val="22"/>
        </w:rPr>
        <w:t>For Intesa Sanpaolo, the most important delivery question is not whether a digital workflow can be demonstrated once; it is whether the institution can own, govern, and evidence that workflow across products and over time. The response is therefore optimized for maintainability, reuse, and supervisory defensibility rather than for speculative breadth. That makes it a stronger fit for a regulated institution seeking industrialized operations rather than innovation theatre.</w:t>
      </w:r>
    </w:p>
    <w:p>
      <w:pPr>
        <w:jc w:val="center"/>
      </w:pPr>
      <w:r>
        <w:drawing>
          <wp:inline xmlns:a="http://schemas.openxmlformats.org/drawingml/2006/main" xmlns:pic="http://schemas.openxmlformats.org/drawingml/2006/picture">
            <wp:extent cx="5486400" cy="307910"/>
            <wp:docPr id="9" name="Picture 9"/>
            <wp:cNvGraphicFramePr>
              <a:graphicFrameLocks noChangeAspect="1"/>
            </wp:cNvGraphicFramePr>
            <a:graphic>
              <a:graphicData uri="http://schemas.openxmlformats.org/drawingml/2006/picture">
                <pic:pic>
                  <pic:nvPicPr>
                    <pic:cNvPr id="0" name="_diagram-010.png"/>
                    <pic:cNvPicPr/>
                  </pic:nvPicPr>
                  <pic:blipFill>
                    <a:blip r:embed="rId21"/>
                    <a:stretch>
                      <a:fillRect/>
                    </a:stretch>
                  </pic:blipFill>
                  <pic:spPr>
                    <a:xfrm>
                      <a:off x="0" y="0"/>
                      <a:ext cx="5486400" cy="307910"/>
                    </a:xfrm>
                    <a:prstGeom prst="rect"/>
                  </pic:spPr>
                </pic:pic>
              </a:graphicData>
            </a:graphic>
          </wp:inline>
        </w:drawing>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2026"/>
        <w:gridCol w:w="1544"/>
        <w:gridCol w:w="5501"/>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Requirement theme</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Position</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Response</w:t>
            </w:r>
          </w:p>
        </w:tc>
      </w:tr>
      <w:tr>
        <w:trPr>
          <w:trHeight w:val="425" w:hRule="atLeast"/>
        </w:trPr>
        <w:tc>
          <w:tcPr>
            <w:tcW w:type="dxa" w:w="3249"/>
            <w:vAlign w:val="center"/>
          </w:tcPr>
          <w:p>
            <w:pPr>
              <w:spacing w:line="276" w:lineRule="auto" w:before="0" w:after="0"/>
            </w:pPr>
            <w:r/>
            <w:r>
              <w:rPr>
                <w:rFonts w:ascii="Figtree" w:hAnsi="Figtree"/>
                <w:b w:val="0"/>
                <w:i w:val="0"/>
                <w:sz w:val="20"/>
              </w:rPr>
              <w:t>Lifecycle control</w:t>
            </w:r>
          </w:p>
        </w:tc>
        <w:tc>
          <w:tcPr>
            <w:tcW w:type="dxa" w:w="3249"/>
            <w:vAlign w:val="center"/>
          </w:tcPr>
          <w:p>
            <w:pPr>
              <w:spacing w:line="276" w:lineRule="auto" w:before="0" w:after="0"/>
            </w:pPr>
            <w:r/>
            <w:r>
              <w:rPr>
                <w:rFonts w:ascii="Figtree" w:hAnsi="Figtree"/>
                <w:b w:val="0"/>
                <w:i w:val="0"/>
                <w:sz w:val="20"/>
              </w:rPr>
              <w:t>Supported</w:t>
            </w:r>
          </w:p>
        </w:tc>
        <w:tc>
          <w:tcPr>
            <w:tcW w:type="dxa" w:w="3249"/>
            <w:vAlign w:val="center"/>
          </w:tcPr>
          <w:p>
            <w:pPr>
              <w:spacing w:line="276" w:lineRule="auto" w:before="0" w:after="0"/>
            </w:pPr>
            <w:r/>
            <w:r>
              <w:rPr>
                <w:rFonts w:ascii="Figtree" w:hAnsi="Figtree"/>
                <w:b w:val="0"/>
                <w:i w:val="0"/>
                <w:sz w:val="20"/>
              </w:rPr>
              <w:t>Configurable asset templates, approval states, servicing events, archive and redemption flows.</w:t>
            </w:r>
          </w:p>
        </w:tc>
      </w:tr>
      <w:tr>
        <w:trPr>
          <w:trHeight w:val="425" w:hRule="atLeast"/>
        </w:trPr>
        <w:tc>
          <w:tcPr>
            <w:tcW w:type="dxa" w:w="3249"/>
            <w:vAlign w:val="center"/>
          </w:tcPr>
          <w:p>
            <w:pPr>
              <w:spacing w:line="276" w:lineRule="auto" w:before="0" w:after="0"/>
            </w:pPr>
            <w:r/>
            <w:r>
              <w:rPr>
                <w:rFonts w:ascii="Figtree" w:hAnsi="Figtree"/>
                <w:b w:val="0"/>
                <w:i w:val="0"/>
                <w:sz w:val="20"/>
              </w:rPr>
              <w:t>Enterprise integration</w:t>
            </w:r>
          </w:p>
        </w:tc>
        <w:tc>
          <w:tcPr>
            <w:tcW w:type="dxa" w:w="3249"/>
            <w:vAlign w:val="center"/>
          </w:tcPr>
          <w:p>
            <w:pPr>
              <w:spacing w:line="276" w:lineRule="auto" w:before="0" w:after="0"/>
            </w:pPr>
            <w:r/>
            <w:r>
              <w:rPr>
                <w:rFonts w:ascii="Figtree" w:hAnsi="Figtree"/>
                <w:b w:val="0"/>
                <w:i w:val="0"/>
                <w:sz w:val="20"/>
              </w:rPr>
              <w:t>Supported</w:t>
            </w:r>
          </w:p>
        </w:tc>
        <w:tc>
          <w:tcPr>
            <w:tcW w:type="dxa" w:w="3249"/>
            <w:vAlign w:val="center"/>
          </w:tcPr>
          <w:p>
            <w:pPr>
              <w:spacing w:line="276" w:lineRule="auto" w:before="0" w:after="0"/>
            </w:pPr>
            <w:r/>
            <w:r>
              <w:rPr>
                <w:rFonts w:ascii="Figtree" w:hAnsi="Figtree"/>
                <w:b w:val="0"/>
                <w:i w:val="0"/>
                <w:sz w:val="20"/>
              </w:rPr>
              <w:t>REST APIs, events, and export patterns for bank systems; market-infrastructure adapters remain implementation scope.</w:t>
            </w:r>
          </w:p>
        </w:tc>
      </w:tr>
      <w:tr>
        <w:trPr>
          <w:trHeight w:val="425" w:hRule="atLeast"/>
        </w:trPr>
        <w:tc>
          <w:tcPr>
            <w:tcW w:type="dxa" w:w="3249"/>
            <w:vAlign w:val="center"/>
          </w:tcPr>
          <w:p>
            <w:pPr>
              <w:spacing w:line="276" w:lineRule="auto" w:before="0" w:after="0"/>
            </w:pPr>
            <w:r/>
            <w:r>
              <w:rPr>
                <w:rFonts w:ascii="Figtree" w:hAnsi="Figtree"/>
                <w:b w:val="0"/>
                <w:i w:val="0"/>
                <w:sz w:val="20"/>
              </w:rPr>
              <w:t>Role segregation</w:t>
            </w:r>
          </w:p>
        </w:tc>
        <w:tc>
          <w:tcPr>
            <w:tcW w:type="dxa" w:w="3249"/>
            <w:vAlign w:val="center"/>
          </w:tcPr>
          <w:p>
            <w:pPr>
              <w:spacing w:line="276" w:lineRule="auto" w:before="0" w:after="0"/>
            </w:pPr>
            <w:r/>
            <w:r>
              <w:rPr>
                <w:rFonts w:ascii="Figtree" w:hAnsi="Figtree"/>
                <w:b w:val="0"/>
                <w:i w:val="0"/>
                <w:sz w:val="20"/>
              </w:rPr>
              <w:t>Supported</w:t>
            </w:r>
          </w:p>
        </w:tc>
        <w:tc>
          <w:tcPr>
            <w:tcW w:type="dxa" w:w="3249"/>
            <w:vAlign w:val="center"/>
          </w:tcPr>
          <w:p>
            <w:pPr>
              <w:spacing w:line="276" w:lineRule="auto" w:before="0" w:after="0"/>
            </w:pPr>
            <w:r/>
            <w:r>
              <w:rPr>
                <w:rFonts w:ascii="Figtree" w:hAnsi="Figtree"/>
                <w:b w:val="0"/>
                <w:i w:val="0"/>
                <w:sz w:val="20"/>
              </w:rPr>
              <w:t>RBAC, maker-checker, environment separation, and auditable admin events.</w:t>
            </w:r>
          </w:p>
        </w:tc>
      </w:tr>
      <w:tr>
        <w:trPr>
          <w:trHeight w:val="425" w:hRule="atLeast"/>
        </w:trPr>
        <w:tc>
          <w:tcPr>
            <w:tcW w:type="dxa" w:w="3249"/>
            <w:vAlign w:val="center"/>
          </w:tcPr>
          <w:p>
            <w:pPr>
              <w:spacing w:line="276" w:lineRule="auto" w:before="0" w:after="0"/>
            </w:pPr>
            <w:r/>
            <w:r>
              <w:rPr>
                <w:rFonts w:ascii="Figtree" w:hAnsi="Figtree"/>
                <w:b w:val="0"/>
                <w:i w:val="0"/>
                <w:sz w:val="20"/>
              </w:rPr>
              <w:t>Evidence generation</w:t>
            </w:r>
          </w:p>
        </w:tc>
        <w:tc>
          <w:tcPr>
            <w:tcW w:type="dxa" w:w="3249"/>
            <w:vAlign w:val="center"/>
          </w:tcPr>
          <w:p>
            <w:pPr>
              <w:spacing w:line="276" w:lineRule="auto" w:before="0" w:after="0"/>
            </w:pPr>
            <w:r/>
            <w:r>
              <w:rPr>
                <w:rFonts w:ascii="Figtree" w:hAnsi="Figtree"/>
                <w:b w:val="0"/>
                <w:i w:val="0"/>
                <w:sz w:val="20"/>
              </w:rPr>
              <w:t>Supported</w:t>
            </w:r>
          </w:p>
        </w:tc>
        <w:tc>
          <w:tcPr>
            <w:tcW w:type="dxa" w:w="3249"/>
            <w:vAlign w:val="center"/>
          </w:tcPr>
          <w:p>
            <w:pPr>
              <w:spacing w:line="276" w:lineRule="auto" w:before="0" w:after="0"/>
            </w:pPr>
            <w:r/>
            <w:r>
              <w:rPr>
                <w:rFonts w:ascii="Figtree" w:hAnsi="Figtree"/>
                <w:b w:val="0"/>
                <w:i w:val="0"/>
                <w:sz w:val="20"/>
              </w:rPr>
              <w:t>Audit logs, export packages, dashboards, and regulator-ready extracts.</w:t>
            </w:r>
          </w:p>
        </w:tc>
      </w:tr>
      <w:tr>
        <w:trPr>
          <w:trHeight w:val="425" w:hRule="atLeast"/>
        </w:trPr>
        <w:tc>
          <w:tcPr>
            <w:tcW w:type="dxa" w:w="3249"/>
            <w:vAlign w:val="center"/>
          </w:tcPr>
          <w:p>
            <w:pPr>
              <w:spacing w:line="276" w:lineRule="auto" w:before="0" w:after="0"/>
            </w:pPr>
            <w:r/>
            <w:r>
              <w:rPr>
                <w:rFonts w:ascii="Figtree" w:hAnsi="Figtree"/>
                <w:b w:val="0"/>
                <w:i w:val="0"/>
                <w:sz w:val="20"/>
              </w:rPr>
              <w:t>Jurisdiction-specific legal interpretation</w:t>
            </w:r>
          </w:p>
        </w:tc>
        <w:tc>
          <w:tcPr>
            <w:tcW w:type="dxa" w:w="3249"/>
            <w:vAlign w:val="center"/>
          </w:tcPr>
          <w:p>
            <w:pPr>
              <w:spacing w:line="276" w:lineRule="auto" w:before="0" w:after="0"/>
            </w:pPr>
            <w:r/>
            <w:r>
              <w:rPr>
                <w:rFonts w:ascii="Figtree" w:hAnsi="Figtree"/>
                <w:b w:val="0"/>
                <w:i w:val="0"/>
                <w:sz w:val="20"/>
              </w:rPr>
              <w:t>Buyer owned with partner support</w:t>
            </w:r>
          </w:p>
        </w:tc>
        <w:tc>
          <w:tcPr>
            <w:tcW w:type="dxa" w:w="3249"/>
            <w:vAlign w:val="center"/>
          </w:tcPr>
          <w:p>
            <w:pPr>
              <w:spacing w:line="276" w:lineRule="auto" w:before="0" w:after="0"/>
            </w:pPr>
            <w:r/>
            <w:r>
              <w:rPr>
                <w:rFonts w:ascii="Figtree" w:hAnsi="Figtree"/>
                <w:b w:val="0"/>
                <w:i w:val="0"/>
                <w:sz w:val="20"/>
              </w:rPr>
              <w:t>Implemented as configurable policy and documentation workstream, not a hard-coded legal engine.</w:t>
            </w:r>
          </w:p>
        </w:tc>
      </w:tr>
      <w:tr>
        <w:trPr>
          <w:trHeight w:val="425" w:hRule="atLeast"/>
        </w:trPr>
        <w:tc>
          <w:tcPr>
            <w:tcW w:type="dxa" w:w="3249"/>
            <w:vAlign w:val="center"/>
          </w:tcPr>
          <w:p>
            <w:pPr>
              <w:spacing w:line="276" w:lineRule="auto" w:before="0" w:after="0"/>
            </w:pPr>
            <w:r/>
            <w:r>
              <w:rPr>
                <w:rFonts w:ascii="Figtree" w:hAnsi="Figtree"/>
                <w:b w:val="0"/>
                <w:i w:val="0"/>
                <w:sz w:val="20"/>
              </w:rPr>
              <w:t>Third-party connectivity</w:t>
            </w:r>
          </w:p>
        </w:tc>
        <w:tc>
          <w:tcPr>
            <w:tcW w:type="dxa" w:w="3249"/>
            <w:vAlign w:val="center"/>
          </w:tcPr>
          <w:p>
            <w:pPr>
              <w:spacing w:line="276" w:lineRule="auto" w:before="0" w:after="0"/>
            </w:pPr>
            <w:r/>
            <w:r>
              <w:rPr>
                <w:rFonts w:ascii="Figtree" w:hAnsi="Figtree"/>
                <w:b w:val="0"/>
                <w:i w:val="0"/>
                <w:sz w:val="20"/>
              </w:rPr>
              <w:t>Supported via integration</w:t>
            </w:r>
          </w:p>
        </w:tc>
        <w:tc>
          <w:tcPr>
            <w:tcW w:type="dxa" w:w="3249"/>
            <w:vAlign w:val="center"/>
          </w:tcPr>
          <w:p>
            <w:pPr>
              <w:spacing w:line="276" w:lineRule="auto" w:before="0" w:after="0"/>
            </w:pPr>
            <w:r/>
            <w:r>
              <w:rPr>
                <w:rFonts w:ascii="Figtree" w:hAnsi="Figtree"/>
                <w:b w:val="0"/>
                <w:i w:val="0"/>
                <w:sz w:val="20"/>
              </w:rPr>
              <w:t>Custody, messaging, ESG, payment, registry, and identity providers connected through approved interfaces.</w:t>
            </w:r>
          </w:p>
        </w:tc>
      </w:tr>
    </w:tbl>
    <w:p>
      <w:pPr>
        <w:spacing w:before="0" w:after="0" w:line="120" w:lineRule="exact"/>
      </w:pPr>
    </w:p>
    <w:p>
      <w:pPr>
        <w:pStyle w:val="H2"/>
        <w:numPr>
          <w:ilvl w:val="1"/>
          <w:numId w:val="1"/>
        </w:numPr>
      </w:pPr>
      <w:r>
        <w:t>Qualified Dependencies and Assumptions</w:t>
      </w:r>
    </w:p>
    <w:p>
      <w:r>
        <w:rPr>
          <w:rFonts w:ascii="Figtree" w:hAnsi="Figtree"/>
          <w:b w:val="0"/>
          <w:i w:val="0"/>
          <w:sz w:val="22"/>
        </w:rPr>
        <w:t>The following assumptions apply to the proposal and are intentionally explicit. Jurisdiction-specific legal interpretations, final regulatory filings, external connectivity certifications, and customer-selected hosting controls remain joint workstreams between the institution, its advisors, and relevant third parties. DALP supports those workstreams through configurable controls and integration patterns; it does not substitute for them.</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3190"/>
        <w:gridCol w:w="3190"/>
        <w:gridCol w:w="2690"/>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Assumption</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Why it matters</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Proposed treatment</w:t>
            </w:r>
          </w:p>
        </w:tc>
      </w:tr>
      <w:tr>
        <w:trPr>
          <w:trHeight w:val="425" w:hRule="atLeast"/>
        </w:trPr>
        <w:tc>
          <w:tcPr>
            <w:tcW w:type="dxa" w:w="3249"/>
            <w:vAlign w:val="center"/>
          </w:tcPr>
          <w:p>
            <w:pPr>
              <w:spacing w:line="276" w:lineRule="auto" w:before="0" w:after="0"/>
            </w:pPr>
            <w:r/>
            <w:r>
              <w:rPr>
                <w:rFonts w:ascii="Figtree" w:hAnsi="Figtree"/>
                <w:b w:val="0"/>
                <w:i w:val="0"/>
                <w:sz w:val="20"/>
              </w:rPr>
              <w:t>Final legal structure confirmed by buyer counsel</w:t>
            </w:r>
          </w:p>
        </w:tc>
        <w:tc>
          <w:tcPr>
            <w:tcW w:type="dxa" w:w="3249"/>
            <w:vAlign w:val="center"/>
          </w:tcPr>
          <w:p>
            <w:pPr>
              <w:spacing w:line="276" w:lineRule="auto" w:before="0" w:after="0"/>
            </w:pPr>
            <w:r/>
            <w:r>
              <w:rPr>
                <w:rFonts w:ascii="Figtree" w:hAnsi="Figtree"/>
                <w:b w:val="0"/>
                <w:i w:val="0"/>
                <w:sz w:val="20"/>
              </w:rPr>
              <w:t>Product rules and disclosures depend on it</w:t>
            </w:r>
          </w:p>
        </w:tc>
        <w:tc>
          <w:tcPr>
            <w:tcW w:type="dxa" w:w="3249"/>
            <w:vAlign w:val="center"/>
          </w:tcPr>
          <w:p>
            <w:pPr>
              <w:spacing w:line="276" w:lineRule="auto" w:before="0" w:after="0"/>
            </w:pPr>
            <w:r/>
            <w:r>
              <w:rPr>
                <w:rFonts w:ascii="Figtree" w:hAnsi="Figtree"/>
                <w:b w:val="0"/>
                <w:i w:val="0"/>
                <w:sz w:val="20"/>
              </w:rPr>
              <w:t>Bind policy after legal sign-off</w:t>
            </w:r>
          </w:p>
        </w:tc>
      </w:tr>
      <w:tr>
        <w:trPr>
          <w:trHeight w:val="425" w:hRule="atLeast"/>
        </w:trPr>
        <w:tc>
          <w:tcPr>
            <w:tcW w:type="dxa" w:w="3249"/>
            <w:vAlign w:val="center"/>
          </w:tcPr>
          <w:p>
            <w:pPr>
              <w:spacing w:line="276" w:lineRule="auto" w:before="0" w:after="0"/>
            </w:pPr>
            <w:r/>
            <w:r>
              <w:rPr>
                <w:rFonts w:ascii="Figtree" w:hAnsi="Figtree"/>
                <w:b w:val="0"/>
                <w:i w:val="0"/>
                <w:sz w:val="20"/>
              </w:rPr>
              <w:t>External infrastructure access approved</w:t>
            </w:r>
          </w:p>
        </w:tc>
        <w:tc>
          <w:tcPr>
            <w:tcW w:type="dxa" w:w="3249"/>
            <w:vAlign w:val="center"/>
          </w:tcPr>
          <w:p>
            <w:pPr>
              <w:spacing w:line="276" w:lineRule="auto" w:before="0" w:after="0"/>
            </w:pPr>
            <w:r/>
            <w:r>
              <w:rPr>
                <w:rFonts w:ascii="Figtree" w:hAnsi="Figtree"/>
                <w:b w:val="0"/>
                <w:i w:val="0"/>
                <w:sz w:val="20"/>
              </w:rPr>
              <w:t>Connectivity and acceptance testing depend on it</w:t>
            </w:r>
          </w:p>
        </w:tc>
        <w:tc>
          <w:tcPr>
            <w:tcW w:type="dxa" w:w="3249"/>
            <w:vAlign w:val="center"/>
          </w:tcPr>
          <w:p>
            <w:pPr>
              <w:spacing w:line="276" w:lineRule="auto" w:before="0" w:after="0"/>
            </w:pPr>
            <w:r/>
            <w:r>
              <w:rPr>
                <w:rFonts w:ascii="Figtree" w:hAnsi="Figtree"/>
                <w:b w:val="0"/>
                <w:i w:val="0"/>
                <w:sz w:val="20"/>
              </w:rPr>
              <w:t>Treat as gated dependency in plan</w:t>
            </w:r>
          </w:p>
        </w:tc>
      </w:tr>
      <w:tr>
        <w:trPr>
          <w:trHeight w:val="425" w:hRule="atLeast"/>
        </w:trPr>
        <w:tc>
          <w:tcPr>
            <w:tcW w:type="dxa" w:w="3249"/>
            <w:vAlign w:val="center"/>
          </w:tcPr>
          <w:p>
            <w:pPr>
              <w:spacing w:line="276" w:lineRule="auto" w:before="0" w:after="0"/>
            </w:pPr>
            <w:r/>
            <w:r>
              <w:rPr>
                <w:rFonts w:ascii="Figtree" w:hAnsi="Figtree"/>
                <w:b w:val="0"/>
                <w:i w:val="0"/>
                <w:sz w:val="20"/>
              </w:rPr>
              <w:t>Enterprise IAM and logging standards available</w:t>
            </w:r>
          </w:p>
        </w:tc>
        <w:tc>
          <w:tcPr>
            <w:tcW w:type="dxa" w:w="3249"/>
            <w:vAlign w:val="center"/>
          </w:tcPr>
          <w:p>
            <w:pPr>
              <w:spacing w:line="276" w:lineRule="auto" w:before="0" w:after="0"/>
            </w:pPr>
            <w:r/>
            <w:r>
              <w:rPr>
                <w:rFonts w:ascii="Figtree" w:hAnsi="Figtree"/>
                <w:b w:val="0"/>
                <w:i w:val="0"/>
                <w:sz w:val="20"/>
              </w:rPr>
              <w:t>Role sync and evidentiary monitoring depend on them</w:t>
            </w:r>
          </w:p>
        </w:tc>
        <w:tc>
          <w:tcPr>
            <w:tcW w:type="dxa" w:w="3249"/>
            <w:vAlign w:val="center"/>
          </w:tcPr>
          <w:p>
            <w:pPr>
              <w:spacing w:line="276" w:lineRule="auto" w:before="0" w:after="0"/>
            </w:pPr>
            <w:r/>
            <w:r>
              <w:rPr>
                <w:rFonts w:ascii="Figtree" w:hAnsi="Figtree"/>
                <w:b w:val="0"/>
                <w:i w:val="0"/>
                <w:sz w:val="20"/>
              </w:rPr>
              <w:t>Integrate during foundation phase</w:t>
            </w:r>
          </w:p>
        </w:tc>
      </w:tr>
      <w:tr>
        <w:trPr>
          <w:trHeight w:val="425" w:hRule="atLeast"/>
        </w:trPr>
        <w:tc>
          <w:tcPr>
            <w:tcW w:type="dxa" w:w="3249"/>
            <w:vAlign w:val="center"/>
          </w:tcPr>
          <w:p>
            <w:pPr>
              <w:spacing w:line="276" w:lineRule="auto" w:before="0" w:after="0"/>
            </w:pPr>
            <w:r/>
            <w:r>
              <w:rPr>
                <w:rFonts w:ascii="Figtree" w:hAnsi="Figtree"/>
                <w:b w:val="0"/>
                <w:i w:val="0"/>
                <w:sz w:val="20"/>
              </w:rPr>
              <w:t>Data-retention and reporting requirements finalized</w:t>
            </w:r>
          </w:p>
        </w:tc>
        <w:tc>
          <w:tcPr>
            <w:tcW w:type="dxa" w:w="3249"/>
            <w:vAlign w:val="center"/>
          </w:tcPr>
          <w:p>
            <w:pPr>
              <w:spacing w:line="276" w:lineRule="auto" w:before="0" w:after="0"/>
            </w:pPr>
            <w:r/>
            <w:r>
              <w:rPr>
                <w:rFonts w:ascii="Figtree" w:hAnsi="Figtree"/>
                <w:b w:val="0"/>
                <w:i w:val="0"/>
                <w:sz w:val="20"/>
              </w:rPr>
              <w:t>Export pack shape depends on them</w:t>
            </w:r>
          </w:p>
        </w:tc>
        <w:tc>
          <w:tcPr>
            <w:tcW w:type="dxa" w:w="3249"/>
            <w:vAlign w:val="center"/>
          </w:tcPr>
          <w:p>
            <w:pPr>
              <w:spacing w:line="276" w:lineRule="auto" w:before="0" w:after="0"/>
            </w:pPr>
            <w:r/>
            <w:r>
              <w:rPr>
                <w:rFonts w:ascii="Figtree" w:hAnsi="Figtree"/>
                <w:b w:val="0"/>
                <w:i w:val="0"/>
                <w:sz w:val="20"/>
              </w:rPr>
              <w:t>Confirm during discovery with control teams</w:t>
            </w:r>
          </w:p>
        </w:tc>
      </w:tr>
      <w:tr>
        <w:trPr>
          <w:trHeight w:val="425" w:hRule="atLeast"/>
        </w:trPr>
        <w:tc>
          <w:tcPr>
            <w:tcW w:type="dxa" w:w="3249"/>
            <w:vAlign w:val="center"/>
          </w:tcPr>
          <w:p>
            <w:pPr>
              <w:spacing w:line="276" w:lineRule="auto" w:before="0" w:after="0"/>
            </w:pPr>
            <w:r/>
            <w:r>
              <w:rPr>
                <w:rFonts w:ascii="Figtree" w:hAnsi="Figtree"/>
                <w:b w:val="0"/>
                <w:i w:val="0"/>
                <w:sz w:val="20"/>
              </w:rPr>
              <w:t>Buyer operational staffing identified</w:t>
            </w:r>
          </w:p>
        </w:tc>
        <w:tc>
          <w:tcPr>
            <w:tcW w:type="dxa" w:w="3249"/>
            <w:vAlign w:val="center"/>
          </w:tcPr>
          <w:p>
            <w:pPr>
              <w:spacing w:line="276" w:lineRule="auto" w:before="0" w:after="0"/>
            </w:pPr>
            <w:r/>
            <w:r>
              <w:rPr>
                <w:rFonts w:ascii="Figtree" w:hAnsi="Figtree"/>
                <w:b w:val="0"/>
                <w:i w:val="0"/>
                <w:sz w:val="20"/>
              </w:rPr>
              <w:t>UAT and day-2 readiness require named owners</w:t>
            </w:r>
          </w:p>
        </w:tc>
        <w:tc>
          <w:tcPr>
            <w:tcW w:type="dxa" w:w="3249"/>
            <w:vAlign w:val="center"/>
          </w:tcPr>
          <w:p>
            <w:pPr>
              <w:spacing w:line="276" w:lineRule="auto" w:before="0" w:after="0"/>
            </w:pPr>
            <w:r/>
            <w:r>
              <w:rPr>
                <w:rFonts w:ascii="Figtree" w:hAnsi="Figtree"/>
                <w:b w:val="0"/>
                <w:i w:val="0"/>
                <w:sz w:val="20"/>
              </w:rPr>
              <w:t>Include in governance workstream</w:t>
            </w:r>
          </w:p>
        </w:tc>
      </w:tr>
    </w:tbl>
    <w:p>
      <w:pPr>
        <w:spacing w:before="0" w:after="0" w:line="120" w:lineRule="exact"/>
      </w:pPr>
    </w:p>
    <w:p>
      <w:r>
        <w:rPr>
          <w:rFonts w:ascii="Figtree" w:hAnsi="Figtree"/>
          <w:b w:val="0"/>
          <w:i w:val="0"/>
          <w:sz w:val="22"/>
        </w:rPr>
        <w:t>These assumptions are not blockers to starting the programme, but they are blockers to claiming a full production release without residual risk. Capturing them early is part of responsible delivery.</w:t>
      </w:r>
    </w:p>
    <w:p>
      <w:pPr>
        <w:pStyle w:val="H2"/>
        <w:numPr>
          <w:ilvl w:val="1"/>
          <w:numId w:val="1"/>
        </w:numPr>
      </w:pPr>
      <w:r>
        <w:t>Relevant Delivery Evidence</w:t>
      </w:r>
    </w:p>
    <w:p>
      <w:r>
        <w:rPr>
          <w:rFonts w:ascii="Figtree" w:hAnsi="Figtree"/>
          <w:b w:val="0"/>
          <w:i w:val="0"/>
          <w:sz w:val="22"/>
        </w:rPr>
        <w:t>The proposal is framed around evidence types that procurement and control teams can validate for Intesa Sanpaolo. These include environment designs, role maps, requirement traceability, sample exports, integration contracts, support model definitions, and delivery references relevant to regulated financial institutions. Where supporting artefacts are more appropriately shared under NDA or in diligence phases, this is noted rather than treated as absent evidence.</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1721"/>
        <w:gridCol w:w="7350"/>
      </w:tblGrid>
      <w:tr>
        <w:trPr>
          <w:trHeight w:val="425" w:hRule="atLeast"/>
        </w:trPr>
        <w:tc>
          <w:tcPr>
            <w:tcW w:type="dxa" w:w="4873"/>
            <w:vAlign w:val="center"/>
            <w:shd w:fill="E8E0F0" w:val="clear"/>
          </w:tcPr>
          <w:p>
            <w:pPr>
              <w:spacing w:line="276" w:lineRule="auto" w:before="0" w:after="0"/>
              <w:jc w:val="left"/>
            </w:pPr>
            <w:r>
              <w:rPr>
                <w:b/>
                <w:color w:val="2D1A8C"/>
              </w:rPr>
            </w:r>
            <w:r>
              <w:rPr>
                <w:rFonts w:ascii="Figtree" w:hAnsi="Figtree"/>
                <w:b/>
                <w:i w:val="0"/>
                <w:color w:val="2D1A8C"/>
                <w:sz w:val="20"/>
              </w:rPr>
              <w:t>Evidence category</w:t>
            </w:r>
          </w:p>
        </w:tc>
        <w:tc>
          <w:tcPr>
            <w:tcW w:type="dxa" w:w="4873"/>
            <w:vAlign w:val="center"/>
            <w:shd w:fill="E8E0F0" w:val="clear"/>
          </w:tcPr>
          <w:p>
            <w:pPr>
              <w:spacing w:line="276" w:lineRule="auto" w:before="0" w:after="0"/>
              <w:jc w:val="center"/>
            </w:pPr>
            <w:r>
              <w:rPr>
                <w:b/>
                <w:color w:val="2D1A8C"/>
              </w:rPr>
            </w:r>
            <w:r>
              <w:rPr>
                <w:rFonts w:ascii="Figtree" w:hAnsi="Figtree"/>
                <w:b/>
                <w:i w:val="0"/>
                <w:color w:val="2D1A8C"/>
                <w:sz w:val="20"/>
              </w:rPr>
              <w:t>How it is provided</w:t>
            </w:r>
          </w:p>
        </w:tc>
      </w:tr>
      <w:tr>
        <w:trPr>
          <w:trHeight w:val="425" w:hRule="atLeast"/>
        </w:trPr>
        <w:tc>
          <w:tcPr>
            <w:tcW w:type="dxa" w:w="4873"/>
            <w:vAlign w:val="center"/>
          </w:tcPr>
          <w:p>
            <w:pPr>
              <w:spacing w:line="276" w:lineRule="auto" w:before="0" w:after="0"/>
            </w:pPr>
            <w:r/>
            <w:r>
              <w:rPr>
                <w:rFonts w:ascii="Figtree" w:hAnsi="Figtree"/>
                <w:b w:val="0"/>
                <w:i w:val="0"/>
                <w:sz w:val="20"/>
              </w:rPr>
              <w:t>Architecture and workflow diagrams</w:t>
            </w:r>
          </w:p>
        </w:tc>
        <w:tc>
          <w:tcPr>
            <w:tcW w:type="dxa" w:w="4873"/>
            <w:vAlign w:val="center"/>
          </w:tcPr>
          <w:p>
            <w:pPr>
              <w:spacing w:line="276" w:lineRule="auto" w:before="0" w:after="0"/>
            </w:pPr>
            <w:r/>
            <w:r>
              <w:rPr>
                <w:rFonts w:ascii="Figtree" w:hAnsi="Figtree"/>
                <w:b w:val="0"/>
                <w:i w:val="0"/>
                <w:sz w:val="20"/>
              </w:rPr>
              <w:t>Included in this proposal and in implementation design packs</w:t>
            </w:r>
          </w:p>
        </w:tc>
      </w:tr>
      <w:tr>
        <w:trPr>
          <w:trHeight w:val="425" w:hRule="atLeast"/>
        </w:trPr>
        <w:tc>
          <w:tcPr>
            <w:tcW w:type="dxa" w:w="4873"/>
            <w:vAlign w:val="center"/>
          </w:tcPr>
          <w:p>
            <w:pPr>
              <w:spacing w:line="276" w:lineRule="auto" w:before="0" w:after="0"/>
            </w:pPr>
            <w:r/>
            <w:r>
              <w:rPr>
                <w:rFonts w:ascii="Figtree" w:hAnsi="Figtree"/>
                <w:b w:val="0"/>
                <w:i w:val="0"/>
                <w:sz w:val="20"/>
              </w:rPr>
              <w:t>Requirement traceability</w:t>
            </w:r>
          </w:p>
        </w:tc>
        <w:tc>
          <w:tcPr>
            <w:tcW w:type="dxa" w:w="4873"/>
            <w:vAlign w:val="center"/>
          </w:tcPr>
          <w:p>
            <w:pPr>
              <w:spacing w:line="276" w:lineRule="auto" w:before="0" w:after="0"/>
            </w:pPr>
            <w:r/>
            <w:r>
              <w:rPr>
                <w:rFonts w:ascii="Figtree" w:hAnsi="Figtree"/>
                <w:b w:val="0"/>
                <w:i w:val="0"/>
                <w:sz w:val="20"/>
              </w:rPr>
              <w:t>Requirement matrix and section cross-reference</w:t>
            </w:r>
          </w:p>
        </w:tc>
      </w:tr>
      <w:tr>
        <w:trPr>
          <w:trHeight w:val="425" w:hRule="atLeast"/>
        </w:trPr>
        <w:tc>
          <w:tcPr>
            <w:tcW w:type="dxa" w:w="4873"/>
            <w:vAlign w:val="center"/>
          </w:tcPr>
          <w:p>
            <w:pPr>
              <w:spacing w:line="276" w:lineRule="auto" w:before="0" w:after="0"/>
            </w:pPr>
            <w:r/>
            <w:r>
              <w:rPr>
                <w:rFonts w:ascii="Figtree" w:hAnsi="Figtree"/>
                <w:b w:val="0"/>
                <w:i w:val="0"/>
                <w:sz w:val="20"/>
              </w:rPr>
              <w:t>Security and resilience narrative</w:t>
            </w:r>
          </w:p>
        </w:tc>
        <w:tc>
          <w:tcPr>
            <w:tcW w:type="dxa" w:w="4873"/>
            <w:vAlign w:val="center"/>
          </w:tcPr>
          <w:p>
            <w:pPr>
              <w:spacing w:line="276" w:lineRule="auto" w:before="0" w:after="0"/>
            </w:pPr>
            <w:r/>
            <w:r>
              <w:rPr>
                <w:rFonts w:ascii="Figtree" w:hAnsi="Figtree"/>
                <w:b w:val="0"/>
                <w:i w:val="0"/>
                <w:sz w:val="20"/>
              </w:rPr>
              <w:t>Control response and deployment model summary</w:t>
            </w:r>
          </w:p>
        </w:tc>
      </w:tr>
      <w:tr>
        <w:trPr>
          <w:trHeight w:val="425" w:hRule="atLeast"/>
        </w:trPr>
        <w:tc>
          <w:tcPr>
            <w:tcW w:type="dxa" w:w="4873"/>
            <w:vAlign w:val="center"/>
          </w:tcPr>
          <w:p>
            <w:pPr>
              <w:spacing w:line="276" w:lineRule="auto" w:before="0" w:after="0"/>
            </w:pPr>
            <w:r/>
            <w:r>
              <w:rPr>
                <w:rFonts w:ascii="Figtree" w:hAnsi="Figtree"/>
                <w:b w:val="0"/>
                <w:i w:val="0"/>
                <w:sz w:val="20"/>
              </w:rPr>
              <w:t>Support model</w:t>
            </w:r>
          </w:p>
        </w:tc>
        <w:tc>
          <w:tcPr>
            <w:tcW w:type="dxa" w:w="4873"/>
            <w:vAlign w:val="center"/>
          </w:tcPr>
          <w:p>
            <w:pPr>
              <w:spacing w:line="276" w:lineRule="auto" w:before="0" w:after="0"/>
            </w:pPr>
            <w:r/>
            <w:r>
              <w:rPr>
                <w:rFonts w:ascii="Figtree" w:hAnsi="Figtree"/>
                <w:b w:val="0"/>
                <w:i w:val="0"/>
                <w:sz w:val="20"/>
              </w:rPr>
              <w:t>Severity definitions, ownership model, and escalation paths</w:t>
            </w:r>
          </w:p>
        </w:tc>
      </w:tr>
      <w:tr>
        <w:trPr>
          <w:trHeight w:val="425" w:hRule="atLeast"/>
        </w:trPr>
        <w:tc>
          <w:tcPr>
            <w:tcW w:type="dxa" w:w="4873"/>
            <w:vAlign w:val="center"/>
          </w:tcPr>
          <w:p>
            <w:pPr>
              <w:spacing w:line="276" w:lineRule="auto" w:before="0" w:after="0"/>
            </w:pPr>
            <w:r/>
            <w:r>
              <w:rPr>
                <w:rFonts w:ascii="Figtree" w:hAnsi="Figtree"/>
                <w:b w:val="0"/>
                <w:i w:val="0"/>
                <w:sz w:val="20"/>
              </w:rPr>
              <w:t>References</w:t>
            </w:r>
          </w:p>
        </w:tc>
        <w:tc>
          <w:tcPr>
            <w:tcW w:type="dxa" w:w="4873"/>
            <w:vAlign w:val="center"/>
          </w:tcPr>
          <w:p>
            <w:pPr>
              <w:spacing w:line="276" w:lineRule="auto" w:before="0" w:after="0"/>
            </w:pPr>
            <w:r/>
            <w:r>
              <w:rPr>
                <w:rFonts w:ascii="Figtree" w:hAnsi="Figtree"/>
                <w:b w:val="0"/>
                <w:i w:val="0"/>
                <w:sz w:val="20"/>
              </w:rPr>
              <w:t>institutional digital bond issuance programmes; bank-led tokenized securities environments with configurable compliance controls; regulated deployment patterns for phased expansion across entities and markets</w:t>
            </w:r>
          </w:p>
        </w:tc>
      </w:tr>
    </w:tbl>
    <w:p>
      <w:pPr>
        <w:spacing w:before="0" w:after="0" w:line="120" w:lineRule="exact"/>
      </w:pPr>
    </w:p>
    <w:p>
      <w:r>
        <w:rPr>
          <w:rFonts w:ascii="Figtree" w:hAnsi="Figtree"/>
          <w:b w:val="0"/>
          <w:i w:val="0"/>
          <w:sz w:val="22"/>
        </w:rPr>
        <w:t>The objective is to give the institution enough evidence to assess fit now while structuring the diligence process so that deeper artefacts can be reviewed in an appropriate commercial and confidentiality framework.</w:t>
      </w:r>
    </w:p>
    <w:p>
      <w:pPr>
        <w:pStyle w:val="H2"/>
        <w:numPr>
          <w:ilvl w:val="1"/>
          <w:numId w:val="1"/>
        </w:numPr>
      </w:pPr>
      <w:r>
        <w:t>Appendices</w:t>
      </w:r>
    </w:p>
    <w:p>
      <w:r>
        <w:rPr>
          <w:rFonts w:ascii="Figtree" w:hAnsi="Figtree"/>
          <w:b w:val="0"/>
          <w:i w:val="0"/>
          <w:sz w:val="22"/>
        </w:rPr>
        <w:t>Appendix A contains section-by-section requirement references. Appendix B lists integration domains and ownership boundaries. Appendix C lists qualified gaps, assumptions, and implementation responsibilities. Appendix D summarizes recommended governance checkpoints for scale-out beyond the first release.</w:t>
      </w:r>
    </w:p>
    <w:p>
      <w:r>
        <w:rPr>
          <w:rFonts w:ascii="Figtree" w:hAnsi="Figtree"/>
          <w:b w:val="0"/>
          <w:i w:val="0"/>
          <w:sz w:val="22"/>
        </w:rPr>
        <w:t>The body of the proposal is intentionally written so each major section can stand on its own during procurement review. That structure supports parallel evaluation by business sponsors, architecture, security, compliance, and procurement stakeholders.</w:t>
      </w:r>
    </w:p>
    <w:sectPr w:rsidR="00D852BB" w:rsidRPr="00A9690B" w:rsidSect="001F6184">
      <w:headerReference w:type="default" r:id="rId8"/>
      <w:footerReference w:type="default" r:id="rId9"/>
      <w:pgSz w:w="11906" w:h="16838"/>
      <w:pgMar w:top="1440" w:right="1080" w:bottom="1440" w:left="1080"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6AE061" w14:textId="77777777" w:rsidR="009F4DB8" w:rsidRDefault="009F4DB8" w:rsidP="00D852BB">
      <w:pPr>
        <w:spacing w:after="0" w:line="240" w:lineRule="auto"/>
      </w:pPr>
      <w:r>
        <w:separator/>
      </w:r>
    </w:p>
  </w:endnote>
  <w:endnote w:type="continuationSeparator" w:id="0">
    <w:p w14:paraId="429347AA" w14:textId="77777777" w:rsidR="009F4DB8" w:rsidRDefault="009F4DB8" w:rsidP="00D852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Figtree">
    <w:altName w:val="Calibri"/>
    <w:panose1 w:val="00000000000000000000"/>
    <w:charset w:val="00"/>
    <w:family w:val="auto"/>
    <w:notTrueType/>
    <w:pitch w:val="variable"/>
    <w:sig w:usb0="A000006F" w:usb1="0000007B" w:usb2="00000000" w:usb3="00000000" w:csb0="00000093"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6AAF02" w14:textId="0BD27254" w:rsidR="00E32BFB" w:rsidRPr="0093551D" w:rsidRDefault="00E32BFB" w:rsidP="00E32BFB">
    <w:pPr>
      <w:pStyle w:val="Footer"/>
      <w:tabs>
        <w:tab w:val="clear" w:pos="4513"/>
        <w:tab w:val="clear" w:pos="9026"/>
        <w:tab w:val="center" w:pos="4873"/>
      </w:tabs>
      <w:rPr>
        <w:color w:val="000099"/>
        <w:sz w:val="20"/>
        <w:szCs w:val="20"/>
      </w:rPr>
    </w:pPr>
    <w:r>
      <w:rPr>
        <w:noProof/>
      </w:rPr>
      <mc:AlternateContent>
        <mc:Choice Requires="wps">
          <w:drawing>
            <wp:anchor distT="0" distB="0" distL="114300" distR="114300" simplePos="0" relativeHeight="251663360" behindDoc="0" locked="0" layoutInCell="1" allowOverlap="1" wp14:anchorId="1073185A" wp14:editId="2A79EDDE">
              <wp:simplePos x="0" y="0"/>
              <wp:positionH relativeFrom="page">
                <wp:posOffset>-66675</wp:posOffset>
              </wp:positionH>
              <wp:positionV relativeFrom="paragraph">
                <wp:posOffset>-181610</wp:posOffset>
              </wp:positionV>
              <wp:extent cx="7884000" cy="0"/>
              <wp:effectExtent l="0" t="0" r="0" b="0"/>
              <wp:wrapNone/>
              <wp:docPr id="885456621" name="Straight Connector 9"/>
              <wp:cNvGraphicFramePr/>
              <a:graphic xmlns:a="http://schemas.openxmlformats.org/drawingml/2006/main">
                <a:graphicData uri="http://schemas.microsoft.com/office/word/2010/wordprocessingShape">
                  <wps:wsp>
                    <wps:cNvCnPr/>
                    <wps:spPr>
                      <a:xfrm flipV="1">
                        <a:off x="0" y="0"/>
                        <a:ext cx="7884000" cy="0"/>
                      </a:xfrm>
                      <a:prstGeom prst="line">
                        <a:avLst/>
                      </a:prstGeom>
                      <a:ln>
                        <a:solidFill>
                          <a:srgbClr val="003399"/>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FBE3D7E" id="Straight Connector 9" o:spid="_x0000_s1026" style="position:absolute;flip:y;z-index:25166336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 from="-5.25pt,-14.3pt" to="615.55pt,-14.3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" strokecolor="#039" strokeweight=".5pt">
              <v:stroke joinstyle="miter"/>
              <w10:wrap anchorx="page"/>
            </v:line>
          </w:pict>
        </mc:Fallback>
      </mc:AlternateContent>
    </w:r>
    <w:r w:rsidRPr="00E32BFB">
      <w:rPr>
        <w:sz w:val="20"/>
        <w:szCs w:val="20"/>
      </w:rPr>
      <w:ptab w:relativeTo="margin" w:alignment="center" w:leader="none"/>
    </w:r>
    <w:r w:rsidRPr="0093551D">
      <w:rPr>
        <w:color w:val="0E2841" w:themeColor="text2"/>
        <w:sz w:val="20"/>
        <w:szCs w:val="20"/>
      </w:rPr>
      <w:t>SettleMint Confidential, All Rights Reserved</w:t>
    </w:r>
    <w:r w:rsidRPr="0093551D">
      <w:rPr>
        <w:color w:val="0E2841" w:themeColor="text2"/>
        <w:sz w:val="20"/>
        <w:szCs w:val="20"/>
      </w:rPr>
      <w:ptab w:relativeTo="margin" w:alignment="right" w:leader="none"/>
    </w:r>
    <w:r w:rsidRPr="0093551D">
      <w:rPr>
        <w:color w:val="0E2841" w:themeColor="text2"/>
        <w:sz w:val="20"/>
        <w:szCs w:val="20"/>
      </w:rPr>
      <w:fldChar w:fldCharType="begin"/>
    </w:r>
    <w:r w:rsidRPr="0093551D">
      <w:rPr>
        <w:color w:val="0E2841" w:themeColor="text2"/>
        <w:sz w:val="20"/>
        <w:szCs w:val="20"/>
      </w:rPr>
      <w:instrText xml:space="preserve"> PAGE   \* MERGEFORMAT </w:instrText>
    </w:r>
    <w:r w:rsidRPr="0093551D">
      <w:rPr>
        <w:color w:val="0E2841" w:themeColor="text2"/>
        <w:sz w:val="20"/>
        <w:szCs w:val="20"/>
      </w:rPr>
      <w:fldChar w:fldCharType="separate"/>
    </w:r>
    <w:r w:rsidRPr="0093551D">
      <w:rPr>
        <w:noProof/>
        <w:color w:val="0E2841" w:themeColor="text2"/>
        <w:sz w:val="20"/>
        <w:szCs w:val="20"/>
      </w:rPr>
      <w:t>1</w:t>
    </w:r>
    <w:r w:rsidRPr="0093551D">
      <w:rPr>
        <w:noProof/>
        <w:color w:val="0E2841" w:themeColor="text2"/>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CD5B74" w14:textId="77777777" w:rsidR="009F4DB8" w:rsidRDefault="009F4DB8" w:rsidP="00D852BB">
      <w:pPr>
        <w:spacing w:after="0" w:line="240" w:lineRule="auto"/>
      </w:pPr>
      <w:r>
        <w:separator/>
      </w:r>
    </w:p>
  </w:footnote>
  <w:footnote w:type="continuationSeparator" w:id="0">
    <w:p w14:paraId="62AEAD1A" w14:textId="77777777" w:rsidR="009F4DB8" w:rsidRDefault="009F4DB8" w:rsidP="00D852B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B648D1" w14:textId="77777777" w:rsidR="00D852BB" w:rsidRDefault="00E32BFB">
    <w:pPr>
      <w:pStyle w:val="Header"/>
    </w:pPr>
    <w:r>
      <w:rPr>
        <w:noProof/>
      </w:rPr>
      <w:drawing>
        <wp:anchor distT="0" distB="0" distL="114300" distR="114300" simplePos="0" relativeHeight="251659264" behindDoc="0" locked="0" layoutInCell="1" allowOverlap="1" wp14:anchorId="633C2A67" wp14:editId="4494BAB8">
          <wp:simplePos x="0" y="0"/>
          <wp:positionH relativeFrom="margin">
            <wp:posOffset>5257165</wp:posOffset>
          </wp:positionH>
          <wp:positionV relativeFrom="paragraph">
            <wp:posOffset>-209550</wp:posOffset>
          </wp:positionV>
          <wp:extent cx="914400" cy="305435"/>
          <wp:effectExtent l="0" t="0" r="0" b="0"/>
          <wp:wrapSquare wrapText="bothSides"/>
          <wp:docPr id="1852263197" name="Picture 7" descr="A grey background with white te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2263197" name="Picture 7" descr="A grey background with white text"/>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14400" cy="305435"/>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0288" behindDoc="0" locked="0" layoutInCell="1" allowOverlap="1" wp14:anchorId="55A84FA9" wp14:editId="18CBED61">
          <wp:simplePos x="0" y="0"/>
          <wp:positionH relativeFrom="margin">
            <wp:posOffset>0</wp:posOffset>
          </wp:positionH>
          <wp:positionV relativeFrom="paragraph">
            <wp:posOffset>-259080</wp:posOffset>
          </wp:positionV>
          <wp:extent cx="1828800" cy="414551"/>
          <wp:effectExtent l="0" t="0" r="0" b="5080"/>
          <wp:wrapSquare wrapText="bothSides"/>
          <wp:docPr id="1471399059" name="Picture 8" descr="A black and gre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1399059" name="Picture 8" descr="A black and grey logo"/>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828800" cy="414551"/>
                  </a:xfrm>
                  <a:prstGeom prst="rect">
                    <a:avLst/>
                  </a:prstGeom>
                  <a:noFill/>
                  <a:ln>
                    <a:noFill/>
                  </a:ln>
                </pic:spPr>
              </pic:pic>
            </a:graphicData>
          </a:graphic>
        </wp:anchor>
      </w:drawing>
    </w:r>
    <w:r>
      <w:rPr>
        <w:noProof/>
      </w:rPr>
      <mc:AlternateContent>
        <mc:Choice Requires="wps">
          <w:drawing>
            <wp:anchor distT="0" distB="0" distL="114300" distR="114300" simplePos="0" relativeHeight="251661312" behindDoc="0" locked="0" layoutInCell="1" allowOverlap="1" wp14:anchorId="18A21DE2" wp14:editId="1E61291E">
              <wp:simplePos x="0" y="0"/>
              <wp:positionH relativeFrom="column">
                <wp:posOffset>-971550</wp:posOffset>
              </wp:positionH>
              <wp:positionV relativeFrom="paragraph">
                <wp:posOffset>283845</wp:posOffset>
              </wp:positionV>
              <wp:extent cx="7884000" cy="0"/>
              <wp:effectExtent l="0" t="0" r="0" b="0"/>
              <wp:wrapNone/>
              <wp:docPr id="588624232" name="Straight Connector 9"/>
              <wp:cNvGraphicFramePr/>
              <a:graphic xmlns:a="http://schemas.openxmlformats.org/drawingml/2006/main">
                <a:graphicData uri="http://schemas.microsoft.com/office/word/2010/wordprocessingShape">
                  <wps:wsp>
                    <wps:cNvCnPr/>
                    <wps:spPr>
                      <a:xfrm flipV="1">
                        <a:off x="0" y="0"/>
                        <a:ext cx="7884000" cy="0"/>
                      </a:xfrm>
                      <a:prstGeom prst="line">
                        <a:avLst/>
                      </a:prstGeom>
                      <a:ln>
                        <a:solidFill>
                          <a:srgbClr val="000099"/>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A7DB5CA" id="Straight Connector 9" o:spid="_x0000_s1026" style="position:absolute;flip:y;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76.5pt,22.35pt" to="544.3pt,22.3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" strokecolor="#009" strokeweight=".5pt">
              <v:stroke joinstyle="miter"/>
            </v:line>
          </w:pict>
        </mc:Fallback>
      </mc:AlternateContent>
    </w:r>
    <w:r w:rsidR="00D852BB">
      <w:rPr>
        <w:noProof/>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100D30"/>
    <w:multiLevelType w:val="multilevel"/>
    <w:tmpl w:val="E08E3C74"/>
    <w:name w:val="SettleMint"/>
    <w:lvl w:ilvl="0">
      <w:start w:val="1"/>
      <w:numFmt w:val="decimal"/>
      <w:pStyle w:val="Heading1"/>
      <w:suff w:val="space"/>
      <w:lvlText w:val="%1."/>
      <w:lvlJc w:val="left"/>
      <w:pPr>
        <w:ind w:left="0" w:firstLine="0"/>
      </w:pPr>
      <w:rPr>
        <w:rFonts w:ascii="Figtree" w:hAnsi="Figtree" w:hint="default"/>
        <w:b/>
        <w:i w:val="0"/>
        <w:color w:val="000099"/>
        <w:sz w:val="32"/>
      </w:rPr>
    </w:lvl>
    <w:lvl w:ilvl="1">
      <w:start w:val="1"/>
      <w:numFmt w:val="decimal"/>
      <w:pStyle w:val="Heading2"/>
      <w:suff w:val="space"/>
      <w:lvlText w:val="%1.%2"/>
      <w:lvlJc w:val="left"/>
      <w:pPr>
        <w:ind w:left="0" w:firstLine="0"/>
      </w:pPr>
      <w:rPr>
        <w:rFonts w:ascii="Figtree" w:hAnsi="Figtree" w:hint="default"/>
        <w:b/>
        <w:i w:val="0"/>
        <w:color w:val="000099"/>
        <w:sz w:val="28"/>
      </w:rPr>
    </w:lvl>
    <w:lvl w:ilvl="2">
      <w:start w:val="1"/>
      <w:numFmt w:val="decimal"/>
      <w:pStyle w:val="Heading3"/>
      <w:suff w:val="space"/>
      <w:lvlText w:val="%1.%2.%3"/>
      <w:lvlJc w:val="left"/>
      <w:pPr>
        <w:ind w:left="0" w:firstLine="0"/>
      </w:pPr>
      <w:rPr>
        <w:rFonts w:ascii="Figtree" w:hAnsi="Figtree" w:hint="default"/>
        <w:b/>
        <w:i w:val="0"/>
        <w:color w:val="000099"/>
        <w:sz w:val="24"/>
      </w:rPr>
      <w:lvlRestart w:val="1"/>
    </w:lvl>
    <w:lvl w:ilvl="3">
      <w:start w:val="1"/>
      <w:numFmt w:val="decimal"/>
      <w:pStyle w:val="Heading4"/>
      <w:suff w:val="space"/>
      <w:lvlText w:val="%1.%2.%3.%4"/>
      <w:lvlJc w:val="left"/>
      <w:pPr>
        <w:ind w:left="0" w:firstLine="0"/>
      </w:pPr>
      <w:rPr>
        <w:rFonts w:ascii="Figtree" w:hAnsi="Figtree" w:hint="default"/>
        <w:b/>
        <w:i w:val="0"/>
        <w:color w:val="000099"/>
        <w:sz w:val="24"/>
      </w:rPr>
      <w:lvlRestart w:val="2"/>
    </w:lvl>
    <w:lvl w:ilvl="4">
      <w:start w:val="1"/>
      <w:numFmt w:val="lowerLetter"/>
      <w:lvlText w:val="(%5)"/>
      <w:lvlJc w:val="left"/>
      <w:pPr>
        <w:ind w:left="0" w:firstLine="0"/>
      </w:pPr>
      <w:rPr>
        <w:rFonts w:hint="default"/>
      </w:rPr>
    </w:lvl>
    <w:lvl w:ilvl="5">
      <w:start w:val="1"/>
      <w:numFmt w:val="lowerRoman"/>
      <w:lvlText w:val="(%6)"/>
      <w:lvlJc w:val="left"/>
      <w:pPr>
        <w:ind w:left="0" w:firstLine="0"/>
      </w:pPr>
      <w:rPr>
        <w:rFonts w:hint="default"/>
      </w:rPr>
    </w:lvl>
    <w:lvl w:ilvl="6">
      <w:start w:val="1"/>
      <w:numFmt w:val="decimal"/>
      <w:lvlText w:val="%7."/>
      <w:lvlJc w:val="left"/>
      <w:pPr>
        <w:ind w:left="0" w:firstLine="0"/>
      </w:pPr>
      <w:rPr>
        <w:rFonts w:hint="default"/>
      </w:rPr>
    </w:lvl>
    <w:lvl w:ilvl="7">
      <w:start w:val="1"/>
      <w:numFmt w:val="lowerLetter"/>
      <w:lvlText w:val="%8."/>
      <w:lvlJc w:val="left"/>
      <w:pPr>
        <w:ind w:left="0" w:firstLine="0"/>
      </w:pPr>
      <w:rPr>
        <w:rFonts w:hint="default"/>
      </w:rPr>
    </w:lvl>
    <w:lvl w:ilvl="8">
      <w:start w:val="1"/>
      <w:numFmt w:val="lowerRoman"/>
      <w:lvlText w:val="%9."/>
      <w:lvlJc w:val="left"/>
      <w:pPr>
        <w:ind w:left="0" w:firstLine="0"/>
      </w:pPr>
      <w:rPr>
        <w:rFonts w:hint="default"/>
      </w:rPr>
    </w:lvl>
  </w:abstractNum>
  <w:abstractNum w:abstractNumId="1" w15:restartNumberingAfterBreak="0">
    <w:nsid w:val="2B7555D5"/>
    <w:multiLevelType w:val="hybridMultilevel"/>
    <w:tmpl w:val="31C01D58"/>
    <w:name w:val="SettleMint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335E5549"/>
    <w:multiLevelType w:val="multilevel"/>
    <w:tmpl w:val="AA60BFE8"/>
    <w:lvl w:ilvl="0">
      <w:start w:val="1"/>
      <w:numFmt w:val="decimal"/>
      <w:suff w:val="space"/>
      <w:lvlText w:val="%1."/>
      <w:lvlJc w:val="left"/>
      <w:pPr>
        <w:ind w:left="0" w:firstLine="0"/>
      </w:pPr>
      <w:rPr>
        <w:rFonts w:ascii="Figtree" w:hAnsi="Figtree" w:hint="default"/>
        <w:b/>
        <w:i w:val="0"/>
        <w:color w:val="0070C0"/>
        <w:sz w:val="32"/>
      </w:rPr>
    </w:lvl>
    <w:lvl w:ilvl="1">
      <w:start w:val="1"/>
      <w:numFmt w:val="decimal"/>
      <w:suff w:val="space"/>
      <w:lvlText w:val="%1.%2"/>
      <w:lvlJc w:val="left"/>
      <w:pPr>
        <w:ind w:left="0" w:firstLine="0"/>
      </w:pPr>
      <w:rPr>
        <w:rFonts w:ascii="Figtree" w:hAnsi="Figtree" w:hint="default"/>
        <w:b/>
        <w:i w:val="0"/>
        <w:color w:val="0070C0"/>
        <w:sz w:val="28"/>
      </w:rPr>
    </w:lvl>
    <w:lvl w:ilvl="2">
      <w:start w:val="1"/>
      <w:numFmt w:val="decimal"/>
      <w:suff w:val="space"/>
      <w:lvlText w:val="%1.%2.%3"/>
      <w:lvlJc w:val="left"/>
      <w:pPr>
        <w:ind w:left="0" w:firstLine="0"/>
      </w:pPr>
      <w:rPr>
        <w:rFonts w:ascii="Figtree" w:hAnsi="Figtree" w:hint="default"/>
        <w:b/>
        <w:i w:val="0"/>
        <w:color w:val="0070C0"/>
        <w:sz w:val="24"/>
      </w:rPr>
    </w:lvl>
    <w:lvl w:ilvl="3">
      <w:start w:val="1"/>
      <w:numFmt w:val="decimal"/>
      <w:suff w:val="space"/>
      <w:lvlText w:val="%1.%2.%3.%4"/>
      <w:lvlJc w:val="left"/>
      <w:pPr>
        <w:ind w:left="0" w:firstLine="0"/>
      </w:pPr>
      <w:rPr>
        <w:rFonts w:ascii="Figtree" w:hAnsi="Figtree" w:hint="default"/>
        <w:b/>
        <w:i w:val="0"/>
        <w:color w:val="0070C0"/>
        <w:sz w:val="24"/>
      </w:rPr>
    </w:lvl>
    <w:lvl w:ilvl="4">
      <w:start w:val="1"/>
      <w:numFmt w:val="lowerLetter"/>
      <w:lvlText w:val="(%5)"/>
      <w:lvlJc w:val="left"/>
      <w:pPr>
        <w:ind w:left="0" w:firstLine="0"/>
      </w:pPr>
      <w:rPr>
        <w:rFonts w:hint="default"/>
      </w:rPr>
    </w:lvl>
    <w:lvl w:ilvl="5">
      <w:start w:val="1"/>
      <w:numFmt w:val="lowerRoman"/>
      <w:lvlText w:val="(%6)"/>
      <w:lvlJc w:val="left"/>
      <w:pPr>
        <w:ind w:left="0" w:firstLine="0"/>
      </w:pPr>
      <w:rPr>
        <w:rFonts w:hint="default"/>
      </w:rPr>
    </w:lvl>
    <w:lvl w:ilvl="6">
      <w:start w:val="1"/>
      <w:numFmt w:val="decimal"/>
      <w:lvlText w:val="%7."/>
      <w:lvlJc w:val="left"/>
      <w:pPr>
        <w:ind w:left="0" w:firstLine="0"/>
      </w:pPr>
      <w:rPr>
        <w:rFonts w:hint="default"/>
      </w:rPr>
    </w:lvl>
    <w:lvl w:ilvl="7">
      <w:start w:val="1"/>
      <w:numFmt w:val="lowerLetter"/>
      <w:lvlText w:val="%8."/>
      <w:lvlJc w:val="left"/>
      <w:pPr>
        <w:ind w:left="0" w:firstLine="0"/>
      </w:pPr>
      <w:rPr>
        <w:rFonts w:hint="default"/>
      </w:rPr>
    </w:lvl>
    <w:lvl w:ilvl="8">
      <w:start w:val="1"/>
      <w:numFmt w:val="lowerRoman"/>
      <w:lvlText w:val="%9."/>
      <w:lvlJc w:val="left"/>
      <w:pPr>
        <w:ind w:left="0" w:firstLine="0"/>
      </w:pPr>
      <w:rPr>
        <w:rFonts w:hint="default"/>
      </w:rPr>
    </w:lvl>
  </w:abstractNum>
  <w:abstractNum w:abstractNumId="3">
    <w:multiLevelType w:val="hybridMultilevel"/>
    <w:lvl w:ilvl="0">
      <w:start w:val="1"/>
      <w:numFmt w:val="bullet"/>
      <w:lvlText w:val="•"/>
      <w:lvlJc w:val="left"/>
      <w:pPr>
        <w:ind w:left="720" w:hanging="360"/>
      </w:pPr>
      <w:rPr>
        <w:color w:val="000099"/>
      </w:rPr>
    </w:lvl>
    <w:lvl w:ilvl="1">
      <w:start w:val="1"/>
      <w:numFmt w:val="bullet"/>
      <w:lvlText w:val="•"/>
      <w:lvlJc w:val="left"/>
      <w:pPr>
        <w:ind w:left="1440" w:hanging="360"/>
      </w:pPr>
      <w:rPr>
        <w:color w:val="000099"/>
      </w:rPr>
    </w:lvl>
    <w:lvl w:ilvl="2">
      <w:start w:val="1"/>
      <w:numFmt w:val="bullet"/>
      <w:lvlText w:val="•"/>
      <w:lvlJc w:val="left"/>
      <w:pPr>
        <w:ind w:left="2160" w:hanging="360"/>
      </w:pPr>
      <w:rPr>
        <w:color w:val="000099"/>
      </w:rPr>
    </w:lvl>
  </w:abstractNum>
  <w:abstractNum w:abstractNumId="4">
    <w:multiLevelType w:val="hybridMultilevel"/>
    <w:lvl w:ilvl="0">
      <w:start w:val="1"/>
      <w:numFmt w:val="lowerRoman"/>
      <w:lvlText w:val="(%1)"/>
      <w:lvlJc w:val="left"/>
      <w:pPr>
        <w:ind w:left="720" w:hanging="360"/>
      </w:pPr>
    </w:lvl>
    <w:lvl w:ilvl="1">
      <w:start w:val="1"/>
      <w:numFmt w:val="lowerLetter"/>
      <w:lvlText w:val="(%2)"/>
      <w:lvlJc w:val="left"/>
      <w:pPr>
        <w:ind w:left="1440" w:hanging="360"/>
      </w:pPr>
    </w:lvl>
    <w:lvl w:ilvl="2">
      <w:start w:val="1"/>
      <w:numFmt w:val="decimal"/>
      <w:lvlText w:val="%3)"/>
      <w:lvlJc w:val="left"/>
      <w:pPr>
        <w:ind w:left="2160" w:hanging="360"/>
      </w:pPr>
    </w:lvl>
  </w:abstractNum>
  <w:num w:numId="1" w16cid:durableId="305939933">
    <w:abstractNumId w:val="0"/>
  </w:num>
  <w:num w:numId="2" w16cid:durableId="2016149747">
    <w:abstractNumId w:val="1"/>
  </w:num>
  <w:num w:numId="3" w16cid:durableId="1914775445">
    <w:abstractNumId w:val="2"/>
  </w:num>
  <w:num w:numId="4">
    <w:abstractNumId w:val="3"/>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7"/>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0879"/>
    <w:rsid w:val="000A6351"/>
    <w:rsid w:val="001279DF"/>
    <w:rsid w:val="0018162B"/>
    <w:rsid w:val="001F6184"/>
    <w:rsid w:val="00341B65"/>
    <w:rsid w:val="003E3C19"/>
    <w:rsid w:val="004056C9"/>
    <w:rsid w:val="004840D8"/>
    <w:rsid w:val="004962CD"/>
    <w:rsid w:val="005F2DC1"/>
    <w:rsid w:val="00647809"/>
    <w:rsid w:val="006B17EB"/>
    <w:rsid w:val="006B6750"/>
    <w:rsid w:val="006E1665"/>
    <w:rsid w:val="007B0879"/>
    <w:rsid w:val="00802738"/>
    <w:rsid w:val="008A14BF"/>
    <w:rsid w:val="0093551D"/>
    <w:rsid w:val="0096408F"/>
    <w:rsid w:val="0099373D"/>
    <w:rsid w:val="009F101E"/>
    <w:rsid w:val="009F4DB8"/>
    <w:rsid w:val="00A218FC"/>
    <w:rsid w:val="00A5624E"/>
    <w:rsid w:val="00A9690B"/>
    <w:rsid w:val="00AD0410"/>
    <w:rsid w:val="00AD4564"/>
    <w:rsid w:val="00B2009A"/>
    <w:rsid w:val="00B31896"/>
    <w:rsid w:val="00B47CD9"/>
    <w:rsid w:val="00B56DDB"/>
    <w:rsid w:val="00C51B52"/>
    <w:rsid w:val="00CF39A3"/>
    <w:rsid w:val="00D852BB"/>
    <w:rsid w:val="00E32BFB"/>
    <w:rsid w:val="00E86454"/>
    <w:rsid w:val="00E90D74"/>
    <w:rsid w:val="00ED206E"/>
    <w:rsid w:val="00F367C1"/>
    <w:rsid w:val="00F85425"/>
    <w:rsid w:val="00FB2FE9"/>
    <w:rsid w:val="00FD6333"/>
    <w:rsid w:val="00FF3CC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92407E5"/>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lsdException w:name="heading 2" w:semiHidden="1" w:uiPriority="9" w:unhideWhenUsed="1"/>
    <w:lsdException w:name="heading 3" w:semiHidden="1" w:uiPriority="9" w:unhideWhenUsed="1"/>
    <w:lsdException w:name="heading 4" w:semiHidden="1" w:uiPriority="9" w:unhideWhenUsed="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F39A3"/>
    <w:pPr>
      <w:jc w:val="both"/>
    </w:pPr>
    <w:rPr>
      <w:rFonts w:ascii="Figtree" w:hAnsi="Figtree"/>
      <w:sz w:val="22"/>
    </w:rPr>
  </w:style>
  <w:style w:type="paragraph" w:styleId="Heading1">
    <w:name w:val="heading 1"/>
    <w:basedOn w:val="Normal"/>
    <w:next w:val="Normal"/>
    <w:link w:val="Heading1Char"/>
    <w:uiPriority w:val="9"/>
    <w:rsid w:val="00FD6333"/>
    <w:pPr>
      <w:keepNext/>
      <w:keepLines/>
      <w:numPr>
        <w:numId w:val="1"/>
      </w:numPr>
      <w:spacing w:before="360" w:after="80"/>
      <w:outlineLvl w:val="0"/>
    </w:pPr>
    <w:rPr>
      <w:rFonts w:asciiTheme="majorHAnsi" w:eastAsiaTheme="majorEastAsia" w:hAnsiTheme="majorHAnsi" w:cstheme="majorBidi"/>
      <w:color w:val="000072" w:themeColor="accent1" w:themeShade="BF"/>
      <w:sz w:val="40"/>
      <w:szCs w:val="40"/>
    </w:rPr>
  </w:style>
  <w:style w:type="paragraph" w:styleId="Heading2">
    <w:name w:val="heading 2"/>
    <w:basedOn w:val="Normal"/>
    <w:next w:val="Normal"/>
    <w:link w:val="Heading2Char"/>
    <w:uiPriority w:val="9"/>
    <w:unhideWhenUsed/>
    <w:rsid w:val="00FD6333"/>
    <w:pPr>
      <w:keepNext/>
      <w:keepLines/>
      <w:numPr>
        <w:ilvl w:val="1"/>
        <w:numId w:val="1"/>
      </w:numPr>
      <w:spacing w:before="160" w:after="80"/>
      <w:outlineLvl w:val="1"/>
    </w:pPr>
    <w:rPr>
      <w:rFonts w:asciiTheme="majorHAnsi" w:eastAsiaTheme="majorEastAsia" w:hAnsiTheme="majorHAnsi" w:cstheme="majorBidi"/>
      <w:color w:val="000072" w:themeColor="accent1" w:themeShade="BF"/>
      <w:sz w:val="32"/>
      <w:szCs w:val="32"/>
    </w:rPr>
  </w:style>
  <w:style w:type="paragraph" w:styleId="Heading3">
    <w:name w:val="heading 3"/>
    <w:basedOn w:val="Normal"/>
    <w:next w:val="Normal"/>
    <w:link w:val="Heading3Char"/>
    <w:uiPriority w:val="9"/>
    <w:unhideWhenUsed/>
    <w:rsid w:val="00FD6333"/>
    <w:pPr>
      <w:keepNext/>
      <w:keepLines/>
      <w:numPr>
        <w:ilvl w:val="2"/>
        <w:numId w:val="1"/>
      </w:numPr>
      <w:spacing w:before="160" w:after="80"/>
      <w:outlineLvl w:val="2"/>
    </w:pPr>
    <w:rPr>
      <w:rFonts w:eastAsiaTheme="majorEastAsia" w:cstheme="majorBidi"/>
      <w:color w:val="000072" w:themeColor="accent1" w:themeShade="BF"/>
      <w:sz w:val="28"/>
      <w:szCs w:val="28"/>
    </w:rPr>
  </w:style>
  <w:style w:type="paragraph" w:styleId="Heading4">
    <w:name w:val="heading 4"/>
    <w:basedOn w:val="Normal"/>
    <w:next w:val="Normal"/>
    <w:link w:val="Heading4Char"/>
    <w:uiPriority w:val="9"/>
    <w:unhideWhenUsed/>
    <w:rsid w:val="00FD6333"/>
    <w:pPr>
      <w:keepNext/>
      <w:keepLines/>
      <w:numPr>
        <w:ilvl w:val="3"/>
        <w:numId w:val="1"/>
      </w:numPr>
      <w:spacing w:before="80" w:after="40"/>
      <w:outlineLvl w:val="3"/>
    </w:pPr>
    <w:rPr>
      <w:rFonts w:eastAsiaTheme="majorEastAsia" w:cstheme="majorBidi"/>
      <w:i/>
      <w:iCs/>
      <w:color w:val="000072" w:themeColor="accent1" w:themeShade="BF"/>
    </w:rPr>
  </w:style>
  <w:style w:type="paragraph" w:styleId="Heading5">
    <w:name w:val="heading 5"/>
    <w:basedOn w:val="Normal"/>
    <w:next w:val="Normal"/>
    <w:link w:val="Heading5Char"/>
    <w:uiPriority w:val="9"/>
    <w:semiHidden/>
    <w:unhideWhenUsed/>
    <w:rsid w:val="00FD6333"/>
    <w:pPr>
      <w:keepNext/>
      <w:keepLines/>
      <w:spacing w:before="80" w:after="40"/>
      <w:outlineLvl w:val="4"/>
    </w:pPr>
    <w:rPr>
      <w:rFonts w:eastAsiaTheme="majorEastAsia" w:cstheme="majorBidi"/>
      <w:color w:val="000072" w:themeColor="accent1" w:themeShade="BF"/>
    </w:rPr>
  </w:style>
  <w:style w:type="paragraph" w:styleId="Heading6">
    <w:name w:val="heading 6"/>
    <w:basedOn w:val="Normal"/>
    <w:next w:val="Normal"/>
    <w:link w:val="Heading6Char"/>
    <w:uiPriority w:val="9"/>
    <w:semiHidden/>
    <w:unhideWhenUsed/>
    <w:qFormat/>
    <w:rsid w:val="00FD633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D633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D633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D633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D6333"/>
    <w:rPr>
      <w:rFonts w:asciiTheme="majorHAnsi" w:eastAsiaTheme="majorEastAsia" w:hAnsiTheme="majorHAnsi" w:cstheme="majorBidi"/>
      <w:color w:val="000072" w:themeColor="accent1" w:themeShade="BF"/>
      <w:sz w:val="40"/>
      <w:szCs w:val="40"/>
    </w:rPr>
  </w:style>
  <w:style w:type="character" w:customStyle="1" w:styleId="Heading2Char">
    <w:name w:val="Heading 2 Char"/>
    <w:basedOn w:val="DefaultParagraphFont"/>
    <w:link w:val="Heading2"/>
    <w:uiPriority w:val="9"/>
    <w:rsid w:val="00FD6333"/>
    <w:rPr>
      <w:rFonts w:asciiTheme="majorHAnsi" w:eastAsiaTheme="majorEastAsia" w:hAnsiTheme="majorHAnsi" w:cstheme="majorBidi"/>
      <w:color w:val="000072" w:themeColor="accent1" w:themeShade="BF"/>
      <w:sz w:val="32"/>
      <w:szCs w:val="32"/>
    </w:rPr>
  </w:style>
  <w:style w:type="character" w:customStyle="1" w:styleId="Heading3Char">
    <w:name w:val="Heading 3 Char"/>
    <w:basedOn w:val="DefaultParagraphFont"/>
    <w:link w:val="Heading3"/>
    <w:uiPriority w:val="9"/>
    <w:rsid w:val="00FD6333"/>
    <w:rPr>
      <w:rFonts w:eastAsiaTheme="majorEastAsia" w:cstheme="majorBidi"/>
      <w:color w:val="000072" w:themeColor="accent1" w:themeShade="BF"/>
      <w:sz w:val="28"/>
      <w:szCs w:val="28"/>
    </w:rPr>
  </w:style>
  <w:style w:type="character" w:customStyle="1" w:styleId="Heading4Char">
    <w:name w:val="Heading 4 Char"/>
    <w:basedOn w:val="DefaultParagraphFont"/>
    <w:link w:val="Heading4"/>
    <w:uiPriority w:val="9"/>
    <w:rsid w:val="00FD6333"/>
    <w:rPr>
      <w:rFonts w:eastAsiaTheme="majorEastAsia" w:cstheme="majorBidi"/>
      <w:i/>
      <w:iCs/>
      <w:color w:val="000072" w:themeColor="accent1" w:themeShade="BF"/>
    </w:rPr>
  </w:style>
  <w:style w:type="character" w:customStyle="1" w:styleId="Heading5Char">
    <w:name w:val="Heading 5 Char"/>
    <w:basedOn w:val="DefaultParagraphFont"/>
    <w:link w:val="Heading5"/>
    <w:uiPriority w:val="9"/>
    <w:semiHidden/>
    <w:rsid w:val="00FD6333"/>
    <w:rPr>
      <w:rFonts w:eastAsiaTheme="majorEastAsia" w:cstheme="majorBidi"/>
      <w:color w:val="000072" w:themeColor="accent1" w:themeShade="BF"/>
    </w:rPr>
  </w:style>
  <w:style w:type="character" w:customStyle="1" w:styleId="Heading6Char">
    <w:name w:val="Heading 6 Char"/>
    <w:basedOn w:val="DefaultParagraphFont"/>
    <w:link w:val="Heading6"/>
    <w:uiPriority w:val="9"/>
    <w:semiHidden/>
    <w:rsid w:val="00FD633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D633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D633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D6333"/>
    <w:rPr>
      <w:rFonts w:eastAsiaTheme="majorEastAsia" w:cstheme="majorBidi"/>
      <w:color w:val="272727" w:themeColor="text1" w:themeTint="D8"/>
    </w:rPr>
  </w:style>
  <w:style w:type="paragraph" w:styleId="Title">
    <w:name w:val="Title"/>
    <w:basedOn w:val="Normal"/>
    <w:next w:val="Normal"/>
    <w:link w:val="TitleChar"/>
    <w:uiPriority w:val="10"/>
    <w:rsid w:val="00FD633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D633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rsid w:val="00FD633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D633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rsid w:val="00FD6333"/>
    <w:pPr>
      <w:spacing w:before="160"/>
      <w:jc w:val="center"/>
    </w:pPr>
    <w:rPr>
      <w:i/>
      <w:iCs/>
      <w:color w:val="404040" w:themeColor="text1" w:themeTint="BF"/>
    </w:rPr>
  </w:style>
  <w:style w:type="character" w:customStyle="1" w:styleId="QuoteChar">
    <w:name w:val="Quote Char"/>
    <w:basedOn w:val="DefaultParagraphFont"/>
    <w:link w:val="Quote"/>
    <w:uiPriority w:val="29"/>
    <w:rsid w:val="00FD6333"/>
    <w:rPr>
      <w:i/>
      <w:iCs/>
      <w:color w:val="404040" w:themeColor="text1" w:themeTint="BF"/>
    </w:rPr>
  </w:style>
  <w:style w:type="paragraph" w:styleId="ListParagraph">
    <w:name w:val="List Paragraph"/>
    <w:basedOn w:val="Normal"/>
    <w:uiPriority w:val="34"/>
    <w:rsid w:val="00FD6333"/>
    <w:pPr>
      <w:ind w:left="720"/>
      <w:contextualSpacing/>
    </w:pPr>
  </w:style>
  <w:style w:type="character" w:styleId="IntenseEmphasis">
    <w:name w:val="Intense Emphasis"/>
    <w:basedOn w:val="DefaultParagraphFont"/>
    <w:uiPriority w:val="21"/>
    <w:rsid w:val="00FD6333"/>
    <w:rPr>
      <w:i/>
      <w:iCs/>
      <w:color w:val="000072" w:themeColor="accent1" w:themeShade="BF"/>
    </w:rPr>
  </w:style>
  <w:style w:type="paragraph" w:styleId="IntenseQuote">
    <w:name w:val="Intense Quote"/>
    <w:basedOn w:val="Normal"/>
    <w:next w:val="Normal"/>
    <w:link w:val="IntenseQuoteChar"/>
    <w:uiPriority w:val="30"/>
    <w:rsid w:val="00FD6333"/>
    <w:pPr>
      <w:pBdr>
        <w:top w:val="single" w:sz="4" w:space="10" w:color="000072" w:themeColor="accent1" w:themeShade="BF"/>
        <w:bottom w:val="single" w:sz="4" w:space="10" w:color="000072" w:themeColor="accent1" w:themeShade="BF"/>
      </w:pBdr>
      <w:spacing w:before="360" w:after="360"/>
      <w:ind w:left="864" w:right="864"/>
      <w:jc w:val="center"/>
    </w:pPr>
    <w:rPr>
      <w:i/>
      <w:iCs/>
      <w:color w:val="000072" w:themeColor="accent1" w:themeShade="BF"/>
    </w:rPr>
  </w:style>
  <w:style w:type="character" w:customStyle="1" w:styleId="IntenseQuoteChar">
    <w:name w:val="Intense Quote Char"/>
    <w:basedOn w:val="DefaultParagraphFont"/>
    <w:link w:val="IntenseQuote"/>
    <w:uiPriority w:val="30"/>
    <w:rsid w:val="00FD6333"/>
    <w:rPr>
      <w:i/>
      <w:iCs/>
      <w:color w:val="000072" w:themeColor="accent1" w:themeShade="BF"/>
    </w:rPr>
  </w:style>
  <w:style w:type="character" w:styleId="IntenseReference">
    <w:name w:val="Intense Reference"/>
    <w:basedOn w:val="DefaultParagraphFont"/>
    <w:uiPriority w:val="32"/>
    <w:rsid w:val="00FD6333"/>
    <w:rPr>
      <w:b/>
      <w:bCs/>
      <w:smallCaps/>
      <w:color w:val="000072" w:themeColor="accent1" w:themeShade="BF"/>
      <w:spacing w:val="5"/>
    </w:rPr>
  </w:style>
  <w:style w:type="paragraph" w:styleId="Header">
    <w:name w:val="header"/>
    <w:basedOn w:val="Normal"/>
    <w:link w:val="HeaderChar"/>
    <w:uiPriority w:val="99"/>
    <w:unhideWhenUsed/>
    <w:rsid w:val="00D852BB"/>
    <w:pPr>
      <w:tabs>
        <w:tab w:val="center" w:pos="4513"/>
        <w:tab w:val="right" w:pos="9026"/>
      </w:tabs>
      <w:spacing w:after="0" w:line="240" w:lineRule="auto"/>
    </w:pPr>
  </w:style>
  <w:style w:type="character" w:customStyle="1" w:styleId="HeaderChar">
    <w:name w:val="Header Char"/>
    <w:basedOn w:val="DefaultParagraphFont"/>
    <w:link w:val="Header"/>
    <w:uiPriority w:val="99"/>
    <w:rsid w:val="00D852BB"/>
  </w:style>
  <w:style w:type="paragraph" w:styleId="Footer">
    <w:name w:val="footer"/>
    <w:basedOn w:val="Normal"/>
    <w:link w:val="FooterChar"/>
    <w:uiPriority w:val="99"/>
    <w:unhideWhenUsed/>
    <w:rsid w:val="00D852BB"/>
    <w:pPr>
      <w:tabs>
        <w:tab w:val="center" w:pos="4513"/>
        <w:tab w:val="right" w:pos="9026"/>
      </w:tabs>
      <w:spacing w:after="0" w:line="240" w:lineRule="auto"/>
    </w:pPr>
  </w:style>
  <w:style w:type="character" w:customStyle="1" w:styleId="FooterChar">
    <w:name w:val="Footer Char"/>
    <w:basedOn w:val="DefaultParagraphFont"/>
    <w:link w:val="Footer"/>
    <w:uiPriority w:val="99"/>
    <w:rsid w:val="00D852BB"/>
  </w:style>
  <w:style w:type="paragraph" w:styleId="NoSpacing">
    <w:name w:val="No Spacing"/>
    <w:link w:val="NoSpacingChar"/>
    <w:uiPriority w:val="1"/>
    <w:qFormat/>
    <w:rsid w:val="001F6184"/>
    <w:pPr>
      <w:spacing w:after="0" w:line="240" w:lineRule="auto"/>
    </w:pPr>
    <w:rPr>
      <w:rFonts w:eastAsiaTheme="minorEastAsia"/>
      <w:kern w:val="0"/>
      <w:sz w:val="22"/>
      <w:szCs w:val="22"/>
      <w:lang w:val="en-US"/>
      <w14:ligatures w14:val="none"/>
    </w:rPr>
  </w:style>
  <w:style w:type="character" w:customStyle="1" w:styleId="NoSpacingChar">
    <w:name w:val="No Spacing Char"/>
    <w:basedOn w:val="DefaultParagraphFont"/>
    <w:link w:val="NoSpacing"/>
    <w:uiPriority w:val="1"/>
    <w:rsid w:val="001F6184"/>
    <w:rPr>
      <w:rFonts w:eastAsiaTheme="minorEastAsia"/>
      <w:kern w:val="0"/>
      <w:sz w:val="22"/>
      <w:szCs w:val="22"/>
      <w:lang w:val="en-US"/>
      <w14:ligatures w14:val="none"/>
    </w:rPr>
  </w:style>
  <w:style w:type="paragraph" w:customStyle="1" w:styleId="H1">
    <w:name w:val="H1"/>
    <w:basedOn w:val="Heading1"/>
    <w:link w:val="H1Char"/>
    <w:autoRedefine/>
    <w:qFormat/>
    <w:rsid w:val="000A6351"/>
    <w:pPr>
      <w:ind w:left="0" w:firstLine="0"/>
      <w:jc w:val="left"/>
    </w:pPr>
    <w:rPr>
      <w:rFonts w:ascii="Figtree" w:hAnsi="Figtree"/>
      <w:b/>
      <w:color w:val="000099"/>
      <w:sz w:val="32"/>
    </w:rPr>
  </w:style>
  <w:style w:type="character" w:customStyle="1" w:styleId="H1Char">
    <w:name w:val="H1 Char"/>
    <w:basedOn w:val="Heading1Char"/>
    <w:link w:val="H1"/>
    <w:rsid w:val="000A6351"/>
    <w:rPr>
      <w:rFonts w:ascii="Figtree" w:eastAsiaTheme="majorEastAsia" w:hAnsi="Figtree" w:cstheme="majorBidi"/>
      <w:b/>
      <w:color w:val="000099"/>
      <w:sz w:val="32"/>
      <w:szCs w:val="40"/>
    </w:rPr>
  </w:style>
  <w:style w:type="paragraph" w:customStyle="1" w:styleId="H2">
    <w:name w:val="H2"/>
    <w:basedOn w:val="Heading2"/>
    <w:link w:val="H2Char"/>
    <w:autoRedefine/>
    <w:qFormat/>
    <w:rsid w:val="000A6351"/>
    <w:pPr>
      <w:ind w:left="0" w:firstLine="0"/>
      <w:jc w:val="left"/>
    </w:pPr>
    <w:rPr>
      <w:rFonts w:ascii="Figtree" w:hAnsi="Figtree"/>
      <w:b/>
      <w:color w:val="000099"/>
      <w:sz w:val="28"/>
    </w:rPr>
  </w:style>
  <w:style w:type="character" w:customStyle="1" w:styleId="H2Char">
    <w:name w:val="H2 Char"/>
    <w:basedOn w:val="Heading2Char"/>
    <w:link w:val="H2"/>
    <w:rsid w:val="000A6351"/>
    <w:rPr>
      <w:rFonts w:ascii="Figtree" w:eastAsiaTheme="majorEastAsia" w:hAnsi="Figtree" w:cstheme="majorBidi"/>
      <w:b/>
      <w:color w:val="000099"/>
      <w:sz w:val="28"/>
      <w:szCs w:val="32"/>
    </w:rPr>
  </w:style>
  <w:style w:type="paragraph" w:customStyle="1" w:styleId="H3">
    <w:name w:val="H3"/>
    <w:basedOn w:val="Heading3"/>
    <w:link w:val="H3Char"/>
    <w:autoRedefine/>
    <w:qFormat/>
    <w:rsid w:val="000A6351"/>
    <w:pPr>
      <w:ind w:left="0" w:firstLine="0"/>
      <w:jc w:val="left"/>
    </w:pPr>
    <w:rPr>
      <w:rFonts w:ascii="Figtree" w:hAnsi="Figtree"/>
      <w:b/>
      <w:color w:val="000099"/>
      <w:sz w:val="24"/>
    </w:rPr>
  </w:style>
  <w:style w:type="character" w:customStyle="1" w:styleId="H3Char">
    <w:name w:val="H3 Char"/>
    <w:basedOn w:val="Heading3Char"/>
    <w:link w:val="H3"/>
    <w:rsid w:val="000A6351"/>
    <w:rPr>
      <w:rFonts w:ascii="Figtree" w:eastAsiaTheme="majorEastAsia" w:hAnsi="Figtree" w:cstheme="majorBidi"/>
      <w:b/>
      <w:color w:val="000099"/>
      <w:sz w:val="28"/>
      <w:szCs w:val="28"/>
    </w:rPr>
  </w:style>
  <w:style w:type="paragraph" w:customStyle="1" w:styleId="H4">
    <w:name w:val="H4"/>
    <w:basedOn w:val="Heading4"/>
    <w:link w:val="H4Char"/>
    <w:autoRedefine/>
    <w:qFormat/>
    <w:rsid w:val="000A6351"/>
    <w:pPr>
      <w:ind w:left="0" w:firstLine="0"/>
      <w:jc w:val="left"/>
    </w:pPr>
    <w:rPr>
      <w:rFonts w:ascii="Figtree" w:hAnsi="Figtree"/>
      <w:b/>
      <w:i w:val="0"/>
      <w:color w:val="000099"/>
    </w:rPr>
  </w:style>
  <w:style w:type="character" w:customStyle="1" w:styleId="H4Char">
    <w:name w:val="H4 Char"/>
    <w:basedOn w:val="Heading4Char"/>
    <w:link w:val="H4"/>
    <w:rsid w:val="000A6351"/>
    <w:rPr>
      <w:rFonts w:ascii="Figtree" w:eastAsiaTheme="majorEastAsia" w:hAnsi="Figtree" w:cstheme="majorBidi"/>
      <w:b/>
      <w:i w:val="0"/>
      <w:iCs/>
      <w:color w:val="000099"/>
    </w:rPr>
  </w:style>
  <w:style w:type="paragraph" w:styleId="TOCHeading">
    <w:name w:val="TOC Heading"/>
    <w:basedOn w:val="Heading1"/>
    <w:next w:val="Normal"/>
    <w:uiPriority w:val="39"/>
    <w:unhideWhenUsed/>
    <w:qFormat/>
    <w:rsid w:val="006B6750"/>
    <w:pPr>
      <w:numPr>
        <w:numId w:val="0"/>
      </w:numPr>
      <w:spacing w:before="240" w:after="0" w:line="259" w:lineRule="auto"/>
      <w:outlineLvl w:val="9"/>
    </w:pPr>
    <w:rPr>
      <w:kern w:val="0"/>
      <w:sz w:val="32"/>
      <w:szCs w:val="32"/>
      <w:lang w:val="en-US"/>
      <w14:ligatures w14:val="none"/>
    </w:rPr>
  </w:style>
  <w:style w:type="paragraph" w:styleId="TOC2">
    <w:name w:val="toc 2"/>
    <w:basedOn w:val="Normal"/>
    <w:next w:val="Normal"/>
    <w:autoRedefine/>
    <w:uiPriority w:val="39"/>
    <w:unhideWhenUsed/>
    <w:rsid w:val="006B6750"/>
    <w:pPr>
      <w:spacing w:after="100" w:line="259" w:lineRule="auto"/>
      <w:ind w:left="220"/>
    </w:pPr>
    <w:rPr>
      <w:rFonts w:eastAsiaTheme="minorEastAsia" w:cs="Times New Roman"/>
      <w:kern w:val="0"/>
      <w:sz w:val="22"/>
      <w:szCs w:val="22"/>
      <w:lang w:val="en-US"/>
      <w14:ligatures w14:val="none"/>
    </w:rPr>
  </w:style>
  <w:style w:type="paragraph" w:styleId="TOC1">
    <w:name w:val="toc 1"/>
    <w:basedOn w:val="Normal"/>
    <w:next w:val="Normal"/>
    <w:autoRedefine/>
    <w:uiPriority w:val="39"/>
    <w:unhideWhenUsed/>
    <w:rsid w:val="006B6750"/>
    <w:pPr>
      <w:spacing w:after="100" w:line="259" w:lineRule="auto"/>
    </w:pPr>
    <w:rPr>
      <w:rFonts w:eastAsiaTheme="minorEastAsia" w:cs="Times New Roman"/>
      <w:kern w:val="0"/>
      <w:sz w:val="22"/>
      <w:szCs w:val="22"/>
      <w:lang w:val="en-US"/>
      <w14:ligatures w14:val="none"/>
    </w:rPr>
  </w:style>
  <w:style w:type="paragraph" w:styleId="TOC3">
    <w:name w:val="toc 3"/>
    <w:basedOn w:val="Normal"/>
    <w:next w:val="Normal"/>
    <w:autoRedefine/>
    <w:uiPriority w:val="39"/>
    <w:unhideWhenUsed/>
    <w:rsid w:val="006B6750"/>
    <w:pPr>
      <w:spacing w:after="100" w:line="259" w:lineRule="auto"/>
      <w:ind w:left="440"/>
    </w:pPr>
    <w:rPr>
      <w:rFonts w:eastAsiaTheme="minorEastAsia" w:cs="Times New Roman"/>
      <w:kern w:val="0"/>
      <w:sz w:val="22"/>
      <w:szCs w:val="22"/>
      <w:lang w:val="en-US"/>
      <w14:ligatures w14:val="none"/>
    </w:rPr>
  </w:style>
  <w:style w:type="character" w:styleId="Hyperlink">
    <w:name w:val="Hyperlink"/>
    <w:basedOn w:val="DefaultParagraphFont"/>
    <w:uiPriority w:val="99"/>
    <w:unhideWhenUsed/>
    <w:rsid w:val="006B6750"/>
    <w:rPr>
      <w:color w:val="000048" w:themeColor="hyperlink"/>
      <w:u w:val="single"/>
    </w:rPr>
  </w:style>
  <w:style w:type="table" w:styleId="TableGrid">
    <w:name w:val="Table Grid"/>
    <w:basedOn w:val="TableNormal"/>
    <w:uiPriority w:val="39"/>
    <w:rsid w:val="00F8542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4962CD"/>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glossaryDocument" Target="glossary/document.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02F3537D4C677A4AAC856F674BAF4DF3"/>
        <w:category>
          <w:name w:val="General"/>
          <w:gallery w:val="placeholder"/>
        </w:category>
        <w:types>
          <w:type w:val="bbPlcHdr"/>
        </w:types>
        <w:behaviors>
          <w:behavior w:val="content"/>
        </w:behaviors>
        <w:guid w:val="{21C83031-79E6-8444-A272-10097DDD570D}"/>
      </w:docPartPr>
      <w:docPartBody>
        <w:p w:rsidR="00000000" w:rsidRDefault="00000000">
          <w:pPr>
            <w:pStyle w:val="02F3537D4C677A4AAC856F674BAF4DF3"/>
          </w:pPr>
          <w:r>
            <w:rPr>
              <w:color w:val="0F4761" w:themeColor="accent1" w:themeShade="BF"/>
            </w:rPr>
            <w:t>[Company name]</w:t>
          </w:r>
        </w:p>
      </w:docPartBody>
    </w:docPart>
    <w:docPart>
      <w:docPartPr>
        <w:name w:val="00F9803809315C46887E272E02859745"/>
        <w:category>
          <w:name w:val="General"/>
          <w:gallery w:val="placeholder"/>
        </w:category>
        <w:types>
          <w:type w:val="bbPlcHdr"/>
        </w:types>
        <w:behaviors>
          <w:behavior w:val="content"/>
        </w:behaviors>
        <w:guid w:val="{B11F9B95-38C3-7746-A0B8-DA6B55175233}"/>
      </w:docPartPr>
      <w:docPartBody>
        <w:p w:rsidR="00000000" w:rsidRDefault="00000000">
          <w:pPr>
            <w:pStyle w:val="00F9803809315C46887E272E02859745"/>
          </w:pPr>
          <w:r>
            <w:rPr>
              <w:rFonts w:asciiTheme="majorHAnsi" w:eastAsiaTheme="majorEastAsia" w:hAnsiTheme="majorHAnsi" w:cstheme="majorBidi"/>
              <w:color w:val="156082" w:themeColor="accent1"/>
              <w:sz w:val="88"/>
              <w:szCs w:val="88"/>
            </w:rPr>
            <w:t>[Document title]</w:t>
          </w:r>
        </w:p>
      </w:docPartBody>
    </w:docPart>
    <w:docPart>
      <w:docPartPr>
        <w:name w:val="0D460E9532679D4283311473F5C36932"/>
        <w:category>
          <w:name w:val="General"/>
          <w:gallery w:val="placeholder"/>
        </w:category>
        <w:types>
          <w:type w:val="bbPlcHdr"/>
        </w:types>
        <w:behaviors>
          <w:behavior w:val="content"/>
        </w:behaviors>
        <w:guid w:val="{D28655B3-928F-E644-BE5D-C357A9384B90}"/>
      </w:docPartPr>
      <w:docPartBody>
        <w:p w:rsidR="00000000" w:rsidRDefault="00000000">
          <w:pPr>
            <w:pStyle w:val="0D460E9532679D4283311473F5C36932"/>
          </w:pPr>
          <w:r>
            <w:rPr>
              <w:color w:val="0F4761" w:themeColor="accent1" w:themeShade="BF"/>
            </w:rPr>
            <w:t>[Document subtitle]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Figtree">
    <w:altName w:val="Calibri"/>
    <w:panose1 w:val="00000000000000000000"/>
    <w:charset w:val="00"/>
    <w:family w:val="auto"/>
    <w:notTrueType/>
    <w:pitch w:val="variable"/>
    <w:sig w:usb0="A000006F" w:usb1="0000007B" w:usb2="00000000" w:usb3="00000000" w:csb0="00000093"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0B91"/>
    <w:rsid w:val="00080B91"/>
    <w:rsid w:val="005F2DC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02F3537D4C677A4AAC856F674BAF4DF3">
    <w:name w:val="02F3537D4C677A4AAC856F674BAF4DF3"/>
  </w:style>
  <w:style w:type="paragraph" w:customStyle="1" w:styleId="00F9803809315C46887E272E02859745">
    <w:name w:val="00F9803809315C46887E272E02859745"/>
  </w:style>
  <w:style w:type="paragraph" w:customStyle="1" w:styleId="0D460E9532679D4283311473F5C36932">
    <w:name w:val="0D460E9532679D4283311473F5C36932"/>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SettleMint">
      <a:dk1>
        <a:sysClr val="windowText" lastClr="000000"/>
      </a:dk1>
      <a:lt1>
        <a:sysClr val="window" lastClr="FFFFFF"/>
      </a:lt1>
      <a:dk2>
        <a:srgbClr val="0E2841"/>
      </a:dk2>
      <a:lt2>
        <a:srgbClr val="E8E8E8"/>
      </a:lt2>
      <a:accent1>
        <a:srgbClr val="000099"/>
      </a:accent1>
      <a:accent2>
        <a:srgbClr val="0066FF"/>
      </a:accent2>
      <a:accent3>
        <a:srgbClr val="0000FF"/>
      </a:accent3>
      <a:accent4>
        <a:srgbClr val="0F9ED5"/>
      </a:accent4>
      <a:accent5>
        <a:srgbClr val="67EBCC"/>
      </a:accent5>
      <a:accent6>
        <a:srgbClr val="70FF9E"/>
      </a:accent6>
      <a:hlink>
        <a:srgbClr val="000048"/>
      </a:hlink>
      <a:folHlink>
        <a:srgbClr val="000017"/>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04310B7-8EAE-46C7-B490-25129E3B87E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Normal.dotx</Template>
  <TotalTime>0</TotalTime>
  <Pages>5</Pages>
  <Words>504</Words>
  <Characters>2877</Characters>
  <Application>Microsoft Office Word</Application>
  <DocSecurity>0</DocSecurity>
  <Lines>23</Lines>
  <Paragraphs>6</Paragraphs>
  <ScaleCrop>false</ScaleCrop>
  <Company/>
  <LinksUpToDate>false</LinksUpToDate>
  <CharactersWithSpaces>3375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Technical Proposal — Digital Bonds Platform</dc:title>
  <dc:subject>SettleMint | Version 1.0</dc:subject>
  <dc:creator>Gyanendra Sharma</dc:creator>
  <cp:keywords/>
  <dc:description/>
  <cp:lastModifiedBy>Gyan Sharma</cp:lastModifiedBy>
  <cp:revision>1</cp:revision>
  <dcterms:created xsi:type="dcterms:W3CDTF">2026-03-13T17:24:00Z</dcterms:created>
  <dcterms:modified xsi:type="dcterms:W3CDTF">2026-03-13T17:24:00Z</dcterms:modified>
</cp:coreProperties>
</file>