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1"/>
            <w:tabs>
              <w:tab w:val="right" w:leader="dot" w:pos="9072"/>
            </w:tabs>
          </w:pPr>
          <w:r>
            <w:t xml:space="preserve">Executive Summary</w:t>
          </w:r>
          <w:r>
            <w:tab/>
          </w:r>
          <w:r>
            <w:t xml:space="preserve">3</w:t>
          </w:r>
        </w:p>
        <w:p>
          <w:pPr>
            <w:pStyle w:val="TOC1"/>
            <w:tabs>
              <w:tab w:val="right" w:leader="dot" w:pos="9072"/>
            </w:tabs>
          </w:pPr>
          <w:r>
            <w:t xml:space="preserve">Applicant Overview</w:t>
          </w:r>
          <w:r>
            <w:tab/>
          </w:r>
          <w:r>
            <w:t xml:space="preserve">4</w:t>
          </w:r>
        </w:p>
        <w:p>
          <w:pPr>
            <w:pStyle w:val="TOC2"/>
            <w:tabs>
              <w:tab w:val="right" w:leader="dot" w:pos="9072"/>
            </w:tabs>
          </w:pPr>
          <w:r>
            <w:t xml:space="preserve">Legal and Business Profile</w:t>
          </w:r>
          <w:r>
            <w:tab/>
          </w:r>
          <w:r>
            <w:t xml:space="preserve">5</w:t>
          </w:r>
        </w:p>
        <w:p>
          <w:pPr>
            <w:pStyle w:val="TOC2"/>
            <w:tabs>
              <w:tab w:val="right" w:leader="dot" w:pos="9072"/>
            </w:tabs>
          </w:pPr>
          <w:r>
            <w:t xml:space="preserve">Company Positioning</w:t>
          </w:r>
          <w:r>
            <w:tab/>
          </w:r>
          <w:r>
            <w:t xml:space="preserve">6</w:t>
          </w:r>
        </w:p>
        <w:p>
          <w:pPr>
            <w:pStyle w:val="TOC1"/>
            <w:tabs>
              <w:tab w:val="right" w:leader="dot" w:pos="9072"/>
            </w:tabs>
          </w:pPr>
          <w:r>
            <w:t xml:space="preserve">Intended Role in Pakistan</w:t>
          </w:r>
          <w:r>
            <w:tab/>
          </w:r>
          <w:r>
            <w:t xml:space="preserve">7</w:t>
          </w:r>
        </w:p>
        <w:p>
          <w:pPr>
            <w:pStyle w:val="TOC1"/>
            <w:tabs>
              <w:tab w:val="right" w:leader="dot" w:pos="9072"/>
            </w:tabs>
          </w:pPr>
          <w:r>
            <w:t xml:space="preserve">Why SettleMint Fits PVARA's Objectives</w:t>
          </w:r>
          <w:r>
            <w:tab/>
          </w:r>
          <w:r>
            <w:t xml:space="preserve">8</w:t>
          </w:r>
        </w:p>
        <w:p>
          <w:pPr>
            <w:pStyle w:val="TOC2"/>
            <w:tabs>
              <w:tab w:val="right" w:leader="dot" w:pos="9072"/>
            </w:tabs>
          </w:pPr>
          <w:r>
            <w:t xml:space="preserve">Regulatory-first operating model</w:t>
          </w:r>
          <w:r>
            <w:tab/>
          </w:r>
          <w:r>
            <w:t xml:space="preserve">9</w:t>
          </w:r>
        </w:p>
        <w:p>
          <w:pPr>
            <w:pStyle w:val="TOC2"/>
            <w:tabs>
              <w:tab w:val="right" w:leader="dot" w:pos="9072"/>
            </w:tabs>
          </w:pPr>
          <w:r>
            <w:t xml:space="preserve">Strong compliance architecture</w:t>
          </w:r>
          <w:r>
            <w:tab/>
          </w:r>
          <w:r>
            <w:t xml:space="preserve">10</w:t>
          </w:r>
        </w:p>
        <w:p>
          <w:pPr>
            <w:pStyle w:val="TOC2"/>
            <w:tabs>
              <w:tab w:val="right" w:leader="dot" w:pos="9072"/>
            </w:tabs>
          </w:pPr>
          <w:r>
            <w:t xml:space="preserve">Identity-linked operations</w:t>
          </w:r>
          <w:r>
            <w:tab/>
          </w:r>
          <w:r>
            <w:t xml:space="preserve">11</w:t>
          </w:r>
        </w:p>
        <w:p>
          <w:pPr>
            <w:pStyle w:val="TOC2"/>
            <w:tabs>
              <w:tab w:val="right" w:leader="dot" w:pos="9072"/>
            </w:tabs>
          </w:pPr>
          <w:r>
            <w:t xml:space="preserve">Consumer protection and governance</w:t>
          </w:r>
          <w:r>
            <w:tab/>
          </w:r>
          <w:r>
            <w:t xml:space="preserve">12</w:t>
          </w:r>
        </w:p>
        <w:p>
          <w:pPr>
            <w:pStyle w:val="TOC2"/>
            <w:tabs>
              <w:tab w:val="right" w:leader="dot" w:pos="9072"/>
            </w:tabs>
          </w:pPr>
          <w:r>
            <w:t xml:space="preserve">Market development potential</w:t>
          </w:r>
          <w:r>
            <w:tab/>
          </w:r>
          <w:r>
            <w:t xml:space="preserve">13</w:t>
          </w:r>
        </w:p>
        <w:p>
          <w:pPr>
            <w:pStyle w:val="TOC1"/>
            <w:tabs>
              <w:tab w:val="right" w:leader="dot" w:pos="9072"/>
            </w:tabs>
          </w:pPr>
          <w:r>
            <w:t xml:space="preserve">DALP Capability Summary</w:t>
          </w:r>
          <w:r>
            <w:tab/>
          </w:r>
          <w:r>
            <w:t xml:space="preserve">14</w:t>
          </w:r>
        </w:p>
        <w:p>
          <w:pPr>
            <w:pStyle w:val="TOC2"/>
            <w:tabs>
              <w:tab w:val="right" w:leader="dot" w:pos="9072"/>
            </w:tabs>
          </w:pPr>
          <w:r>
            <w:t xml:space="preserve">Platform Scope</w:t>
          </w:r>
          <w:r>
            <w:tab/>
          </w:r>
          <w:r>
            <w:t xml:space="preserve">15</w:t>
          </w:r>
        </w:p>
        <w:p>
          <w:pPr>
            <w:pStyle w:val="TOC2"/>
            <w:tabs>
              <w:tab w:val="right" w:leader="dot" w:pos="9072"/>
            </w:tabs>
          </w:pPr>
          <w:r>
            <w:t xml:space="preserve">Relevant Control Areas</w:t>
          </w:r>
          <w:r>
            <w:tab/>
          </w:r>
          <w:r>
            <w:t xml:space="preserve">16</w:t>
          </w:r>
        </w:p>
        <w:p>
          <w:pPr>
            <w:pStyle w:val="TOC1"/>
            <w:tabs>
              <w:tab w:val="right" w:leader="dot" w:pos="9072"/>
            </w:tabs>
          </w:pPr>
          <w:r>
            <w:t xml:space="preserve">Requirement Mapping and Capability Assessment</w:t>
          </w:r>
          <w:r>
            <w:tab/>
          </w:r>
          <w:r>
            <w:t xml:space="preserve">17</w:t>
          </w:r>
        </w:p>
        <w:p>
          <w:pPr>
            <w:pStyle w:val="TOC1"/>
            <w:tabs>
              <w:tab w:val="right" w:leader="dot" w:pos="9072"/>
            </w:tabs>
          </w:pPr>
          <w:r>
            <w:t xml:space="preserve">Proposed Pakistan Market Approach</w:t>
          </w:r>
          <w:r>
            <w:tab/>
          </w:r>
          <w:r>
            <w:t xml:space="preserve">18</w:t>
          </w:r>
        </w:p>
        <w:p>
          <w:pPr>
            <w:pStyle w:val="TOC2"/>
            <w:tabs>
              <w:tab w:val="right" w:leader="dot" w:pos="9072"/>
            </w:tabs>
          </w:pPr>
          <w:r>
            <w:t xml:space="preserve">Phase 1, Regulatory alignment and application</w:t>
          </w:r>
          <w:r>
            <w:tab/>
          </w:r>
          <w:r>
            <w:t xml:space="preserve">19</w:t>
          </w:r>
        </w:p>
        <w:p>
          <w:pPr>
            <w:pStyle w:val="TOC2"/>
            <w:tabs>
              <w:tab w:val="right" w:leader="dot" w:pos="9072"/>
            </w:tabs>
          </w:pPr>
          <w:r>
            <w:t xml:space="preserve">Phase 2, Local operating readiness</w:t>
          </w:r>
          <w:r>
            <w:tab/>
          </w:r>
          <w:r>
            <w:t xml:space="preserve">20</w:t>
          </w:r>
        </w:p>
        <w:p>
          <w:pPr>
            <w:pStyle w:val="TOC2"/>
            <w:tabs>
              <w:tab w:val="right" w:leader="dot" w:pos="9072"/>
            </w:tabs>
          </w:pPr>
          <w:r>
            <w:t xml:space="preserve">Phase 3, Controlled launch model</w:t>
          </w:r>
          <w:r>
            <w:tab/>
          </w:r>
          <w:r>
            <w:t xml:space="preserve">21</w:t>
          </w:r>
        </w:p>
        <w:p>
          <w:pPr>
            <w:pStyle w:val="TOC2"/>
            <w:tabs>
              <w:tab w:val="right" w:leader="dot" w:pos="9072"/>
            </w:tabs>
          </w:pPr>
          <w:r>
            <w:t xml:space="preserve">Phase 4, Ecosystem expansion</w:t>
          </w:r>
          <w:r>
            <w:tab/>
          </w:r>
          <w:r>
            <w:t xml:space="preserve">22</w:t>
          </w:r>
        </w:p>
        <w:p>
          <w:pPr>
            <w:pStyle w:val="TOC1"/>
            <w:tabs>
              <w:tab w:val="right" w:leader="dot" w:pos="9072"/>
            </w:tabs>
          </w:pPr>
          <w:r>
            <w:t xml:space="preserve">Relevant SettleMint Strengths</w:t>
          </w:r>
          <w:r>
            <w:tab/>
          </w:r>
          <w:r>
            <w:t xml:space="preserve">23</w:t>
          </w:r>
        </w:p>
        <w:p>
          <w:pPr>
            <w:pStyle w:val="TOC2"/>
            <w:tabs>
              <w:tab w:val="right" w:leader="dot" w:pos="9072"/>
            </w:tabs>
          </w:pPr>
          <w:r>
            <w:t xml:space="preserve">Institutional focus</w:t>
          </w:r>
          <w:r>
            <w:tab/>
          </w:r>
          <w:r>
            <w:t xml:space="preserve">24</w:t>
          </w:r>
        </w:p>
        <w:p>
          <w:pPr>
            <w:pStyle w:val="TOC2"/>
            <w:tabs>
              <w:tab w:val="right" w:leader="dot" w:pos="9072"/>
            </w:tabs>
          </w:pPr>
          <w:r>
            <w:t xml:space="preserve">Multi-asset capability</w:t>
          </w:r>
          <w:r>
            <w:tab/>
          </w:r>
          <w:r>
            <w:t xml:space="preserve">25</w:t>
          </w:r>
        </w:p>
        <w:p>
          <w:pPr>
            <w:pStyle w:val="TOC2"/>
            <w:tabs>
              <w:tab w:val="right" w:leader="dot" w:pos="9072"/>
            </w:tabs>
          </w:pPr>
          <w:r>
            <w:t xml:space="preserve">Operational lifecycle coverage</w:t>
          </w:r>
          <w:r>
            <w:tab/>
          </w:r>
          <w:r>
            <w:t xml:space="preserve">26</w:t>
          </w:r>
        </w:p>
        <w:p>
          <w:pPr>
            <w:pStyle w:val="TOC2"/>
            <w:tabs>
              <w:tab w:val="right" w:leader="dot" w:pos="9072"/>
            </w:tabs>
          </w:pPr>
          <w:r>
            <w:t xml:space="preserve">Regional relevance</w:t>
          </w:r>
          <w:r>
            <w:tab/>
          </w:r>
          <w:r>
            <w:t xml:space="preserve">27</w:t>
          </w:r>
        </w:p>
        <w:p>
          <w:pPr>
            <w:pStyle w:val="TOC1"/>
            <w:tabs>
              <w:tab w:val="right" w:leader="dot" w:pos="9072"/>
            </w:tabs>
          </w:pPr>
          <w:r>
            <w:t xml:space="preserve">Commitments to PVARA</w:t>
          </w:r>
          <w:r>
            <w:tab/>
          </w:r>
          <w:r>
            <w:t xml:space="preserve">28</w:t>
          </w:r>
        </w:p>
        <w:p>
          <w:pPr>
            <w:pStyle w:val="TOC1"/>
            <w:tabs>
              <w:tab w:val="right" w:leader="dot" w:pos="9072"/>
            </w:tabs>
          </w:pPr>
          <w:r>
            <w:t xml:space="preserve">Conclusion</w:t>
          </w:r>
          <w:r>
            <w:tab/>
          </w:r>
          <w:r>
            <w:t xml:space="preserve">29</w:t>
          </w:r>
        </w:p>
        <w:p>
          <w:pPr>
            <w:pStyle w:val="TOC1"/>
            <w:tabs>
              <w:tab w:val="right" w:leader="dot" w:pos="9072"/>
            </w:tabs>
          </w:pPr>
          <w:r>
            <w:t xml:space="preserve">Appendix A, Key Assumptions Used in This Draft</w:t>
          </w:r>
          <w:r>
            <w:tab/>
          </w:r>
          <w:r>
            <w:t xml:space="preserve">30</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pPr>
        <w:pStyle w:val="H1"/>
        <w:numPr>
          <w:ilvl w:val="0"/>
          <w:numId w:val="1"/>
        </w:numPr>
      </w:pPr>
      <w:r>
        <w:t>Executive Summary</w:t>
      </w:r>
    </w:p>
    <w:p>
      <w:r>
        <w:rPr>
          <w:rFonts w:ascii="Figtree" w:hAnsi="Figtree"/>
          <w:b w:val="0"/>
          <w:i w:val="0"/>
          <w:sz w:val="22"/>
        </w:rPr>
        <w:t>SettleMint respectfully submits this application to participate in Pakistan's emerging virtual asset regulatory framework under PVARA.</w:t>
      </w:r>
    </w:p>
    <w:p>
      <w:r>
        <w:rPr>
          <w:rFonts w:ascii="Figtree" w:hAnsi="Figtree"/>
          <w:b w:val="0"/>
          <w:i w:val="0"/>
          <w:sz w:val="22"/>
        </w:rPr>
        <w:t>SettleMint is a digital asset infrastructure company focused on regulated institutions, market infrastructures, and sovereign programmes. Its core platform, DALP (Digital Asset Lifecycle Platform), enables regulated organizations to design, issue, govern, service, and monitor digital assets across their lifecycle with strong compliance controls, identity-linked operations, auditable workflows, and integration with existing custody, payment, and enterprise systems.</w:t>
      </w:r>
    </w:p>
    <w:p>
      <w:r>
        <w:rPr>
          <w:rFonts w:ascii="Figtree" w:hAnsi="Figtree"/>
          <w:b w:val="0"/>
          <w:i w:val="0"/>
          <w:sz w:val="22"/>
        </w:rPr>
        <w:t>SettleMint's objective in Pakistan is not to operate an unregulated retail exchange or speculative crypto business. The objective is to support compliant digital asset market development by providing regulated-grade infrastructure for tokenized instruments, investor controls, asset servicing, auditability, and operational governance. This includes support for regulated token issuance, controlled distribution, transfer restrictions, identity-linked eligibility, and lifecycle servicing for digital financial instruments and real-world assets.</w:t>
      </w:r>
    </w:p>
    <w:p>
      <w:r>
        <w:rPr>
          <w:rFonts w:ascii="Figtree" w:hAnsi="Figtree"/>
          <w:b w:val="0"/>
          <w:i w:val="0"/>
          <w:sz w:val="22"/>
        </w:rPr>
        <w:t>Based on the public PVARA information available at the time of drafting, SettleMint understands that the current process begins with a No Objection Certificate application, followed by AML registration with the Financial Monitoring Unit, local incorporation, and then the applicable VASP licensing process. SettleMint is prepared to engage with PVARA to confirm the correct licensing perimeter for its intended role in Pakistan.</w:t>
      </w:r>
    </w:p>
    <w:p>
      <w:r>
        <w:rPr>
          <w:rFonts w:ascii="Figtree" w:hAnsi="Figtree"/>
          <w:b w:val="0"/>
          <w:i w:val="0"/>
          <w:sz w:val="22"/>
        </w:rPr>
        <w:t>This application is therefore submitted on the assumption that PVARA is open to infrastructure-led participants whose operating model supports regulated issuance, investment platform functionality, and compliant virtual asset operations, subject to final classification by the Authority.</w:t>
      </w:r>
    </w:p>
    <w:p>
      <w:pPr>
        <w:pStyle w:val="H1"/>
        <w:numPr>
          <w:ilvl w:val="0"/>
          <w:numId w:val="1"/>
        </w:numPr>
      </w:pPr>
      <w:r>
        <w:t>Applicant Overview</w:t>
      </w:r>
    </w:p>
    <w:p>
      <w:pPr>
        <w:pStyle w:val="H2"/>
        <w:numPr>
          <w:ilvl w:val="1"/>
          <w:numId w:val="1"/>
        </w:numPr>
      </w:pPr>
      <w:r>
        <w:t>Legal and Business Profile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32"/>
        <w:gridCol w:w="753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Field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Information</w:t>
            </w:r>
          </w:p>
        </w:tc>
      </w:tr>
      <w:tr>
        <w:trPr>
          <w:trHeight w:val="425" w:hRule="atLeast"/>
        </w:trPr>
        <w:tc>
          <w:tcPr>
            <w:tcW w:type="dxa" w:w="4873"/>
            <w:vAlign w:val="center"/>
          </w:tcPr>
          <w:p>
            <w:pPr>
              <w:spacing w:line="276" w:lineRule="auto" w:before="0" w:after="0"/>
            </w:pPr>
            <w:r/>
            <w:r>
              <w:rPr>
                <w:rFonts w:ascii="Figtree" w:hAnsi="Figtree"/>
                <w:b w:val="0"/>
                <w:i w:val="0"/>
                <w:sz w:val="20"/>
              </w:rPr>
              <w:t>Applicant</w:t>
            </w:r>
          </w:p>
        </w:tc>
        <w:tc>
          <w:tcPr>
            <w:tcW w:type="dxa" w:w="4873"/>
            <w:vAlign w:val="center"/>
          </w:tcPr>
          <w:p>
            <w:pPr>
              <w:spacing w:line="276" w:lineRule="auto" w:before="0" w:after="0"/>
            </w:pPr>
            <w:r/>
            <w:r>
              <w:rPr>
                <w:rFonts w:ascii="Figtree" w:hAnsi="Figtree"/>
                <w:b w:val="0"/>
                <w:i w:val="0"/>
                <w:sz w:val="20"/>
              </w:rPr>
              <w:t>SettleMint</w:t>
            </w:r>
          </w:p>
        </w:tc>
      </w:tr>
      <w:tr>
        <w:trPr>
          <w:trHeight w:val="425" w:hRule="atLeast"/>
        </w:trPr>
        <w:tc>
          <w:tcPr>
            <w:tcW w:type="dxa" w:w="4873"/>
            <w:vAlign w:val="center"/>
          </w:tcPr>
          <w:p>
            <w:pPr>
              <w:spacing w:line="276" w:lineRule="auto" w:before="0" w:after="0"/>
            </w:pPr>
            <w:r/>
            <w:r>
              <w:rPr>
                <w:rFonts w:ascii="Figtree" w:hAnsi="Figtree"/>
                <w:b w:val="0"/>
                <w:i w:val="0"/>
                <w:sz w:val="20"/>
              </w:rPr>
              <w:t>Primary offering</w:t>
            </w:r>
          </w:p>
        </w:tc>
        <w:tc>
          <w:tcPr>
            <w:tcW w:type="dxa" w:w="4873"/>
            <w:vAlign w:val="center"/>
          </w:tcPr>
          <w:p>
            <w:pPr>
              <w:spacing w:line="276" w:lineRule="auto" w:before="0" w:after="0"/>
            </w:pPr>
            <w:r/>
            <w:r>
              <w:rPr>
                <w:rFonts w:ascii="Figtree" w:hAnsi="Figtree"/>
                <w:b w:val="0"/>
                <w:i w:val="0"/>
                <w:sz w:val="20"/>
              </w:rPr>
              <w:t>DALP, Digital Asset Lifecycle Platform</w:t>
            </w:r>
          </w:p>
        </w:tc>
      </w:tr>
      <w:tr>
        <w:trPr>
          <w:trHeight w:val="425" w:hRule="atLeast"/>
        </w:trPr>
        <w:tc>
          <w:tcPr>
            <w:tcW w:type="dxa" w:w="4873"/>
            <w:vAlign w:val="center"/>
          </w:tcPr>
          <w:p>
            <w:pPr>
              <w:spacing w:line="276" w:lineRule="auto" w:before="0" w:after="0"/>
            </w:pPr>
            <w:r/>
            <w:r>
              <w:rPr>
                <w:rFonts w:ascii="Figtree" w:hAnsi="Figtree"/>
                <w:b w:val="0"/>
                <w:i w:val="0"/>
                <w:sz w:val="20"/>
              </w:rPr>
              <w:t>Core market focus</w:t>
            </w:r>
          </w:p>
        </w:tc>
        <w:tc>
          <w:tcPr>
            <w:tcW w:type="dxa" w:w="4873"/>
            <w:vAlign w:val="center"/>
          </w:tcPr>
          <w:p>
            <w:pPr>
              <w:spacing w:line="276" w:lineRule="auto" w:before="0" w:after="0"/>
            </w:pPr>
            <w:r/>
            <w:r>
              <w:rPr>
                <w:rFonts w:ascii="Figtree" w:hAnsi="Figtree"/>
                <w:b w:val="0"/>
                <w:i w:val="0"/>
                <w:sz w:val="20"/>
              </w:rPr>
              <w:t>Regulated financial institutions, market infrastructures, sovereign programmes</w:t>
            </w:r>
          </w:p>
        </w:tc>
      </w:tr>
      <w:tr>
        <w:trPr>
          <w:trHeight w:val="425" w:hRule="atLeast"/>
        </w:trPr>
        <w:tc>
          <w:tcPr>
            <w:tcW w:type="dxa" w:w="4873"/>
            <w:vAlign w:val="center"/>
          </w:tcPr>
          <w:p>
            <w:pPr>
              <w:spacing w:line="276" w:lineRule="auto" w:before="0" w:after="0"/>
            </w:pPr>
            <w:r/>
            <w:r>
              <w:rPr>
                <w:rFonts w:ascii="Figtree" w:hAnsi="Figtree"/>
                <w:b w:val="0"/>
                <w:i w:val="0"/>
                <w:sz w:val="20"/>
              </w:rPr>
              <w:t>Core operating model</w:t>
            </w:r>
          </w:p>
        </w:tc>
        <w:tc>
          <w:tcPr>
            <w:tcW w:type="dxa" w:w="4873"/>
            <w:vAlign w:val="center"/>
          </w:tcPr>
          <w:p>
            <w:pPr>
              <w:spacing w:line="276" w:lineRule="auto" w:before="0" w:after="0"/>
            </w:pPr>
            <w:r/>
            <w:r>
              <w:rPr>
                <w:rFonts w:ascii="Figtree" w:hAnsi="Figtree"/>
                <w:b w:val="0"/>
                <w:i w:val="0"/>
                <w:sz w:val="20"/>
              </w:rPr>
              <w:t>Platform provider and digital asset lifecycle infrastructure partner</w:t>
            </w:r>
          </w:p>
        </w:tc>
      </w:tr>
      <w:tr>
        <w:trPr>
          <w:trHeight w:val="425" w:hRule="atLeast"/>
        </w:trPr>
        <w:tc>
          <w:tcPr>
            <w:tcW w:type="dxa" w:w="4873"/>
            <w:vAlign w:val="center"/>
          </w:tcPr>
          <w:p>
            <w:pPr>
              <w:spacing w:line="276" w:lineRule="auto" w:before="0" w:after="0"/>
            </w:pPr>
            <w:r/>
            <w:r>
              <w:rPr>
                <w:rFonts w:ascii="Figtree" w:hAnsi="Figtree"/>
                <w:b w:val="0"/>
                <w:i w:val="0"/>
                <w:sz w:val="20"/>
              </w:rPr>
              <w:t>Main capabilities</w:t>
            </w:r>
          </w:p>
        </w:tc>
        <w:tc>
          <w:tcPr>
            <w:tcW w:type="dxa" w:w="4873"/>
            <w:vAlign w:val="center"/>
          </w:tcPr>
          <w:p>
            <w:pPr>
              <w:spacing w:line="276" w:lineRule="auto" w:before="0" w:after="0"/>
            </w:pPr>
            <w:r/>
            <w:r>
              <w:rPr>
                <w:rFonts w:ascii="Figtree" w:hAnsi="Figtree"/>
                <w:b w:val="0"/>
                <w:i w:val="0"/>
                <w:sz w:val="20"/>
              </w:rPr>
              <w:t>Asset design, issuance, compliance controls, identity-linked transfer rules, custody integration, settlement orchestration, servicing, reporting</w:t>
            </w:r>
          </w:p>
        </w:tc>
      </w:tr>
      <w:tr>
        <w:trPr>
          <w:trHeight w:val="425" w:hRule="atLeast"/>
        </w:trPr>
        <w:tc>
          <w:tcPr>
            <w:tcW w:type="dxa" w:w="4873"/>
            <w:vAlign w:val="center"/>
          </w:tcPr>
          <w:p>
            <w:pPr>
              <w:spacing w:line="276" w:lineRule="auto" w:before="0" w:after="0"/>
            </w:pPr>
            <w:r/>
            <w:r>
              <w:rPr>
                <w:rFonts w:ascii="Figtree" w:hAnsi="Figtree"/>
                <w:b w:val="0"/>
                <w:i w:val="0"/>
                <w:sz w:val="20"/>
              </w:rPr>
              <w:t>Deployment models</w:t>
            </w:r>
          </w:p>
        </w:tc>
        <w:tc>
          <w:tcPr>
            <w:tcW w:type="dxa" w:w="4873"/>
            <w:vAlign w:val="center"/>
          </w:tcPr>
          <w:p>
            <w:pPr>
              <w:spacing w:line="276" w:lineRule="auto" w:before="0" w:after="0"/>
            </w:pPr>
            <w:r/>
            <w:r>
              <w:rPr>
                <w:rFonts w:ascii="Figtree" w:hAnsi="Figtree"/>
                <w:b w:val="0"/>
                <w:i w:val="0"/>
                <w:sz w:val="20"/>
              </w:rPr>
              <w:t>Private cloud, on-premises, dedicated deployments, EVM-compatible networks</w:t>
            </w:r>
          </w:p>
        </w:tc>
      </w:tr>
      <w:tr>
        <w:trPr>
          <w:trHeight w:val="425" w:hRule="atLeast"/>
        </w:trPr>
        <w:tc>
          <w:tcPr>
            <w:tcW w:type="dxa" w:w="4873"/>
            <w:vAlign w:val="center"/>
          </w:tcPr>
          <w:p>
            <w:pPr>
              <w:spacing w:line="276" w:lineRule="auto" w:before="0" w:after="0"/>
            </w:pPr>
            <w:r/>
            <w:r>
              <w:rPr>
                <w:rFonts w:ascii="Figtree" w:hAnsi="Figtree"/>
                <w:b w:val="0"/>
                <w:i w:val="0"/>
                <w:sz w:val="20"/>
              </w:rPr>
              <w:t>Geographic relevance</w:t>
            </w:r>
          </w:p>
        </w:tc>
        <w:tc>
          <w:tcPr>
            <w:tcW w:type="dxa" w:w="4873"/>
            <w:vAlign w:val="center"/>
          </w:tcPr>
          <w:p>
            <w:pPr>
              <w:spacing w:line="276" w:lineRule="auto" w:before="0" w:after="0"/>
            </w:pPr>
            <w:r/>
            <w:r>
              <w:rPr>
                <w:rFonts w:ascii="Figtree" w:hAnsi="Figtree"/>
                <w:b w:val="0"/>
                <w:i w:val="0"/>
                <w:sz w:val="20"/>
              </w:rPr>
              <w:t>Europe, Middle East, Asia-Pacific</w:t>
            </w:r>
          </w:p>
        </w:tc>
      </w:tr>
    </w:tbl>
    <w:p>
      <w:pPr>
        <w:spacing w:before="0" w:after="0" w:line="120" w:lineRule="exact"/>
      </w:pPr>
    </w:p>
    <w:p>
      <w:pPr>
        <w:pStyle w:val="H2"/>
        <w:numPr>
          <w:ilvl w:val="1"/>
          <w:numId w:val="1"/>
        </w:numPr>
      </w:pPr>
      <w:r>
        <w:t>Company Positioning</w:t>
      </w:r>
    </w:p>
    <w:p>
      <w:r>
        <w:rPr>
          <w:rFonts w:ascii="Figtree" w:hAnsi="Figtree"/>
          <w:b w:val="0"/>
          <w:i w:val="0"/>
          <w:sz w:val="22"/>
        </w:rPr>
        <w:t>SettleMint provides infrastructure for regulated digital asset operations. The company does not position itself as a speculative crypto operator. Its focus is operational infrastructure for institutions that need governance, compliance, security, and lifecycle management from day one.</w:t>
      </w:r>
    </w:p>
    <w:p>
      <w:r>
        <w:rPr>
          <w:rFonts w:ascii="Figtree" w:hAnsi="Figtree"/>
          <w:b w:val="0"/>
          <w:i w:val="0"/>
          <w:sz w:val="22"/>
        </w:rPr>
        <w:t>DALP covers the full lifecycle of digital assets, from instrument configuration and issuance through transfer control, servicing, redemption, and reporting. This is particularly relevant in regulated environments where tokenization is not enough on its own. The institution also needs identity controls, auditable approvals, compliance enforcement before execution, and clear integration with custody and enterprise systems.</w:t>
      </w:r>
    </w:p>
    <w:p>
      <w:pPr>
        <w:pStyle w:val="H1"/>
        <w:numPr>
          <w:ilvl w:val="0"/>
          <w:numId w:val="1"/>
        </w:numPr>
      </w:pPr>
      <w:r>
        <w:t>Intended Role in Pakistan</w:t>
      </w:r>
    </w:p>
    <w:p>
      <w:r>
        <w:rPr>
          <w:rFonts w:ascii="Figtree" w:hAnsi="Figtree"/>
          <w:b w:val="0"/>
          <w:i w:val="0"/>
          <w:sz w:val="22"/>
        </w:rPr>
        <w:t>SettleMint seeks to contribute to Pakistan's regulated virtual asset ecosystem in one or more of the following roles, subject to PVARA's final classification and approval:</w:t>
      </w:r>
    </w:p>
    <w:p>
      <w:pPr>
        <w:pStyle w:val="ListParagraph"/>
        <w:numPr>
          <w:ilvl w:val="0"/>
          <w:numId w:val="6"/>
        </w:numPr>
      </w:pPr>
      <w:r>
        <w:rPr>
          <w:rFonts w:ascii="Figtree" w:hAnsi="Figtree"/>
          <w:b w:val="0"/>
          <w:i w:val="0"/>
          <w:sz w:val="22"/>
        </w:rPr>
        <w:t>Technology and infrastructure provider for regulated digital asset programmes.</w:t>
      </w:r>
    </w:p>
    <w:p>
      <w:pPr>
        <w:pStyle w:val="ListParagraph"/>
        <w:numPr>
          <w:ilvl w:val="0"/>
          <w:numId w:val="6"/>
        </w:numPr>
      </w:pPr>
      <w:r>
        <w:rPr>
          <w:rFonts w:ascii="Figtree" w:hAnsi="Figtree"/>
          <w:b w:val="0"/>
          <w:i w:val="0"/>
          <w:sz w:val="22"/>
        </w:rPr>
        <w:t>Platform operator for permissioned token issuance and controlled investor participation models.</w:t>
      </w:r>
    </w:p>
    <w:p>
      <w:pPr>
        <w:pStyle w:val="ListParagraph"/>
        <w:numPr>
          <w:ilvl w:val="0"/>
          <w:numId w:val="6"/>
        </w:numPr>
      </w:pPr>
      <w:r>
        <w:rPr>
          <w:rFonts w:ascii="Figtree" w:hAnsi="Figtree"/>
          <w:b w:val="0"/>
          <w:i w:val="0"/>
          <w:sz w:val="22"/>
        </w:rPr>
        <w:t>Enabler for compliant tokenized financial instruments and real-world asset structures.</w:t>
      </w:r>
    </w:p>
    <w:p>
      <w:pPr>
        <w:pStyle w:val="ListParagraph"/>
        <w:numPr>
          <w:ilvl w:val="0"/>
          <w:numId w:val="6"/>
        </w:numPr>
      </w:pPr>
      <w:r>
        <w:rPr>
          <w:rFonts w:ascii="Figtree" w:hAnsi="Figtree"/>
          <w:b w:val="0"/>
          <w:i w:val="0"/>
          <w:sz w:val="22"/>
        </w:rPr>
        <w:t>Infrastructure partner to licensed financial institutions, exchanges, custodians, and issuers entering the Pakistan market.</w:t>
      </w:r>
    </w:p>
    <w:p>
      <w:r>
        <w:rPr>
          <w:rFonts w:ascii="Figtree" w:hAnsi="Figtree"/>
          <w:b w:val="0"/>
          <w:i w:val="0"/>
          <w:sz w:val="22"/>
        </w:rPr>
        <w:t>SettleMint would not seek to bypass Pakistan's regulatory framework. The operating principle is the opposite: work within the framework, confirm the correct regulatory perimeter early, and ensure that any launch is aligned to licensing, AML, governance, and consumer protection requirements.</w:t>
      </w:r>
    </w:p>
    <w:p>
      <w:pPr>
        <w:pStyle w:val="H1"/>
        <w:numPr>
          <w:ilvl w:val="0"/>
          <w:numId w:val="1"/>
        </w:numPr>
      </w:pPr>
      <w:r>
        <w:t>Why SettleMint Fits PVARA's Objectives</w:t>
      </w:r>
    </w:p>
    <w:p>
      <w:pPr>
        <w:pStyle w:val="H2"/>
        <w:numPr>
          <w:ilvl w:val="1"/>
          <w:numId w:val="1"/>
        </w:numPr>
      </w:pPr>
      <w:r>
        <w:t>Regulatory-first operating model</w:t>
      </w:r>
    </w:p>
    <w:p>
      <w:r>
        <w:rPr>
          <w:rFonts w:ascii="Figtree" w:hAnsi="Figtree"/>
          <w:b w:val="0"/>
          <w:i w:val="0"/>
          <w:sz w:val="22"/>
        </w:rPr>
        <w:t>PVARA's public materials emphasize supervision, AML and CFT alignment, market integrity, and consumer protection. SettleMint's platform design aligns with that direction because DALP is built for environments where policy enforcement, investor eligibility, transfer restrictions, and structured auditability are mandatory.</w:t>
      </w:r>
    </w:p>
    <w:p>
      <w:pPr>
        <w:pStyle w:val="H2"/>
        <w:numPr>
          <w:ilvl w:val="1"/>
          <w:numId w:val="1"/>
        </w:numPr>
      </w:pPr>
      <w:r>
        <w:t>Strong compliance architecture</w:t>
      </w:r>
    </w:p>
    <w:p>
      <w:r>
        <w:rPr>
          <w:rFonts w:ascii="Figtree" w:hAnsi="Figtree"/>
          <w:b w:val="0"/>
          <w:i w:val="0"/>
          <w:sz w:val="22"/>
        </w:rPr>
        <w:t>DALP supports configurable compliance modules covering identity verification, jurisdiction restrictions, allow and block lists, supply controls, holding periods, transfer approvals, and collateral constraints. These controls are designed to support regulated issuance and controlled distribution, rather than open, unmanaged token circulation.</w:t>
      </w:r>
    </w:p>
    <w:p>
      <w:pPr>
        <w:pStyle w:val="H2"/>
        <w:numPr>
          <w:ilvl w:val="1"/>
          <w:numId w:val="1"/>
        </w:numPr>
      </w:pPr>
      <w:r>
        <w:t>Identity-linked operations</w:t>
      </w:r>
    </w:p>
    <w:p>
      <w:r>
        <w:rPr>
          <w:rFonts w:ascii="Figtree" w:hAnsi="Figtree"/>
          <w:b w:val="0"/>
          <w:i w:val="0"/>
          <w:sz w:val="22"/>
        </w:rPr>
        <w:t>PVARA highlights KYC, recordkeeping, suspicious activity reporting, and accountable operations. DALP is built around verified identity and role-based governance. This supports investor eligibility checks, operational segregation of duties, and auditable lifecycle events.</w:t>
      </w:r>
    </w:p>
    <w:p>
      <w:pPr>
        <w:pStyle w:val="H2"/>
        <w:numPr>
          <w:ilvl w:val="1"/>
          <w:numId w:val="1"/>
        </w:numPr>
      </w:pPr>
      <w:r>
        <w:t>Consumer protection and governance</w:t>
      </w:r>
    </w:p>
    <w:p>
      <w:r>
        <w:rPr>
          <w:rFonts w:ascii="Figtree" w:hAnsi="Figtree"/>
          <w:b w:val="0"/>
          <w:i w:val="0"/>
          <w:sz w:val="22"/>
        </w:rPr>
        <w:t>PVARA's framework stresses security standards, safeguarding of customer interests, transparent practices, and accountability. DALP supports maker-checker approvals, role-based permissions, operational logs, policy templates, and integration with institutional custody and compliance processes.</w:t>
      </w:r>
    </w:p>
    <w:p>
      <w:pPr>
        <w:pStyle w:val="H2"/>
        <w:numPr>
          <w:ilvl w:val="1"/>
          <w:numId w:val="1"/>
        </w:numPr>
      </w:pPr>
      <w:r>
        <w:t>Market development potential</w:t>
      </w:r>
    </w:p>
    <w:p>
      <w:r>
        <w:rPr>
          <w:rFonts w:ascii="Figtree" w:hAnsi="Figtree"/>
          <w:b w:val="0"/>
          <w:i w:val="0"/>
          <w:sz w:val="22"/>
        </w:rPr>
        <w:t>Pakistan's framework is at an early but important stage. SettleMint can support the development of compliant digital asset use cases beyond simple exchange activity, including tokenized deposits, funds, bonds, sukuk, real estate structures, and other regulated digital instruments where lifecycle control matters.</w:t>
      </w:r>
    </w:p>
    <w:p>
      <w:pPr>
        <w:pStyle w:val="H1"/>
        <w:numPr>
          <w:ilvl w:val="0"/>
          <w:numId w:val="1"/>
        </w:numPr>
      </w:pPr>
      <w:r>
        <w:t>DALP Capability Summary</w:t>
      </w:r>
    </w:p>
    <w:p>
      <w:pPr>
        <w:pStyle w:val="H2"/>
        <w:numPr>
          <w:ilvl w:val="1"/>
          <w:numId w:val="1"/>
        </w:numPr>
      </w:pPr>
      <w:r>
        <w:t>Platform Scope</w:t>
      </w:r>
    </w:p>
    <w:p>
      <w:r>
        <w:rPr>
          <w:rFonts w:ascii="Figtree" w:hAnsi="Figtree"/>
          <w:b w:val="0"/>
          <w:i w:val="0"/>
          <w:sz w:val="22"/>
        </w:rPr>
        <w:t>DALP enables organizations to:</w:t>
      </w:r>
    </w:p>
    <w:p>
      <w:pPr>
        <w:pStyle w:val="ListParagraph"/>
        <w:numPr>
          <w:ilvl w:val="0"/>
          <w:numId w:val="4"/>
        </w:numPr>
      </w:pPr>
      <w:r>
        <w:rPr>
          <w:rFonts w:ascii="Figtree" w:hAnsi="Figtree"/>
          <w:b w:val="0"/>
          <w:i w:val="0"/>
          <w:sz w:val="22"/>
        </w:rPr>
        <w:t>design digital asset products with controlled metadata and governance</w:t>
      </w:r>
    </w:p>
    <w:p>
      <w:pPr>
        <w:pStyle w:val="ListParagraph"/>
        <w:numPr>
          <w:ilvl w:val="0"/>
          <w:numId w:val="4"/>
        </w:numPr>
      </w:pPr>
      <w:r>
        <w:rPr>
          <w:rFonts w:ascii="Figtree" w:hAnsi="Figtree"/>
          <w:b w:val="0"/>
          <w:i w:val="0"/>
          <w:sz w:val="22"/>
        </w:rPr>
        <w:t>issue assets with defined supply, permissions, and lifecycle logic</w:t>
      </w:r>
    </w:p>
    <w:p>
      <w:pPr>
        <w:pStyle w:val="ListParagraph"/>
        <w:numPr>
          <w:ilvl w:val="0"/>
          <w:numId w:val="4"/>
        </w:numPr>
      </w:pPr>
      <w:r>
        <w:rPr>
          <w:rFonts w:ascii="Figtree" w:hAnsi="Figtree"/>
          <w:b w:val="0"/>
          <w:i w:val="0"/>
          <w:sz w:val="22"/>
        </w:rPr>
        <w:t>verify investor eligibility before issuance or transfer</w:t>
      </w:r>
    </w:p>
    <w:p>
      <w:pPr>
        <w:pStyle w:val="ListParagraph"/>
        <w:numPr>
          <w:ilvl w:val="0"/>
          <w:numId w:val="4"/>
        </w:numPr>
      </w:pPr>
      <w:r>
        <w:rPr>
          <w:rFonts w:ascii="Figtree" w:hAnsi="Figtree"/>
          <w:b w:val="0"/>
          <w:i w:val="0"/>
          <w:sz w:val="22"/>
        </w:rPr>
        <w:t>enforce jurisdiction and identity restrictions</w:t>
      </w:r>
    </w:p>
    <w:p>
      <w:pPr>
        <w:pStyle w:val="ListParagraph"/>
        <w:numPr>
          <w:ilvl w:val="0"/>
          <w:numId w:val="4"/>
        </w:numPr>
      </w:pPr>
      <w:r>
        <w:rPr>
          <w:rFonts w:ascii="Figtree" w:hAnsi="Figtree"/>
          <w:b w:val="0"/>
          <w:i w:val="0"/>
          <w:sz w:val="22"/>
        </w:rPr>
        <w:t>integrate with custody providers and enterprise systems</w:t>
      </w:r>
    </w:p>
    <w:p>
      <w:pPr>
        <w:pStyle w:val="ListParagraph"/>
        <w:numPr>
          <w:ilvl w:val="0"/>
          <w:numId w:val="4"/>
        </w:numPr>
      </w:pPr>
      <w:r>
        <w:rPr>
          <w:rFonts w:ascii="Figtree" w:hAnsi="Figtree"/>
          <w:b w:val="0"/>
          <w:i w:val="0"/>
          <w:sz w:val="22"/>
        </w:rPr>
        <w:t>manage servicing events such as distributions, redemptions, and maturity workflows</w:t>
      </w:r>
    </w:p>
    <w:p>
      <w:pPr>
        <w:pStyle w:val="ListParagraph"/>
        <w:numPr>
          <w:ilvl w:val="0"/>
          <w:numId w:val="4"/>
        </w:numPr>
      </w:pPr>
      <w:r>
        <w:rPr>
          <w:rFonts w:ascii="Figtree" w:hAnsi="Figtree"/>
          <w:b w:val="0"/>
          <w:i w:val="0"/>
          <w:sz w:val="22"/>
        </w:rPr>
        <w:t>maintain full auditability across platform actions and token operations</w:t>
      </w:r>
    </w:p>
    <w:p>
      <w:pPr>
        <w:pStyle w:val="H2"/>
        <w:numPr>
          <w:ilvl w:val="1"/>
          <w:numId w:val="1"/>
        </w:numPr>
      </w:pPr>
      <w:r>
        <w:t>Relevant Control Areas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47"/>
        <w:gridCol w:w="642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Control area</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DALP relevance to PVARA priorities</w:t>
            </w:r>
          </w:p>
        </w:tc>
      </w:tr>
      <w:tr>
        <w:trPr>
          <w:trHeight w:val="425" w:hRule="atLeast"/>
        </w:trPr>
        <w:tc>
          <w:tcPr>
            <w:tcW w:type="dxa" w:w="4873"/>
            <w:vAlign w:val="center"/>
          </w:tcPr>
          <w:p>
            <w:pPr>
              <w:spacing w:line="276" w:lineRule="auto" w:before="0" w:after="0"/>
            </w:pPr>
            <w:r/>
            <w:r>
              <w:rPr>
                <w:rFonts w:ascii="Figtree" w:hAnsi="Figtree"/>
                <w:b w:val="0"/>
                <w:i w:val="0"/>
                <w:sz w:val="20"/>
              </w:rPr>
              <w:t>Identity and onboarding</w:t>
            </w:r>
          </w:p>
        </w:tc>
        <w:tc>
          <w:tcPr>
            <w:tcW w:type="dxa" w:w="4873"/>
            <w:vAlign w:val="center"/>
          </w:tcPr>
          <w:p>
            <w:pPr>
              <w:spacing w:line="276" w:lineRule="auto" w:before="0" w:after="0"/>
            </w:pPr>
            <w:r/>
            <w:r>
              <w:rPr>
                <w:rFonts w:ascii="Figtree" w:hAnsi="Figtree"/>
                <w:b w:val="0"/>
                <w:i w:val="0"/>
                <w:sz w:val="20"/>
              </w:rPr>
              <w:t>Identity-linked eligibility and claim-based verification</w:t>
            </w:r>
          </w:p>
        </w:tc>
      </w:tr>
      <w:tr>
        <w:trPr>
          <w:trHeight w:val="425" w:hRule="atLeast"/>
        </w:trPr>
        <w:tc>
          <w:tcPr>
            <w:tcW w:type="dxa" w:w="4873"/>
            <w:vAlign w:val="center"/>
          </w:tcPr>
          <w:p>
            <w:pPr>
              <w:spacing w:line="276" w:lineRule="auto" w:before="0" w:after="0"/>
            </w:pPr>
            <w:r/>
            <w:r>
              <w:rPr>
                <w:rFonts w:ascii="Figtree" w:hAnsi="Figtree"/>
                <w:b w:val="0"/>
                <w:i w:val="0"/>
                <w:sz w:val="20"/>
              </w:rPr>
              <w:t>AML and governance</w:t>
            </w:r>
          </w:p>
        </w:tc>
        <w:tc>
          <w:tcPr>
            <w:tcW w:type="dxa" w:w="4873"/>
            <w:vAlign w:val="center"/>
          </w:tcPr>
          <w:p>
            <w:pPr>
              <w:spacing w:line="276" w:lineRule="auto" w:before="0" w:after="0"/>
            </w:pPr>
            <w:r/>
            <w:r>
              <w:rPr>
                <w:rFonts w:ascii="Figtree" w:hAnsi="Figtree"/>
                <w:b w:val="0"/>
                <w:i w:val="0"/>
                <w:sz w:val="20"/>
              </w:rPr>
              <w:t>Structured controls, approval workflows, logs, and integration support</w:t>
            </w:r>
          </w:p>
        </w:tc>
      </w:tr>
      <w:tr>
        <w:trPr>
          <w:trHeight w:val="425" w:hRule="atLeast"/>
        </w:trPr>
        <w:tc>
          <w:tcPr>
            <w:tcW w:type="dxa" w:w="4873"/>
            <w:vAlign w:val="center"/>
          </w:tcPr>
          <w:p>
            <w:pPr>
              <w:spacing w:line="276" w:lineRule="auto" w:before="0" w:after="0"/>
            </w:pPr>
            <w:r/>
            <w:r>
              <w:rPr>
                <w:rFonts w:ascii="Figtree" w:hAnsi="Figtree"/>
                <w:b w:val="0"/>
                <w:i w:val="0"/>
                <w:sz w:val="20"/>
              </w:rPr>
              <w:t>Consumer protection</w:t>
            </w:r>
          </w:p>
        </w:tc>
        <w:tc>
          <w:tcPr>
            <w:tcW w:type="dxa" w:w="4873"/>
            <w:vAlign w:val="center"/>
          </w:tcPr>
          <w:p>
            <w:pPr>
              <w:spacing w:line="276" w:lineRule="auto" w:before="0" w:after="0"/>
            </w:pPr>
            <w:r/>
            <w:r>
              <w:rPr>
                <w:rFonts w:ascii="Figtree" w:hAnsi="Figtree"/>
                <w:b w:val="0"/>
                <w:i w:val="0"/>
                <w:sz w:val="20"/>
              </w:rPr>
              <w:t>Transfer restrictions, permissioning, auditable operations</w:t>
            </w:r>
          </w:p>
        </w:tc>
      </w:tr>
      <w:tr>
        <w:trPr>
          <w:trHeight w:val="425" w:hRule="atLeast"/>
        </w:trPr>
        <w:tc>
          <w:tcPr>
            <w:tcW w:type="dxa" w:w="4873"/>
            <w:vAlign w:val="center"/>
          </w:tcPr>
          <w:p>
            <w:pPr>
              <w:spacing w:line="276" w:lineRule="auto" w:before="0" w:after="0"/>
            </w:pPr>
            <w:r/>
            <w:r>
              <w:rPr>
                <w:rFonts w:ascii="Figtree" w:hAnsi="Figtree"/>
                <w:b w:val="0"/>
                <w:i w:val="0"/>
                <w:sz w:val="20"/>
              </w:rPr>
              <w:t>Security</w:t>
            </w:r>
          </w:p>
        </w:tc>
        <w:tc>
          <w:tcPr>
            <w:tcW w:type="dxa" w:w="4873"/>
            <w:vAlign w:val="center"/>
          </w:tcPr>
          <w:p>
            <w:pPr>
              <w:spacing w:line="276" w:lineRule="auto" w:before="0" w:after="0"/>
            </w:pPr>
            <w:r/>
            <w:r>
              <w:rPr>
                <w:rFonts w:ascii="Figtree" w:hAnsi="Figtree"/>
                <w:b w:val="0"/>
                <w:i w:val="0"/>
                <w:sz w:val="20"/>
              </w:rPr>
              <w:t>Role-based access, custody integration patterns, controlled execution</w:t>
            </w:r>
          </w:p>
        </w:tc>
      </w:tr>
      <w:tr>
        <w:trPr>
          <w:trHeight w:val="425" w:hRule="atLeast"/>
        </w:trPr>
        <w:tc>
          <w:tcPr>
            <w:tcW w:type="dxa" w:w="4873"/>
            <w:vAlign w:val="center"/>
          </w:tcPr>
          <w:p>
            <w:pPr>
              <w:spacing w:line="276" w:lineRule="auto" w:before="0" w:after="0"/>
            </w:pPr>
            <w:r/>
            <w:r>
              <w:rPr>
                <w:rFonts w:ascii="Figtree" w:hAnsi="Figtree"/>
                <w:b w:val="0"/>
                <w:i w:val="0"/>
                <w:sz w:val="20"/>
              </w:rPr>
              <w:t>Market integrity</w:t>
            </w:r>
          </w:p>
        </w:tc>
        <w:tc>
          <w:tcPr>
            <w:tcW w:type="dxa" w:w="4873"/>
            <w:vAlign w:val="center"/>
          </w:tcPr>
          <w:p>
            <w:pPr>
              <w:spacing w:line="276" w:lineRule="auto" w:before="0" w:after="0"/>
            </w:pPr>
            <w:r/>
            <w:r>
              <w:rPr>
                <w:rFonts w:ascii="Figtree" w:hAnsi="Figtree"/>
                <w:b w:val="0"/>
                <w:i w:val="0"/>
                <w:sz w:val="20"/>
              </w:rPr>
              <w:t>Pre-execution rule enforcement and lifecycle traceability</w:t>
            </w:r>
          </w:p>
        </w:tc>
      </w:tr>
      <w:tr>
        <w:trPr>
          <w:trHeight w:val="425" w:hRule="atLeast"/>
        </w:trPr>
        <w:tc>
          <w:tcPr>
            <w:tcW w:type="dxa" w:w="4873"/>
            <w:vAlign w:val="center"/>
          </w:tcPr>
          <w:p>
            <w:pPr>
              <w:spacing w:line="276" w:lineRule="auto" w:before="0" w:after="0"/>
            </w:pPr>
            <w:r/>
            <w:r>
              <w:rPr>
                <w:rFonts w:ascii="Figtree" w:hAnsi="Figtree"/>
                <w:b w:val="0"/>
                <w:i w:val="0"/>
                <w:sz w:val="20"/>
              </w:rPr>
              <w:t>Reporting readiness</w:t>
            </w:r>
          </w:p>
        </w:tc>
        <w:tc>
          <w:tcPr>
            <w:tcW w:type="dxa" w:w="4873"/>
            <w:vAlign w:val="center"/>
          </w:tcPr>
          <w:p>
            <w:pPr>
              <w:spacing w:line="276" w:lineRule="auto" w:before="0" w:after="0"/>
            </w:pPr>
            <w:r/>
            <w:r>
              <w:rPr>
                <w:rFonts w:ascii="Figtree" w:hAnsi="Figtree"/>
                <w:b w:val="0"/>
                <w:i w:val="0"/>
                <w:sz w:val="20"/>
              </w:rPr>
              <w:t>Event logs, operational audit trail, and integration outputs</w:t>
            </w:r>
          </w:p>
        </w:tc>
      </w:tr>
    </w:tbl>
    <w:p>
      <w:pPr>
        <w:spacing w:before="0" w:after="0" w:line="120" w:lineRule="exact"/>
      </w:pPr>
    </w:p>
    <w:p>
      <w:pPr>
        <w:pStyle w:val="H1"/>
        <w:numPr>
          <w:ilvl w:val="0"/>
          <w:numId w:val="1"/>
        </w:numPr>
      </w:pPr>
      <w:r>
        <w:t>Requirement Mapping and Capability Assessment</w:t>
      </w:r>
    </w:p>
    <w:p>
      <w:r>
        <w:rPr>
          <w:rFonts w:ascii="Figtree" w:hAnsi="Figtree"/>
          <w:b w:val="0"/>
          <w:i w:val="0"/>
          <w:sz w:val="22"/>
        </w:rPr>
        <w:t>The table below reflects the public PVARA information available at drafting time. It is a best-effort mapping, not a substitute for PVARA's formal application pack or legal review.</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99"/>
        <w:gridCol w:w="5295"/>
        <w:gridCol w:w="1370"/>
        <w:gridCol w:w="706"/>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PVARA requirement or signal</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SettleMint response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fit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Confidence</w:t>
            </w:r>
          </w:p>
        </w:tc>
      </w:tr>
      <w:tr>
        <w:trPr>
          <w:trHeight w:val="425" w:hRule="atLeast"/>
        </w:trPr>
        <w:tc>
          <w:tcPr>
            <w:tcW w:type="dxa" w:w="2436"/>
            <w:vAlign w:val="center"/>
          </w:tcPr>
          <w:p>
            <w:pPr>
              <w:spacing w:line="276" w:lineRule="auto" w:before="0" w:after="0"/>
            </w:pPr>
            <w:r/>
            <w:r>
              <w:rPr>
                <w:rFonts w:ascii="Figtree" w:hAnsi="Figtree"/>
                <w:b w:val="0"/>
                <w:i w:val="0"/>
                <w:sz w:val="20"/>
              </w:rPr>
              <w:t>Submit business plan and corporate documents for NOC</w:t>
            </w:r>
          </w:p>
        </w:tc>
        <w:tc>
          <w:tcPr>
            <w:tcW w:type="dxa" w:w="2436"/>
            <w:vAlign w:val="center"/>
          </w:tcPr>
          <w:p>
            <w:pPr>
              <w:spacing w:line="276" w:lineRule="auto" w:before="0" w:after="0"/>
            </w:pPr>
            <w:r/>
            <w:r>
              <w:rPr>
                <w:rFonts w:ascii="Figtree" w:hAnsi="Figtree"/>
                <w:b w:val="0"/>
                <w:i w:val="0"/>
                <w:sz w:val="20"/>
              </w:rPr>
              <w:t>SettleMint can provide corporate profile, operating model, and market entry plan</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High</w:t>
            </w:r>
          </w:p>
        </w:tc>
      </w:tr>
      <w:tr>
        <w:trPr>
          <w:trHeight w:val="425" w:hRule="atLeast"/>
        </w:trPr>
        <w:tc>
          <w:tcPr>
            <w:tcW w:type="dxa" w:w="2436"/>
            <w:vAlign w:val="center"/>
          </w:tcPr>
          <w:p>
            <w:pPr>
              <w:spacing w:line="276" w:lineRule="auto" w:before="0" w:after="0"/>
            </w:pPr>
            <w:r/>
            <w:r>
              <w:rPr>
                <w:rFonts w:ascii="Figtree" w:hAnsi="Figtree"/>
                <w:b w:val="0"/>
                <w:i w:val="0"/>
                <w:sz w:val="20"/>
              </w:rPr>
              <w:t>Clear AML and CFT standards and governance requirements</w:t>
            </w:r>
          </w:p>
        </w:tc>
        <w:tc>
          <w:tcPr>
            <w:tcW w:type="dxa" w:w="2436"/>
            <w:vAlign w:val="center"/>
          </w:tcPr>
          <w:p>
            <w:pPr>
              <w:spacing w:line="276" w:lineRule="auto" w:before="0" w:after="0"/>
            </w:pPr>
            <w:r/>
            <w:r>
              <w:rPr>
                <w:rFonts w:ascii="Figtree" w:hAnsi="Figtree"/>
                <w:b w:val="0"/>
                <w:i w:val="0"/>
                <w:sz w:val="20"/>
              </w:rPr>
              <w:t>SettleMint supports governance, identity-linked controls, approval workflows, audit trails, and integrations; external AML registration and reporting obligations would be followed with local processes</w:t>
            </w:r>
          </w:p>
        </w:tc>
        <w:tc>
          <w:tcPr>
            <w:tcW w:type="dxa" w:w="2436"/>
            <w:vAlign w:val="center"/>
          </w:tcPr>
          <w:p>
            <w:pPr>
              <w:spacing w:line="276" w:lineRule="auto" w:before="0" w:after="0"/>
            </w:pPr>
            <w:r/>
            <w:r>
              <w:rPr>
                <w:rFonts w:ascii="Figtree" w:hAnsi="Figtree"/>
                <w:b w:val="0"/>
                <w:i w:val="0"/>
                <w:sz w:val="20"/>
              </w:rPr>
              <w:t>Supported with partner and process dependencies</w:t>
            </w:r>
          </w:p>
        </w:tc>
        <w:tc>
          <w:tcPr>
            <w:tcW w:type="dxa" w:w="2436"/>
            <w:vAlign w:val="center"/>
          </w:tcPr>
          <w:p>
            <w:pPr>
              <w:spacing w:line="276" w:lineRule="auto" w:before="0" w:after="0"/>
            </w:pPr>
            <w:r/>
            <w:r>
              <w:rPr>
                <w:rFonts w:ascii="Figtree" w:hAnsi="Figtree"/>
                <w:b w:val="0"/>
                <w:i w:val="0"/>
                <w:sz w:val="20"/>
              </w:rPr>
              <w:t>Medium</w:t>
            </w:r>
          </w:p>
        </w:tc>
      </w:tr>
      <w:tr>
        <w:trPr>
          <w:trHeight w:val="425" w:hRule="atLeast"/>
        </w:trPr>
        <w:tc>
          <w:tcPr>
            <w:tcW w:type="dxa" w:w="2436"/>
            <w:vAlign w:val="center"/>
          </w:tcPr>
          <w:p>
            <w:pPr>
              <w:spacing w:line="276" w:lineRule="auto" w:before="0" w:after="0"/>
            </w:pPr>
            <w:r/>
            <w:r>
              <w:rPr>
                <w:rFonts w:ascii="Figtree" w:hAnsi="Figtree"/>
                <w:b w:val="0"/>
                <w:i w:val="0"/>
                <w:sz w:val="20"/>
              </w:rPr>
              <w:t>Consumer protection and transparent business practices</w:t>
            </w:r>
          </w:p>
        </w:tc>
        <w:tc>
          <w:tcPr>
            <w:tcW w:type="dxa" w:w="2436"/>
            <w:vAlign w:val="center"/>
          </w:tcPr>
          <w:p>
            <w:pPr>
              <w:spacing w:line="276" w:lineRule="auto" w:before="0" w:after="0"/>
            </w:pPr>
            <w:r/>
            <w:r>
              <w:rPr>
                <w:rFonts w:ascii="Figtree" w:hAnsi="Figtree"/>
                <w:b w:val="0"/>
                <w:i w:val="0"/>
                <w:sz w:val="20"/>
              </w:rPr>
              <w:t>DALP supports controlled operations, restrictions, logs, and governance; final consumer-facing obligations depend on the licensed operating entity and model</w:t>
            </w:r>
          </w:p>
        </w:tc>
        <w:tc>
          <w:tcPr>
            <w:tcW w:type="dxa" w:w="2436"/>
            <w:vAlign w:val="center"/>
          </w:tcPr>
          <w:p>
            <w:pPr>
              <w:spacing w:line="276" w:lineRule="auto" w:before="0" w:after="0"/>
            </w:pPr>
            <w:r/>
            <w:r>
              <w:rPr>
                <w:rFonts w:ascii="Figtree" w:hAnsi="Figtree"/>
                <w:b w:val="0"/>
                <w:i w:val="0"/>
                <w:sz w:val="20"/>
              </w:rPr>
              <w:t>Supported with operating model definition required</w:t>
            </w:r>
          </w:p>
        </w:tc>
        <w:tc>
          <w:tcPr>
            <w:tcW w:type="dxa" w:w="2436"/>
            <w:vAlign w:val="center"/>
          </w:tcPr>
          <w:p>
            <w:pPr>
              <w:spacing w:line="276" w:lineRule="auto" w:before="0" w:after="0"/>
            </w:pPr>
            <w:r/>
            <w:r>
              <w:rPr>
                <w:rFonts w:ascii="Figtree" w:hAnsi="Figtree"/>
                <w:b w:val="0"/>
                <w:i w:val="0"/>
                <w:sz w:val="20"/>
              </w:rPr>
              <w:t>Medium</w:t>
            </w:r>
          </w:p>
        </w:tc>
      </w:tr>
      <w:tr>
        <w:trPr>
          <w:trHeight w:val="425" w:hRule="atLeast"/>
        </w:trPr>
        <w:tc>
          <w:tcPr>
            <w:tcW w:type="dxa" w:w="2436"/>
            <w:vAlign w:val="center"/>
          </w:tcPr>
          <w:p>
            <w:pPr>
              <w:spacing w:line="276" w:lineRule="auto" w:before="0" w:after="0"/>
            </w:pPr>
            <w:r/>
            <w:r>
              <w:rPr>
                <w:rFonts w:ascii="Figtree" w:hAnsi="Figtree"/>
                <w:b w:val="0"/>
                <w:i w:val="0"/>
                <w:sz w:val="20"/>
              </w:rPr>
              <w:t>Robust cybersecurity and operational standards</w:t>
            </w:r>
          </w:p>
        </w:tc>
        <w:tc>
          <w:tcPr>
            <w:tcW w:type="dxa" w:w="2436"/>
            <w:vAlign w:val="center"/>
          </w:tcPr>
          <w:p>
            <w:pPr>
              <w:spacing w:line="276" w:lineRule="auto" w:before="0" w:after="0"/>
            </w:pPr>
            <w:r/>
            <w:r>
              <w:rPr>
                <w:rFonts w:ascii="Figtree" w:hAnsi="Figtree"/>
                <w:b w:val="0"/>
                <w:i w:val="0"/>
                <w:sz w:val="20"/>
              </w:rPr>
              <w:t>DALP is designed for regulated deployments with strong operational controls and institutional integration patterns</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High</w:t>
            </w:r>
          </w:p>
        </w:tc>
      </w:tr>
      <w:tr>
        <w:trPr>
          <w:trHeight w:val="425" w:hRule="atLeast"/>
        </w:trPr>
        <w:tc>
          <w:tcPr>
            <w:tcW w:type="dxa" w:w="2436"/>
            <w:vAlign w:val="center"/>
          </w:tcPr>
          <w:p>
            <w:pPr>
              <w:spacing w:line="276" w:lineRule="auto" w:before="0" w:after="0"/>
            </w:pPr>
            <w:r/>
            <w:r>
              <w:rPr>
                <w:rFonts w:ascii="Figtree" w:hAnsi="Figtree"/>
                <w:b w:val="0"/>
                <w:i w:val="0"/>
                <w:sz w:val="20"/>
              </w:rPr>
              <w:t>FMU goAML registration after NOC</w:t>
            </w:r>
          </w:p>
        </w:tc>
        <w:tc>
          <w:tcPr>
            <w:tcW w:type="dxa" w:w="2436"/>
            <w:vAlign w:val="center"/>
          </w:tcPr>
          <w:p>
            <w:pPr>
              <w:spacing w:line="276" w:lineRule="auto" w:before="0" w:after="0"/>
            </w:pPr>
            <w:r/>
            <w:r>
              <w:rPr>
                <w:rFonts w:ascii="Figtree" w:hAnsi="Figtree"/>
                <w:b w:val="0"/>
                <w:i w:val="0"/>
                <w:sz w:val="20"/>
              </w:rPr>
              <w:t>This is a process obligation for the licensed applicant entity in Pakistan</w:t>
            </w:r>
          </w:p>
        </w:tc>
        <w:tc>
          <w:tcPr>
            <w:tcW w:type="dxa" w:w="2436"/>
            <w:vAlign w:val="center"/>
          </w:tcPr>
          <w:p>
            <w:pPr>
              <w:spacing w:line="276" w:lineRule="auto" w:before="0" w:after="0"/>
            </w:pPr>
            <w:r/>
            <w:r>
              <w:rPr>
                <w:rFonts w:ascii="Figtree" w:hAnsi="Figtree"/>
                <w:b w:val="0"/>
                <w:i w:val="0"/>
                <w:sz w:val="20"/>
              </w:rPr>
              <w:t>Outside platform scope, operationally addressable</w:t>
            </w:r>
          </w:p>
        </w:tc>
        <w:tc>
          <w:tcPr>
            <w:tcW w:type="dxa" w:w="2436"/>
            <w:vAlign w:val="center"/>
          </w:tcPr>
          <w:p>
            <w:pPr>
              <w:spacing w:line="276" w:lineRule="auto" w:before="0" w:after="0"/>
            </w:pPr>
            <w:r/>
            <w:r>
              <w:rPr>
                <w:rFonts w:ascii="Figtree" w:hAnsi="Figtree"/>
                <w:b w:val="0"/>
                <w:i w:val="0"/>
                <w:sz w:val="20"/>
              </w:rPr>
              <w:t>High</w:t>
            </w:r>
          </w:p>
        </w:tc>
      </w:tr>
      <w:tr>
        <w:trPr>
          <w:trHeight w:val="425" w:hRule="atLeast"/>
        </w:trPr>
        <w:tc>
          <w:tcPr>
            <w:tcW w:type="dxa" w:w="2436"/>
            <w:vAlign w:val="center"/>
          </w:tcPr>
          <w:p>
            <w:pPr>
              <w:spacing w:line="276" w:lineRule="auto" w:before="0" w:after="0"/>
            </w:pPr>
            <w:r/>
            <w:r>
              <w:rPr>
                <w:rFonts w:ascii="Figtree" w:hAnsi="Figtree"/>
                <w:b w:val="0"/>
                <w:i w:val="0"/>
                <w:sz w:val="20"/>
              </w:rPr>
              <w:t>Local incorporation in Pakistan</w:t>
            </w:r>
          </w:p>
        </w:tc>
        <w:tc>
          <w:tcPr>
            <w:tcW w:type="dxa" w:w="2436"/>
            <w:vAlign w:val="center"/>
          </w:tcPr>
          <w:p>
            <w:pPr>
              <w:spacing w:line="276" w:lineRule="auto" w:before="0" w:after="0"/>
            </w:pPr>
            <w:r/>
            <w:r>
              <w:rPr>
                <w:rFonts w:ascii="Figtree" w:hAnsi="Figtree"/>
                <w:b w:val="0"/>
                <w:i w:val="0"/>
                <w:sz w:val="20"/>
              </w:rPr>
              <w:t>SettleMint acknowledges this requirement and would satisfy it if the approved market entry structure requires it</w:t>
            </w:r>
          </w:p>
        </w:tc>
        <w:tc>
          <w:tcPr>
            <w:tcW w:type="dxa" w:w="2436"/>
            <w:vAlign w:val="center"/>
          </w:tcPr>
          <w:p>
            <w:pPr>
              <w:spacing w:line="276" w:lineRule="auto" w:before="0" w:after="0"/>
            </w:pPr>
            <w:r/>
            <w:r>
              <w:rPr>
                <w:rFonts w:ascii="Figtree" w:hAnsi="Figtree"/>
                <w:b w:val="0"/>
                <w:i w:val="0"/>
                <w:sz w:val="20"/>
              </w:rPr>
              <w:t>Outside platform scope, corporate step required</w:t>
            </w:r>
          </w:p>
        </w:tc>
        <w:tc>
          <w:tcPr>
            <w:tcW w:type="dxa" w:w="2436"/>
            <w:vAlign w:val="center"/>
          </w:tcPr>
          <w:p>
            <w:pPr>
              <w:spacing w:line="276" w:lineRule="auto" w:before="0" w:after="0"/>
            </w:pPr>
            <w:r/>
            <w:r>
              <w:rPr>
                <w:rFonts w:ascii="Figtree" w:hAnsi="Figtree"/>
                <w:b w:val="0"/>
                <w:i w:val="0"/>
                <w:sz w:val="20"/>
              </w:rPr>
              <w:t>High</w:t>
            </w:r>
          </w:p>
        </w:tc>
      </w:tr>
      <w:tr>
        <w:trPr>
          <w:trHeight w:val="425" w:hRule="atLeast"/>
        </w:trPr>
        <w:tc>
          <w:tcPr>
            <w:tcW w:type="dxa" w:w="2436"/>
            <w:vAlign w:val="center"/>
          </w:tcPr>
          <w:p>
            <w:pPr>
              <w:spacing w:line="276" w:lineRule="auto" w:before="0" w:after="0"/>
            </w:pPr>
            <w:r/>
            <w:r>
              <w:rPr>
                <w:rFonts w:ascii="Figtree" w:hAnsi="Figtree"/>
                <w:b w:val="0"/>
                <w:i w:val="0"/>
                <w:sz w:val="20"/>
              </w:rPr>
              <w:t>Exchange licensing path</w:t>
            </w:r>
          </w:p>
        </w:tc>
        <w:tc>
          <w:tcPr>
            <w:tcW w:type="dxa" w:w="2436"/>
            <w:vAlign w:val="center"/>
          </w:tcPr>
          <w:p>
            <w:pPr>
              <w:spacing w:line="276" w:lineRule="auto" w:before="0" w:after="0"/>
            </w:pPr>
            <w:r/>
            <w:r>
              <w:rPr>
                <w:rFonts w:ascii="Figtree" w:hAnsi="Figtree"/>
                <w:b w:val="0"/>
                <w:i w:val="0"/>
                <w:sz w:val="20"/>
              </w:rPr>
              <w:t>SettleMint does not represent itself primarily as a retail exchange operator; role classification with PVARA must be confirmed</w:t>
            </w:r>
          </w:p>
        </w:tc>
        <w:tc>
          <w:tcPr>
            <w:tcW w:type="dxa" w:w="2436"/>
            <w:vAlign w:val="center"/>
          </w:tcPr>
          <w:p>
            <w:pPr>
              <w:spacing w:line="276" w:lineRule="auto" w:before="0" w:after="0"/>
            </w:pPr>
            <w:r/>
            <w:r>
              <w:rPr>
                <w:rFonts w:ascii="Figtree" w:hAnsi="Figtree"/>
                <w:b w:val="0"/>
                <w:i w:val="0"/>
                <w:sz w:val="20"/>
              </w:rPr>
              <w:t>Requires clarification</w:t>
            </w:r>
          </w:p>
        </w:tc>
        <w:tc>
          <w:tcPr>
            <w:tcW w:type="dxa" w:w="2436"/>
            <w:vAlign w:val="center"/>
          </w:tcPr>
          <w:p>
            <w:pPr>
              <w:spacing w:line="276" w:lineRule="auto" w:before="0" w:after="0"/>
            </w:pPr>
            <w:r/>
            <w:r>
              <w:rPr>
                <w:rFonts w:ascii="Figtree" w:hAnsi="Figtree"/>
                <w:b w:val="0"/>
                <w:i w:val="0"/>
                <w:sz w:val="20"/>
              </w:rPr>
              <w:t>High</w:t>
            </w:r>
          </w:p>
        </w:tc>
      </w:tr>
      <w:tr>
        <w:trPr>
          <w:trHeight w:val="425" w:hRule="atLeast"/>
        </w:trPr>
        <w:tc>
          <w:tcPr>
            <w:tcW w:type="dxa" w:w="2436"/>
            <w:vAlign w:val="center"/>
          </w:tcPr>
          <w:p>
            <w:pPr>
              <w:spacing w:line="276" w:lineRule="auto" w:before="0" w:after="0"/>
            </w:pPr>
            <w:r/>
            <w:r>
              <w:rPr>
                <w:rFonts w:ascii="Figtree" w:hAnsi="Figtree"/>
                <w:b w:val="0"/>
                <w:i w:val="0"/>
                <w:sz w:val="20"/>
              </w:rPr>
              <w:t>Broker-dealer, custody, exchange, derivative services coverage</w:t>
            </w:r>
          </w:p>
        </w:tc>
        <w:tc>
          <w:tcPr>
            <w:tcW w:type="dxa" w:w="2436"/>
            <w:vAlign w:val="center"/>
          </w:tcPr>
          <w:p>
            <w:pPr>
              <w:spacing w:line="276" w:lineRule="auto" w:before="0" w:after="0"/>
            </w:pPr>
            <w:r/>
            <w:r>
              <w:rPr>
                <w:rFonts w:ascii="Figtree" w:hAnsi="Figtree"/>
                <w:b w:val="0"/>
                <w:i w:val="0"/>
                <w:sz w:val="20"/>
              </w:rPr>
              <w:t>DALP supports the infrastructure layer around such services, but SettleMint does not claim to be a custodian or exchange unless separately licensed and structured for that role</w:t>
            </w:r>
          </w:p>
        </w:tc>
        <w:tc>
          <w:tcPr>
            <w:tcW w:type="dxa" w:w="2436"/>
            <w:vAlign w:val="center"/>
          </w:tcPr>
          <w:p>
            <w:pPr>
              <w:spacing w:line="276" w:lineRule="auto" w:before="0" w:after="0"/>
            </w:pPr>
            <w:r/>
            <w:r>
              <w:rPr>
                <w:rFonts w:ascii="Figtree" w:hAnsi="Figtree"/>
                <w:b w:val="0"/>
                <w:i w:val="0"/>
                <w:sz w:val="20"/>
              </w:rPr>
              <w:t>Partial, classification dependent</w:t>
            </w:r>
          </w:p>
        </w:tc>
        <w:tc>
          <w:tcPr>
            <w:tcW w:type="dxa" w:w="2436"/>
            <w:vAlign w:val="center"/>
          </w:tcPr>
          <w:p>
            <w:pPr>
              <w:spacing w:line="276" w:lineRule="auto" w:before="0" w:after="0"/>
            </w:pPr>
            <w:r/>
            <w:r>
              <w:rPr>
                <w:rFonts w:ascii="Figtree" w:hAnsi="Figtree"/>
                <w:b w:val="0"/>
                <w:i w:val="0"/>
                <w:sz w:val="20"/>
              </w:rPr>
              <w:t>High</w:t>
            </w:r>
          </w:p>
        </w:tc>
      </w:tr>
      <w:tr>
        <w:trPr>
          <w:trHeight w:val="425" w:hRule="atLeast"/>
        </w:trPr>
        <w:tc>
          <w:tcPr>
            <w:tcW w:type="dxa" w:w="2436"/>
            <w:vAlign w:val="center"/>
          </w:tcPr>
          <w:p>
            <w:pPr>
              <w:spacing w:line="276" w:lineRule="auto" w:before="0" w:after="0"/>
            </w:pPr>
            <w:r/>
            <w:r>
              <w:rPr>
                <w:rFonts w:ascii="Figtree" w:hAnsi="Figtree"/>
                <w:b w:val="0"/>
                <w:i w:val="0"/>
                <w:sz w:val="20"/>
              </w:rPr>
              <w:t>Token issuer or investment platform participation</w:t>
            </w:r>
          </w:p>
        </w:tc>
        <w:tc>
          <w:tcPr>
            <w:tcW w:type="dxa" w:w="2436"/>
            <w:vAlign w:val="center"/>
          </w:tcPr>
          <w:p>
            <w:pPr>
              <w:spacing w:line="276" w:lineRule="auto" w:before="0" w:after="0"/>
            </w:pPr>
            <w:r/>
            <w:r>
              <w:rPr>
                <w:rFonts w:ascii="Figtree" w:hAnsi="Figtree"/>
                <w:b w:val="0"/>
                <w:i w:val="0"/>
                <w:sz w:val="20"/>
              </w:rPr>
              <w:t>DALP is strongly suited to controlled issuance and regulated investment platform models</w:t>
            </w:r>
          </w:p>
        </w:tc>
        <w:tc>
          <w:tcPr>
            <w:tcW w:type="dxa" w:w="2436"/>
            <w:vAlign w:val="center"/>
          </w:tcPr>
          <w:p>
            <w:pPr>
              <w:spacing w:line="276" w:lineRule="auto" w:before="0" w:after="0"/>
            </w:pPr>
            <w:r/>
            <w:r>
              <w:rPr>
                <w:rFonts w:ascii="Figtree" w:hAnsi="Figtree"/>
                <w:b w:val="0"/>
                <w:i w:val="0"/>
                <w:sz w:val="20"/>
              </w:rPr>
              <w:t>Strong fit</w:t>
            </w:r>
          </w:p>
        </w:tc>
        <w:tc>
          <w:tcPr>
            <w:tcW w:type="dxa" w:w="2436"/>
            <w:vAlign w:val="center"/>
          </w:tcPr>
          <w:p>
            <w:pPr>
              <w:spacing w:line="276" w:lineRule="auto" w:before="0" w:after="0"/>
            </w:pPr>
            <w:r/>
            <w:r>
              <w:rPr>
                <w:rFonts w:ascii="Figtree" w:hAnsi="Figtree"/>
                <w:b w:val="0"/>
                <w:i w:val="0"/>
                <w:sz w:val="20"/>
              </w:rPr>
              <w:t>Medium</w:t>
            </w:r>
          </w:p>
        </w:tc>
      </w:tr>
      <w:tr>
        <w:trPr>
          <w:trHeight w:val="425" w:hRule="atLeast"/>
        </w:trPr>
        <w:tc>
          <w:tcPr>
            <w:tcW w:type="dxa" w:w="2436"/>
            <w:vAlign w:val="center"/>
          </w:tcPr>
          <w:p>
            <w:pPr>
              <w:spacing w:line="276" w:lineRule="auto" w:before="0" w:after="0"/>
            </w:pPr>
            <w:r/>
            <w:r>
              <w:rPr>
                <w:rFonts w:ascii="Figtree" w:hAnsi="Figtree"/>
                <w:b w:val="0"/>
                <w:i w:val="0"/>
                <w:sz w:val="20"/>
              </w:rPr>
              <w:t>Market integrity and accountable supervision</w:t>
            </w:r>
          </w:p>
        </w:tc>
        <w:tc>
          <w:tcPr>
            <w:tcW w:type="dxa" w:w="2436"/>
            <w:vAlign w:val="center"/>
          </w:tcPr>
          <w:p>
            <w:pPr>
              <w:spacing w:line="276" w:lineRule="auto" w:before="0" w:after="0"/>
            </w:pPr>
            <w:r/>
            <w:r>
              <w:rPr>
                <w:rFonts w:ascii="Figtree" w:hAnsi="Figtree"/>
                <w:b w:val="0"/>
                <w:i w:val="0"/>
                <w:sz w:val="20"/>
              </w:rPr>
              <w:t>DALP supports policy enforcement, approvals, and auditability designed for regulated operations</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High</w:t>
            </w:r>
          </w:p>
        </w:tc>
      </w:tr>
    </w:tbl>
    <w:p>
      <w:pPr>
        <w:spacing w:before="0" w:after="0" w:line="120" w:lineRule="exact"/>
      </w:pPr>
    </w:p>
    <w:p>
      <w:pPr>
        <w:pStyle w:val="H1"/>
        <w:numPr>
          <w:ilvl w:val="0"/>
          <w:numId w:val="1"/>
        </w:numPr>
      </w:pPr>
      <w:r>
        <w:t>Proposed Pakistan Market Approach</w:t>
      </w:r>
    </w:p>
    <w:p>
      <w:r>
        <w:rPr>
          <w:rFonts w:ascii="Figtree" w:hAnsi="Figtree"/>
          <w:b w:val="0"/>
          <w:i w:val="0"/>
          <w:sz w:val="22"/>
        </w:rPr>
        <w:t>SettleMint proposes a phased and compliant market entry approach.</w:t>
      </w:r>
    </w:p>
    <w:p>
      <w:pPr>
        <w:pStyle w:val="H2"/>
        <w:numPr>
          <w:ilvl w:val="1"/>
          <w:numId w:val="1"/>
        </w:numPr>
      </w:pPr>
      <w:r>
        <w:t>Phase 1, Regulatory alignment and application</w:t>
      </w:r>
    </w:p>
    <w:p>
      <w:pPr>
        <w:pStyle w:val="ListParagraph"/>
        <w:numPr>
          <w:ilvl w:val="0"/>
          <w:numId w:val="4"/>
        </w:numPr>
      </w:pPr>
      <w:r>
        <w:rPr>
          <w:rFonts w:ascii="Figtree" w:hAnsi="Figtree"/>
          <w:b w:val="0"/>
          <w:i w:val="0"/>
          <w:sz w:val="22"/>
        </w:rPr>
        <w:t>Confirm the correct licensing or participation category with PVARA.</w:t>
      </w:r>
    </w:p>
    <w:p>
      <w:pPr>
        <w:pStyle w:val="ListParagraph"/>
        <w:numPr>
          <w:ilvl w:val="0"/>
          <w:numId w:val="4"/>
        </w:numPr>
      </w:pPr>
      <w:r>
        <w:rPr>
          <w:rFonts w:ascii="Figtree" w:hAnsi="Figtree"/>
          <w:b w:val="0"/>
          <w:i w:val="0"/>
          <w:sz w:val="22"/>
        </w:rPr>
        <w:t>Submit the NOC application with corporate materials, business plan, and operating model description.</w:t>
      </w:r>
    </w:p>
    <w:p>
      <w:pPr>
        <w:pStyle w:val="ListParagraph"/>
        <w:numPr>
          <w:ilvl w:val="0"/>
          <w:numId w:val="4"/>
        </w:numPr>
      </w:pPr>
      <w:r>
        <w:rPr>
          <w:rFonts w:ascii="Figtree" w:hAnsi="Figtree"/>
          <w:b w:val="0"/>
          <w:i w:val="0"/>
          <w:sz w:val="22"/>
        </w:rPr>
        <w:t>Align the proposed Pakistan model to the Authority's definitions for issuer, investment platform, exchange, custody, or infrastructure participant.</w:t>
      </w:r>
    </w:p>
    <w:p>
      <w:pPr>
        <w:pStyle w:val="H2"/>
        <w:numPr>
          <w:ilvl w:val="1"/>
          <w:numId w:val="1"/>
        </w:numPr>
      </w:pPr>
      <w:r>
        <w:t>Phase 2, Local operating readiness</w:t>
      </w:r>
    </w:p>
    <w:p>
      <w:pPr>
        <w:pStyle w:val="ListParagraph"/>
        <w:numPr>
          <w:ilvl w:val="0"/>
          <w:numId w:val="4"/>
        </w:numPr>
      </w:pPr>
      <w:r>
        <w:rPr>
          <w:rFonts w:ascii="Figtree" w:hAnsi="Figtree"/>
          <w:b w:val="0"/>
          <w:i w:val="0"/>
          <w:sz w:val="22"/>
        </w:rPr>
        <w:t>Complete required AML and FMU registration steps through the approved local structure.</w:t>
      </w:r>
    </w:p>
    <w:p>
      <w:pPr>
        <w:pStyle w:val="ListParagraph"/>
        <w:numPr>
          <w:ilvl w:val="0"/>
          <w:numId w:val="4"/>
        </w:numPr>
      </w:pPr>
      <w:r>
        <w:rPr>
          <w:rFonts w:ascii="Figtree" w:hAnsi="Figtree"/>
          <w:b w:val="0"/>
          <w:i w:val="0"/>
          <w:sz w:val="22"/>
        </w:rPr>
        <w:t>Establish the local corporate vehicle if required.</w:t>
      </w:r>
    </w:p>
    <w:p>
      <w:pPr>
        <w:pStyle w:val="ListParagraph"/>
        <w:numPr>
          <w:ilvl w:val="0"/>
          <w:numId w:val="4"/>
        </w:numPr>
      </w:pPr>
      <w:r>
        <w:rPr>
          <w:rFonts w:ascii="Figtree" w:hAnsi="Figtree"/>
          <w:b w:val="0"/>
          <w:i w:val="0"/>
          <w:sz w:val="22"/>
        </w:rPr>
        <w:t>Define governance, customer protection, onboarding, and reporting processes for the Pakistan market.</w:t>
      </w:r>
    </w:p>
    <w:p>
      <w:pPr>
        <w:pStyle w:val="H2"/>
        <w:numPr>
          <w:ilvl w:val="1"/>
          <w:numId w:val="1"/>
        </w:numPr>
      </w:pPr>
      <w:r>
        <w:t>Phase 3, Controlled launch model</w:t>
      </w:r>
    </w:p>
    <w:p>
      <w:pPr>
        <w:pStyle w:val="ListParagraph"/>
        <w:numPr>
          <w:ilvl w:val="0"/>
          <w:numId w:val="4"/>
        </w:numPr>
      </w:pPr>
      <w:r>
        <w:rPr>
          <w:rFonts w:ascii="Figtree" w:hAnsi="Figtree"/>
          <w:b w:val="0"/>
          <w:i w:val="0"/>
          <w:sz w:val="22"/>
        </w:rPr>
        <w:t>Start with a permissioned, tightly governed use case.</w:t>
      </w:r>
    </w:p>
    <w:p>
      <w:pPr>
        <w:pStyle w:val="ListParagraph"/>
        <w:numPr>
          <w:ilvl w:val="0"/>
          <w:numId w:val="4"/>
        </w:numPr>
      </w:pPr>
      <w:r>
        <w:rPr>
          <w:rFonts w:ascii="Figtree" w:hAnsi="Figtree"/>
          <w:b w:val="0"/>
          <w:i w:val="0"/>
          <w:sz w:val="22"/>
        </w:rPr>
        <w:t>Focus on regulated issuance and controlled participant onboarding rather than broad retail exposure.</w:t>
      </w:r>
    </w:p>
    <w:p>
      <w:pPr>
        <w:pStyle w:val="ListParagraph"/>
        <w:numPr>
          <w:ilvl w:val="0"/>
          <w:numId w:val="4"/>
        </w:numPr>
      </w:pPr>
      <w:r>
        <w:rPr>
          <w:rFonts w:ascii="Figtree" w:hAnsi="Figtree"/>
          <w:b w:val="0"/>
          <w:i w:val="0"/>
          <w:sz w:val="22"/>
        </w:rPr>
        <w:t>Operate with clear policy restrictions, audit logs, and regulator-visible governance.</w:t>
      </w:r>
    </w:p>
    <w:p>
      <w:pPr>
        <w:pStyle w:val="H2"/>
        <w:numPr>
          <w:ilvl w:val="1"/>
          <w:numId w:val="1"/>
        </w:numPr>
      </w:pPr>
      <w:r>
        <w:t>Phase 4, Ecosystem expansion</w:t>
      </w:r>
    </w:p>
    <w:p>
      <w:pPr>
        <w:pStyle w:val="ListParagraph"/>
        <w:numPr>
          <w:ilvl w:val="0"/>
          <w:numId w:val="4"/>
        </w:numPr>
      </w:pPr>
      <w:r>
        <w:rPr>
          <w:rFonts w:ascii="Figtree" w:hAnsi="Figtree"/>
          <w:b w:val="0"/>
          <w:i w:val="0"/>
          <w:sz w:val="22"/>
        </w:rPr>
        <w:t>Extend to additional use cases once the initial regulated operating model is proven.</w:t>
      </w:r>
    </w:p>
    <w:p>
      <w:pPr>
        <w:pStyle w:val="ListParagraph"/>
        <w:numPr>
          <w:ilvl w:val="0"/>
          <w:numId w:val="4"/>
        </w:numPr>
      </w:pPr>
      <w:r>
        <w:rPr>
          <w:rFonts w:ascii="Figtree" w:hAnsi="Figtree"/>
          <w:b w:val="0"/>
          <w:i w:val="0"/>
          <w:sz w:val="22"/>
        </w:rPr>
        <w:t>Support banks, issuers, investment platforms, and tokenized asset programmes using the same governance and control stack.</w:t>
      </w:r>
    </w:p>
    <w:p>
      <w:pPr>
        <w:pStyle w:val="H1"/>
        <w:numPr>
          <w:ilvl w:val="0"/>
          <w:numId w:val="1"/>
        </w:numPr>
      </w:pPr>
      <w:r>
        <w:t>Relevant SettleMint Strengths</w:t>
      </w:r>
    </w:p>
    <w:p>
      <w:pPr>
        <w:pStyle w:val="H2"/>
        <w:numPr>
          <w:ilvl w:val="1"/>
          <w:numId w:val="1"/>
        </w:numPr>
      </w:pPr>
      <w:r>
        <w:t>Institutional focus</w:t>
      </w:r>
    </w:p>
    <w:p>
      <w:r>
        <w:rPr>
          <w:rFonts w:ascii="Figtree" w:hAnsi="Figtree"/>
          <w:b w:val="0"/>
          <w:i w:val="0"/>
          <w:sz w:val="22"/>
        </w:rPr>
        <w:t>SettleMint is built for institutions that care about controls, not hype. That is important for a regulator-led ecosystem.</w:t>
      </w:r>
    </w:p>
    <w:p>
      <w:pPr>
        <w:pStyle w:val="H2"/>
        <w:numPr>
          <w:ilvl w:val="1"/>
          <w:numId w:val="1"/>
        </w:numPr>
      </w:pPr>
      <w:r>
        <w:t>Multi-asset capability</w:t>
      </w:r>
    </w:p>
    <w:p>
      <w:r>
        <w:rPr>
          <w:rFonts w:ascii="Figtree" w:hAnsi="Figtree"/>
          <w:b w:val="0"/>
          <w:i w:val="0"/>
          <w:sz w:val="22"/>
        </w:rPr>
        <w:t>DALP supports a broad range of digital asset and tokenized instrument structures, which gives PVARA and Pakistan's market participants a path beyond one narrow use case.</w:t>
      </w:r>
    </w:p>
    <w:p>
      <w:pPr>
        <w:pStyle w:val="H2"/>
        <w:numPr>
          <w:ilvl w:val="1"/>
          <w:numId w:val="1"/>
        </w:numPr>
      </w:pPr>
      <w:r>
        <w:t>Operational lifecycle coverage</w:t>
      </w:r>
    </w:p>
    <w:p>
      <w:r>
        <w:rPr>
          <w:rFonts w:ascii="Figtree" w:hAnsi="Figtree"/>
          <w:b w:val="0"/>
          <w:i w:val="0"/>
          <w:sz w:val="22"/>
        </w:rPr>
        <w:t>Many platforms stop at issuance. DALP covers issuance, transfer governance, servicing, and reporting, which is more aligned to how regulated assets actually operate.</w:t>
      </w:r>
    </w:p>
    <w:p>
      <w:pPr>
        <w:pStyle w:val="H2"/>
        <w:numPr>
          <w:ilvl w:val="1"/>
          <w:numId w:val="1"/>
        </w:numPr>
      </w:pPr>
      <w:r>
        <w:t>Regional relevance</w:t>
      </w:r>
    </w:p>
    <w:p>
      <w:r>
        <w:rPr>
          <w:rFonts w:ascii="Figtree" w:hAnsi="Figtree"/>
          <w:b w:val="0"/>
          <w:i w:val="0"/>
          <w:sz w:val="22"/>
        </w:rPr>
        <w:t>SettleMint has strong relevance for markets building digital asset frameworks in regulated, institution-led environments.</w:t>
      </w:r>
    </w:p>
    <w:p>
      <w:pPr>
        <w:pStyle w:val="H1"/>
        <w:numPr>
          <w:ilvl w:val="0"/>
          <w:numId w:val="1"/>
        </w:numPr>
      </w:pPr>
      <w:r>
        <w:t>Commitments to PVARA</w:t>
      </w:r>
    </w:p>
    <w:p>
      <w:r>
        <w:rPr>
          <w:rFonts w:ascii="Figtree" w:hAnsi="Figtree"/>
          <w:b w:val="0"/>
          <w:i w:val="0"/>
          <w:sz w:val="22"/>
        </w:rPr>
        <w:t>If approved to proceed, SettleMint commits to the following principles:</w:t>
      </w:r>
    </w:p>
    <w:p>
      <w:pPr>
        <w:pStyle w:val="ListParagraph"/>
        <w:numPr>
          <w:ilvl w:val="0"/>
          <w:numId w:val="7"/>
        </w:numPr>
      </w:pPr>
      <w:r>
        <w:rPr>
          <w:rFonts w:ascii="Figtree" w:hAnsi="Figtree"/>
          <w:b w:val="0"/>
          <w:i w:val="0"/>
          <w:sz w:val="22"/>
        </w:rPr>
        <w:t>Work within the regulatory perimeter defined by PVARA.</w:t>
      </w:r>
    </w:p>
    <w:p>
      <w:pPr>
        <w:pStyle w:val="ListParagraph"/>
        <w:numPr>
          <w:ilvl w:val="0"/>
          <w:numId w:val="7"/>
        </w:numPr>
      </w:pPr>
      <w:r>
        <w:rPr>
          <w:rFonts w:ascii="Figtree" w:hAnsi="Figtree"/>
          <w:b w:val="0"/>
          <w:i w:val="0"/>
          <w:sz w:val="22"/>
        </w:rPr>
        <w:t>Confirm role classification before launch of any activity.</w:t>
      </w:r>
    </w:p>
    <w:p>
      <w:pPr>
        <w:pStyle w:val="ListParagraph"/>
        <w:numPr>
          <w:ilvl w:val="0"/>
          <w:numId w:val="7"/>
        </w:numPr>
      </w:pPr>
      <w:r>
        <w:rPr>
          <w:rFonts w:ascii="Figtree" w:hAnsi="Figtree"/>
          <w:b w:val="0"/>
          <w:i w:val="0"/>
          <w:sz w:val="22"/>
        </w:rPr>
        <w:t>Maintain governance, transparency, and accountable operating controls.</w:t>
      </w:r>
    </w:p>
    <w:p>
      <w:pPr>
        <w:pStyle w:val="ListParagraph"/>
        <w:numPr>
          <w:ilvl w:val="0"/>
          <w:numId w:val="7"/>
        </w:numPr>
      </w:pPr>
      <w:r>
        <w:rPr>
          <w:rFonts w:ascii="Figtree" w:hAnsi="Figtree"/>
          <w:b w:val="0"/>
          <w:i w:val="0"/>
          <w:sz w:val="22"/>
        </w:rPr>
        <w:t>Support AML, KYC, audit, and reporting obligations through the approved operating structure.</w:t>
      </w:r>
    </w:p>
    <w:p>
      <w:pPr>
        <w:pStyle w:val="ListParagraph"/>
        <w:numPr>
          <w:ilvl w:val="0"/>
          <w:numId w:val="7"/>
        </w:numPr>
      </w:pPr>
      <w:r>
        <w:rPr>
          <w:rFonts w:ascii="Figtree" w:hAnsi="Figtree"/>
          <w:b w:val="0"/>
          <w:i w:val="0"/>
          <w:sz w:val="22"/>
        </w:rPr>
        <w:t>Prioritize regulated, permissioned, and defensible market development over speed.</w:t>
      </w:r>
    </w:p>
    <w:p>
      <w:pPr>
        <w:pStyle w:val="ListParagraph"/>
        <w:numPr>
          <w:ilvl w:val="0"/>
          <w:numId w:val="7"/>
        </w:numPr>
      </w:pPr>
      <w:r>
        <w:rPr>
          <w:rFonts w:ascii="Figtree" w:hAnsi="Figtree"/>
          <w:b w:val="0"/>
          <w:i w:val="0"/>
          <w:sz w:val="22"/>
        </w:rPr>
        <w:t>Engage openly with the Authority on product scope, controls, and risk management.</w:t>
      </w:r>
    </w:p>
    <w:p>
      <w:pPr>
        <w:pStyle w:val="H1"/>
        <w:numPr>
          <w:ilvl w:val="0"/>
          <w:numId w:val="1"/>
        </w:numPr>
      </w:pPr>
      <w:r>
        <w:t>Conclusion</w:t>
      </w:r>
    </w:p>
    <w:p>
      <w:r>
        <w:rPr>
          <w:rFonts w:ascii="Figtree" w:hAnsi="Figtree"/>
          <w:b w:val="0"/>
          <w:i w:val="0"/>
          <w:sz w:val="22"/>
        </w:rPr>
        <w:t>SettleMint believes Pakistan's virtual asset framework represents a serious and timely opportunity to build a properly governed market from the start.</w:t>
      </w:r>
    </w:p>
    <w:p>
      <w:r>
        <w:rPr>
          <w:rFonts w:ascii="Figtree" w:hAnsi="Figtree"/>
          <w:b w:val="0"/>
          <w:i w:val="0"/>
          <w:sz w:val="22"/>
        </w:rPr>
        <w:t>SettleMint's role is to bring regulated-grade digital asset lifecycle infrastructure to that effort: infrastructure that supports issuance, investor controls, governance, servicing, and traceability in a way that aligns with supervisory priorities rather than fighting them.</w:t>
      </w:r>
    </w:p>
    <w:p>
      <w:r>
        <w:rPr>
          <w:rFonts w:ascii="Figtree" w:hAnsi="Figtree"/>
          <w:b w:val="0"/>
          <w:i w:val="0"/>
          <w:sz w:val="22"/>
        </w:rPr>
        <w:t>On the basis of the currently published PVARA process, SettleMint respectfully requests consideration for the next stage of engagement and welcomes the opportunity to clarify the correct participation category, submit any additional documentation required, and align its Pakistan operating model to PVARA's expectations.</w:t>
      </w:r>
    </w:p>
    <w:p>
      <w:pPr>
        <w:pStyle w:val="H1"/>
        <w:numPr>
          <w:ilvl w:val="0"/>
          <w:numId w:val="1"/>
        </w:numPr>
      </w:pPr>
      <w:r>
        <w:t>Appendix A, Key Assumptions Used in This Draft</w:t>
      </w:r>
    </w:p>
    <w:p>
      <w:pPr>
        <w:pStyle w:val="ListParagraph"/>
        <w:numPr>
          <w:ilvl w:val="0"/>
          <w:numId w:val="4"/>
        </w:numPr>
      </w:pPr>
      <w:r>
        <w:rPr>
          <w:rFonts w:ascii="Figtree" w:hAnsi="Figtree"/>
          <w:b w:val="0"/>
          <w:i w:val="0"/>
          <w:sz w:val="22"/>
        </w:rPr>
        <w:t>No PVARA-specific source pack or questionnaire was present in the bid-manager input folder at drafting time.</w:t>
      </w:r>
    </w:p>
    <w:p>
      <w:pPr>
        <w:pStyle w:val="ListParagraph"/>
        <w:numPr>
          <w:ilvl w:val="0"/>
          <w:numId w:val="4"/>
        </w:numPr>
      </w:pPr>
      <w:r>
        <w:rPr>
          <w:rFonts w:ascii="Figtree" w:hAnsi="Figtree"/>
          <w:b w:val="0"/>
          <w:i w:val="0"/>
          <w:sz w:val="22"/>
        </w:rPr>
        <w:t>This application was drafted using the public PVARA website summary and existing SettleMint and DALP source materials.</w:t>
      </w:r>
    </w:p>
    <w:p>
      <w:pPr>
        <w:pStyle w:val="ListParagraph"/>
        <w:numPr>
          <w:ilvl w:val="0"/>
          <w:numId w:val="4"/>
        </w:numPr>
      </w:pPr>
      <w:r>
        <w:rPr>
          <w:rFonts w:ascii="Figtree" w:hAnsi="Figtree"/>
          <w:b w:val="0"/>
          <w:i w:val="0"/>
          <w:sz w:val="22"/>
        </w:rPr>
        <w:t>The public PVARA website currently frames the process around NOC and VASP licensing, with emphasis on exchange and related services.</w:t>
      </w:r>
    </w:p>
    <w:p>
      <w:pPr>
        <w:pStyle w:val="ListParagraph"/>
        <w:numPr>
          <w:ilvl w:val="0"/>
          <w:numId w:val="4"/>
        </w:numPr>
      </w:pPr>
      <w:r>
        <w:rPr>
          <w:rFonts w:ascii="Figtree" w:hAnsi="Figtree"/>
          <w:b w:val="0"/>
          <w:i w:val="0"/>
          <w:sz w:val="22"/>
        </w:rPr>
        <w:t>SettleMint may need PVARA confirmation on whether the preferred Pakistan role is best categorized as issuer, investment platform, infrastructure provider, or another regulated class.</w:t>
      </w:r>
    </w:p>
    <w:p>
      <w:pPr>
        <w:pStyle w:val="ListParagraph"/>
        <w:numPr>
          <w:ilvl w:val="0"/>
          <w:numId w:val="4"/>
        </w:numPr>
      </w:pPr>
      <w:r>
        <w:rPr>
          <w:rFonts w:ascii="Figtree" w:hAnsi="Figtree"/>
          <w:b w:val="0"/>
          <w:i w:val="0"/>
          <w:sz w:val="22"/>
        </w:rPr>
        <w:t>Any final submission should be reviewed against the official portal fields and any formal legal or corporate documentary requirements before filing.</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