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w:t>
            <w:rPr>
              <w:sz w:val="22"/>
              <w:rFonts w:ascii="Figtree" w:hAnsi="Figtree"/>
            </w:rPr>
          </w:r>
        </w:p>
        <w:p>
          <w:pPr>
            <w:ind w:left="1440"/>
          </w:pPr>
          <w:r>
            <w:t xml:space="preserve">Platform License: Enterprise (Tier 2)</w:t>
            <w:rPr>
              <w:sz w:val="22"/>
              <w:rFonts w:ascii="Figtree" w:hAnsi="Figtree"/>
            </w:rPr>
          </w:r>
        </w:p>
        <w:p>
          <w:pPr>
            <w:ind w:left="720"/>
          </w:pPr>
          <w:r>
            <w:t xml:space="preserve">Implementation Pricing</w:t>
            <w:rPr>
              <w:sz w:val="22"/>
              <w:rFonts w:ascii="Figtree" w:hAnsi="Figtree"/>
            </w:rPr>
          </w:r>
        </w:p>
        <w:p>
          <w:pPr>
            <w:ind w:left="720"/>
          </w:pPr>
          <w:r>
            <w:t xml:space="preserve">Support: Premium Tier</w:t>
            <w:rPr>
              <w:sz w:val="22"/>
              <w:rFonts w:ascii="Figtree" w:hAnsi="Figtree"/>
            </w:rPr>
          </w:r>
        </w:p>
        <w:p>
          <w:pPr>
            <w:ind w:left="720"/>
          </w:pPr>
          <w:r>
            <w:t xml:space="preserve">Three-Year TCO</w:t>
            <w:rPr>
              <w:sz w:val="22"/>
              <w:rFonts w:ascii="Figtree" w:hAnsi="Figtree"/>
            </w:rPr>
          </w:r>
        </w:p>
        <w:p>
          <w:pPr>
            <w:ind w:left="1440"/>
          </w:pPr>
          <w:r>
            <w:t xml:space="preserve">Exclusions</w:t>
            <w:rPr>
              <w:sz w:val="22"/>
              <w:rFonts w:ascii="Figtree" w:hAnsi="Figtree"/>
            </w:rPr>
          </w:r>
        </w:p>
        <w:p>
          <w:pPr>
            <w:ind w:left="720"/>
          </w:pPr>
          <w:r>
            <w:t xml:space="preserve">Contractual Framework</w:t>
            <w:rPr>
              <w:sz w:val="22"/>
              <w:rFonts w:ascii="Figtree" w:hAnsi="Figtree"/>
            </w:rPr>
          </w:r>
        </w:p>
        <w:p>
          <w:pPr>
            <w:ind w:left="720"/>
          </w:pPr>
          <w:r>
            <w:t xml:space="preserve">Commercial Decision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Tokenized Sukuk Issuance and Servicing Platform</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Qatar National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QATAR-NATIONAL-BANK-RFP-TOKENIZED-SUKUK-202603</w:t>
            </w:r>
          </w:p>
        </w:tc>
      </w:tr>
    </w:tbl>
    <w:p>
      <w:r>
        <w:br w:type="page"/>
      </w:r>
    </w:p>
    <w:p>
      <w:pPr>
        <w:pStyle w:val="H2"/>
        <w:numPr>
          <w:ilvl w:val="1"/>
          <w:numId w:val="1"/>
        </w:numPr>
      </w:pPr>
      <w:r>
        <w:t>Executive Summary</w:t>
      </w:r>
    </w:p>
    <w:p>
      <w:r>
        <w:rPr>
          <w:rFonts w:ascii="Figtree" w:hAnsi="Figtree"/>
          <w:b w:val="0"/>
          <w:i w:val="0"/>
          <w:sz w:val="22"/>
        </w:rPr>
        <w:t>QNB requires a platform partner for production-grade tokenized sukuk issuance and servicing. This commercial proposal presents SettleMint's licensing, implementation, and support model for DALP, structured for predictable costs and transparent total cost of ownership.</w:t>
      </w:r>
    </w:p>
    <w:p>
      <w:r>
        <w:rPr>
          <w:rFonts w:ascii="Figtree" w:hAnsi="Figtree"/>
          <w:b/>
          <w:i w:val="0"/>
          <w:sz w:val="22"/>
        </w:rPr>
        <w:t>Recommendation:</w:t>
      </w:r>
      <w:r>
        <w:rPr>
          <w:rFonts w:ascii="Figtree" w:hAnsi="Figtree"/>
          <w:b w:val="0"/>
          <w:i w:val="0"/>
          <w:sz w:val="22"/>
        </w:rPr>
        <w:t xml:space="preserve"> Enterprise tier (Tier 2) platform license with Premium support, 19-week fixed-fee implementation, dedicated cloud deployment within Qatar-resident infrastructure.</w:t>
      </w:r>
    </w:p>
    <w:p>
      <w:r>
        <w:rPr>
          <w:rFonts w:ascii="Figtree" w:hAnsi="Figtree"/>
          <w:b w:val="0"/>
          <w:i w:val="0"/>
          <w:sz w:val="22"/>
        </w:rPr>
        <w:t>DALP's platform licensing model charges zero per-transaction, per-token, per-distribution, or per-investor fees. For sukuk programmes where periodic distributions and compliance checks occur at high frequency, this eliminates the cost anxiety that transaction-based pricing creates.</w:t>
      </w:r>
    </w:p>
    <w:p>
      <w:r>
        <w:br w:type="page"/>
      </w:r>
    </w:p>
    <w:p>
      <w:pPr>
        <w:pStyle w:val="H2"/>
        <w:numPr>
          <w:ilvl w:val="1"/>
          <w:numId w:val="1"/>
        </w:numPr>
      </w:pPr>
      <w:r>
        <w:t>Licensing</w:t>
      </w:r>
    </w:p>
    <w:p>
      <w:pPr>
        <w:pStyle w:val="H3"/>
        <w:numPr>
          <w:ilvl w:val="2"/>
          <w:numId w:val="1"/>
        </w:numPr>
      </w:pPr>
      <w:r>
        <w:t>Platform License: Enterprise (Tier 2)</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Included</w:t>
            </w:r>
          </w:p>
        </w:tc>
        <w:tc>
          <w:tcPr>
            <w:tcW w:type="dxa" w:w="4873"/>
            <w:vAlign w:val="center"/>
            <w:shd w:fill="000099" w:val="clear"/>
          </w:tcPr>
          <w:p>
            <w:r>
              <w:rPr>
                <w:b/>
                <w:color w:val="FFFFFF"/>
              </w:rPr>
            </w:r>
            <w:r>
              <w:rPr>
                <w:rFonts w:ascii="Figtree" w:hAnsi="Figtree"/>
                <w:b/>
                <w:i w:val="0"/>
                <w:color w:val="FFFFFF"/>
                <w:sz w:val="22"/>
              </w:rPr>
              <w:t>Detail</w:t>
            </w:r>
          </w:p>
        </w:tc>
      </w:tr>
      <w:tr>
        <w:trPr>
          <w:trHeight w:val="454" w:hRule="atLeast"/>
        </w:trPr>
        <w:tc>
          <w:tcPr>
            <w:tcW w:type="dxa" w:w="4873"/>
            <w:vAlign w:val="center"/>
          </w:tcPr>
          <w:p>
            <w:r/>
            <w:r>
              <w:rPr>
                <w:rFonts w:ascii="Figtree" w:hAnsi="Figtree"/>
                <w:b w:val="0"/>
                <w:i w:val="0"/>
                <w:sz w:val="22"/>
              </w:rPr>
              <w:t>All lifecycle pillars</w:t>
            </w:r>
          </w:p>
        </w:tc>
        <w:tc>
          <w:tcPr>
            <w:tcW w:type="dxa" w:w="4873"/>
            <w:vAlign w:val="center"/>
          </w:tcPr>
          <w:p>
            <w:r/>
            <w:r>
              <w:rPr>
                <w:rFonts w:ascii="Figtree" w:hAnsi="Figtree"/>
                <w:b w:val="0"/>
                <w:i w:val="0"/>
                <w:sz w:val="22"/>
              </w:rPr>
              <w:t>Issuance, Compliance, Custody, Settlement, Servicing</w:t>
            </w:r>
          </w:p>
        </w:tc>
      </w:tr>
      <w:tr>
        <w:trPr>
          <w:trHeight w:val="454" w:hRule="atLeast"/>
        </w:trPr>
        <w:tc>
          <w:tcPr>
            <w:tcW w:type="dxa" w:w="4873"/>
            <w:vAlign w:val="center"/>
          </w:tcPr>
          <w:p>
            <w:r/>
            <w:r>
              <w:rPr>
                <w:rFonts w:ascii="Figtree" w:hAnsi="Figtree"/>
                <w:b w:val="0"/>
                <w:i w:val="0"/>
                <w:sz w:val="22"/>
              </w:rPr>
              <w:t>All asset classes</w:t>
            </w:r>
          </w:p>
        </w:tc>
        <w:tc>
          <w:tcPr>
            <w:tcW w:type="dxa" w:w="4873"/>
            <w:vAlign w:val="center"/>
          </w:tcPr>
          <w:p>
            <w:r/>
            <w:r>
              <w:rPr>
                <w:rFonts w:ascii="Figtree" w:hAnsi="Figtree"/>
                <w:b w:val="0"/>
                <w:i w:val="0"/>
                <w:sz w:val="22"/>
              </w:rPr>
              <w:t>Including sukuk via DALPAsset configurable contract</w:t>
            </w:r>
          </w:p>
        </w:tc>
      </w:tr>
      <w:tr>
        <w:trPr>
          <w:trHeight w:val="454" w:hRule="atLeast"/>
        </w:trPr>
        <w:tc>
          <w:tcPr>
            <w:tcW w:type="dxa" w:w="4873"/>
            <w:vAlign w:val="center"/>
          </w:tcPr>
          <w:p>
            <w:r/>
            <w:r>
              <w:rPr>
                <w:rFonts w:ascii="Figtree" w:hAnsi="Figtree"/>
                <w:b w:val="0"/>
                <w:i w:val="0"/>
                <w:sz w:val="22"/>
              </w:rPr>
              <w:t>All 18 compliance modules</w:t>
            </w:r>
          </w:p>
        </w:tc>
        <w:tc>
          <w:tcPr>
            <w:tcW w:type="dxa" w:w="4873"/>
            <w:vAlign w:val="center"/>
          </w:tcPr>
          <w:p>
            <w:r/>
            <w:r>
              <w:rPr>
                <w:rFonts w:ascii="Figtree" w:hAnsi="Figtree"/>
                <w:b w:val="0"/>
                <w:i w:val="0"/>
                <w:sz w:val="22"/>
              </w:rPr>
              <w:t>No per-module fees</w:t>
            </w:r>
          </w:p>
        </w:tc>
      </w:tr>
      <w:tr>
        <w:trPr>
          <w:trHeight w:val="454" w:hRule="atLeast"/>
        </w:trPr>
        <w:tc>
          <w:tcPr>
            <w:tcW w:type="dxa" w:w="4873"/>
            <w:vAlign w:val="center"/>
          </w:tcPr>
          <w:p>
            <w:r/>
            <w:r>
              <w:rPr>
                <w:rFonts w:ascii="Figtree" w:hAnsi="Figtree"/>
                <w:b w:val="0"/>
                <w:i w:val="0"/>
                <w:sz w:val="22"/>
              </w:rPr>
              <w:t>Full API surface</w:t>
            </w:r>
          </w:p>
        </w:tc>
        <w:tc>
          <w:tcPr>
            <w:tcW w:type="dxa" w:w="4873"/>
            <w:vAlign w:val="center"/>
          </w:tcPr>
          <w:p>
            <w:r/>
            <w:r>
              <w:rPr>
                <w:rFonts w:ascii="Figtree" w:hAnsi="Figtree"/>
                <w:b w:val="0"/>
                <w:i w:val="0"/>
                <w:sz w:val="22"/>
              </w:rPr>
              <w:t>REST v2, GraphQL, webhooks, SDK, CLI</w:t>
            </w:r>
          </w:p>
        </w:tc>
      </w:tr>
      <w:tr>
        <w:trPr>
          <w:trHeight w:val="454" w:hRule="atLeast"/>
        </w:trPr>
        <w:tc>
          <w:tcPr>
            <w:tcW w:type="dxa" w:w="4873"/>
            <w:vAlign w:val="center"/>
          </w:tcPr>
          <w:p>
            <w:r/>
            <w:r>
              <w:rPr>
                <w:rFonts w:ascii="Figtree" w:hAnsi="Figtree"/>
                <w:b w:val="0"/>
                <w:i w:val="0"/>
                <w:sz w:val="22"/>
              </w:rPr>
              <w:t>Observability stack</w:t>
            </w:r>
          </w:p>
        </w:tc>
        <w:tc>
          <w:tcPr>
            <w:tcW w:type="dxa" w:w="4873"/>
            <w:vAlign w:val="center"/>
          </w:tcPr>
          <w:p>
            <w:r/>
            <w:r>
              <w:rPr>
                <w:rFonts w:ascii="Figtree" w:hAnsi="Figtree"/>
                <w:b w:val="0"/>
                <w:i w:val="0"/>
                <w:sz w:val="22"/>
              </w:rPr>
              <w:t>Grafana dashboards, metrics, logs, traces</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All releases and security patches</w:t>
            </w:r>
          </w:p>
        </w:tc>
      </w:tr>
      <w:tr>
        <w:trPr>
          <w:trHeight w:val="454" w:hRule="atLeast"/>
        </w:trPr>
        <w:tc>
          <w:tcPr>
            <w:tcW w:type="dxa" w:w="4873"/>
            <w:vAlign w:val="center"/>
          </w:tcPr>
          <w:p>
            <w:r/>
            <w:r>
              <w:rPr>
                <w:rFonts w:ascii="Figtree" w:hAnsi="Figtree"/>
                <w:b/>
                <w:i w:val="0"/>
                <w:sz w:val="22"/>
              </w:rPr>
              <w:t>Annual license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Implementation Pricing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Phase</w:t>
            </w:r>
          </w:p>
        </w:tc>
        <w:tc>
          <w:tcPr>
            <w:tcW w:type="dxa" w:w="3249"/>
            <w:vAlign w:val="center"/>
            <w:shd w:fill="000099" w:val="clear"/>
          </w:tcPr>
          <w:p>
            <w:r>
              <w:rPr>
                <w:b/>
                <w:color w:val="FFFFFF"/>
              </w:rPr>
            </w:r>
            <w:r>
              <w:rPr>
                <w:rFonts w:ascii="Figtree" w:hAnsi="Figtree"/>
                <w:b/>
                <w:i w:val="0"/>
                <w:color w:val="FFFFFF"/>
                <w:sz w:val="22"/>
              </w:rPr>
              <w:t>Duration</w:t>
            </w:r>
          </w:p>
        </w:tc>
        <w:tc>
          <w:tcPr>
            <w:tcW w:type="dxa" w:w="3249"/>
            <w:vAlign w:val="center"/>
            <w:shd w:fill="000099" w:val="clear"/>
          </w:tcPr>
          <w:p>
            <w:r>
              <w:rPr>
                <w:b/>
                <w:color w:val="FFFFFF"/>
              </w:rPr>
            </w:r>
            <w:r>
              <w:rPr>
                <w:rFonts w:ascii="Figtree" w:hAnsi="Figtree"/>
                <w:b/>
                <w:i w:val="0"/>
                <w:color w:val="FFFFFF"/>
                <w:sz w:val="22"/>
              </w:rPr>
              <w:t>Fee Basis</w:t>
            </w:r>
          </w:p>
        </w:tc>
      </w:tr>
      <w:tr>
        <w:trPr>
          <w:trHeight w:val="454" w:hRule="atLeast"/>
        </w:trPr>
        <w:tc>
          <w:tcPr>
            <w:tcW w:type="dxa" w:w="3249"/>
            <w:vAlign w:val="center"/>
          </w:tcPr>
          <w:p>
            <w:r/>
            <w:r>
              <w:rPr>
                <w:rFonts w:ascii="Figtree" w:hAnsi="Figtree"/>
                <w:b w:val="0"/>
                <w:i w:val="0"/>
                <w:sz w:val="22"/>
              </w:rPr>
              <w:t>Phase 1: Discovery</w:t>
            </w:r>
          </w:p>
        </w:tc>
        <w:tc>
          <w:tcPr>
            <w:tcW w:type="dxa" w:w="3249"/>
            <w:vAlign w:val="center"/>
          </w:tcPr>
          <w:p>
            <w:r/>
            <w:r>
              <w:rPr>
                <w:rFonts w:ascii="Figtree" w:hAnsi="Figtree"/>
                <w:b w:val="0"/>
                <w:i w:val="0"/>
                <w:sz w:val="22"/>
              </w:rPr>
              <w:t>2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2: Foundation</w:t>
            </w:r>
          </w:p>
        </w:tc>
        <w:tc>
          <w:tcPr>
            <w:tcW w:type="dxa" w:w="3249"/>
            <w:vAlign w:val="center"/>
          </w:tcPr>
          <w:p>
            <w:r/>
            <w:r>
              <w:rPr>
                <w:rFonts w:ascii="Figtree" w:hAnsi="Figtree"/>
                <w:b w:val="0"/>
                <w:i w:val="0"/>
                <w:sz w:val="22"/>
              </w:rPr>
              <w:t>3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3: Configuration</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4: Integration &amp; Testing</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5: Go-Live &amp; Hypercare</w:t>
            </w:r>
          </w:p>
        </w:tc>
        <w:tc>
          <w:tcPr>
            <w:tcW w:type="dxa" w:w="3249"/>
            <w:vAlign w:val="center"/>
          </w:tcPr>
          <w:p>
            <w:r/>
            <w:r>
              <w:rPr>
                <w:rFonts w:ascii="Figtree" w:hAnsi="Figtree"/>
                <w:b w:val="0"/>
                <w:i w:val="0"/>
                <w:sz w:val="22"/>
              </w:rPr>
              <w:t>6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19 weeks</w:t>
            </w:r>
          </w:p>
        </w:tc>
        <w:tc>
          <w:tcPr>
            <w:tcW w:type="dxa" w:w="3249"/>
            <w:vAlign w:val="center"/>
          </w:tcPr>
          <w:p>
            <w:r/>
            <w:r>
              <w:rPr>
                <w:rFonts w:ascii="Figtree" w:hAnsi="Figtree"/>
                <w:b/>
                <w:i w:val="0"/>
                <w:sz w:val="22"/>
              </w:rPr>
              <w:t>[CLIENT-SPECIFIC]</w:t>
            </w:r>
          </w:p>
        </w:tc>
      </w:tr>
    </w:tbl>
    <w:p>
      <w:r>
        <w:br w:type="page"/>
      </w:r>
    </w:p>
    <w:p>
      <w:pPr>
        <w:pStyle w:val="H2"/>
        <w:numPr>
          <w:ilvl w:val="1"/>
          <w:numId w:val="1"/>
        </w:numPr>
      </w:pPr>
      <w:r>
        <w:t>Support: Premium Tier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 (Sunday–Thursday for Qatar alignment)</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Quarterly reviews</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i w:val="0"/>
                <w:sz w:val="22"/>
              </w:rPr>
              <w:t>Annual fee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Three-Year TCO</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Component</w:t>
            </w:r>
          </w:p>
        </w:tc>
        <w:tc>
          <w:tcPr>
            <w:tcW w:type="dxa" w:w="2436"/>
            <w:vAlign w:val="center"/>
            <w:shd w:fill="000099" w:val="clear"/>
          </w:tcPr>
          <w:p>
            <w:r>
              <w:rPr>
                <w:b/>
                <w:color w:val="FFFFFF"/>
              </w:rPr>
            </w:r>
            <w:r>
              <w:rPr>
                <w:rFonts w:ascii="Figtree" w:hAnsi="Figtree"/>
                <w:b/>
                <w:i w:val="0"/>
                <w:color w:val="FFFFFF"/>
                <w:sz w:val="22"/>
              </w:rPr>
              <w:t>Year 1</w:t>
            </w:r>
          </w:p>
        </w:tc>
        <w:tc>
          <w:tcPr>
            <w:tcW w:type="dxa" w:w="2436"/>
            <w:vAlign w:val="center"/>
            <w:shd w:fill="000099" w:val="clear"/>
          </w:tcPr>
          <w:p>
            <w:r>
              <w:rPr>
                <w:b/>
                <w:color w:val="FFFFFF"/>
              </w:rPr>
            </w:r>
            <w:r>
              <w:rPr>
                <w:rFonts w:ascii="Figtree" w:hAnsi="Figtree"/>
                <w:b/>
                <w:i w:val="0"/>
                <w:color w:val="FFFFFF"/>
                <w:sz w:val="22"/>
              </w:rPr>
              <w:t>Year 2</w:t>
            </w:r>
          </w:p>
        </w:tc>
        <w:tc>
          <w:tcPr>
            <w:tcW w:type="dxa" w:w="2436"/>
            <w:vAlign w:val="center"/>
            <w:shd w:fill="000099" w:val="clear"/>
          </w:tcPr>
          <w:p>
            <w:r>
              <w:rPr>
                <w:b/>
                <w:color w:val="FFFFFF"/>
              </w:rPr>
            </w:r>
            <w:r>
              <w:rPr>
                <w:rFonts w:ascii="Figtree" w:hAnsi="Figtree"/>
                <w:b/>
                <w:i w:val="0"/>
                <w:color w:val="FFFFFF"/>
                <w:sz w:val="22"/>
              </w:rPr>
              <w:t>Year 3</w:t>
            </w:r>
          </w:p>
        </w:tc>
      </w:tr>
      <w:tr>
        <w:trPr>
          <w:trHeight w:val="454" w:hRule="atLeast"/>
        </w:trPr>
        <w:tc>
          <w:tcPr>
            <w:tcW w:type="dxa" w:w="2436"/>
            <w:vAlign w:val="center"/>
          </w:tcPr>
          <w:p>
            <w:r/>
            <w:r>
              <w:rPr>
                <w:rFonts w:ascii="Figtree" w:hAnsi="Figtree"/>
                <w:b w:val="0"/>
                <w:i w:val="0"/>
                <w:sz w:val="22"/>
              </w:rPr>
              <w:t>Platform license</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[CLIENT-SPECIFIC]</w:t>
            </w:r>
          </w:p>
        </w:tc>
      </w:tr>
      <w:tr>
        <w:trPr>
          <w:trHeight w:val="454" w:hRule="atLeast"/>
        </w:trPr>
        <w:tc>
          <w:tcPr>
            <w:tcW w:type="dxa" w:w="2436"/>
            <w:vAlign w:val="center"/>
          </w:tcPr>
          <w:p>
            <w:r/>
            <w:r>
              <w:rPr>
                <w:rFonts w:ascii="Figtree" w:hAnsi="Figtree"/>
                <w:b w:val="0"/>
                <w:i w:val="0"/>
                <w:sz w:val="22"/>
              </w:rPr>
              <w:t>Implementation</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Support</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[CLIENT-SPECIFIC]</w:t>
            </w:r>
          </w:p>
        </w:tc>
      </w:tr>
      <w:tr>
        <w:trPr>
          <w:trHeight w:val="454" w:hRule="atLeast"/>
        </w:trPr>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[CLIENT-SPECIFIC]</w:t>
            </w:r>
          </w:p>
        </w:tc>
        <w:tc>
          <w:tcPr>
            <w:tcW w:type="dxa" w:w="2436"/>
            <w:vAlign w:val="center"/>
          </w:tcPr>
          <w:p>
            <w:r/>
            <w:r>
              <w:rPr>
                <w:rFonts w:ascii="Figtree" w:hAnsi="Figtree"/>
                <w:b w:val="0"/>
                <w:i w:val="0"/>
                <w:sz w:val="22"/>
              </w:rPr>
              <w:t>[CLIENT-SPECIFIC]</w:t>
            </w:r>
          </w:p>
        </w:tc>
      </w:tr>
    </w:tbl>
    <w:p>
      <w:pPr>
        <w:pStyle w:val="H3"/>
        <w:numPr>
          <w:ilvl w:val="2"/>
          <w:numId w:val="1"/>
        </w:numPr>
      </w:pPr>
      <w:r>
        <w:t>Exclusions</w:t>
      </w:r>
    </w:p>
    <w:p>
      <w:pPr>
        <w:pStyle w:val="ListParagraph"/>
        <w:numPr>
          <w:ilvl w:val="0"/>
          <w:numId w:val="4"/>
        </w:numPr>
      </w:pPr>
      <w:r>
        <w:rPr>
          <w:rFonts w:ascii="Figtree" w:hAnsi="Figtree"/>
          <w:b w:val="0"/>
          <w:i w:val="0"/>
          <w:sz w:val="22"/>
        </w:rPr>
        <w:t>Cloud infrastructure costs (QNB responsibility)</w:t>
      </w:r>
    </w:p>
    <w:p>
      <w:pPr>
        <w:pStyle w:val="ListParagraph"/>
        <w:numPr>
          <w:ilvl w:val="0"/>
          <w:numId w:val="4"/>
        </w:numPr>
      </w:pPr>
      <w:r>
        <w:rPr>
          <w:rFonts w:ascii="Figtree" w:hAnsi="Figtree"/>
          <w:b w:val="0"/>
          <w:i w:val="0"/>
          <w:sz w:val="22"/>
        </w:rPr>
        <w:t>Core banking integration development (QNB side)</w:t>
      </w:r>
    </w:p>
    <w:p>
      <w:pPr>
        <w:pStyle w:val="ListParagraph"/>
        <w:numPr>
          <w:ilvl w:val="0"/>
          <w:numId w:val="4"/>
        </w:numPr>
      </w:pPr>
      <w:r>
        <w:rPr>
          <w:rFonts w:ascii="Figtree" w:hAnsi="Figtree"/>
          <w:b w:val="0"/>
          <w:i w:val="0"/>
          <w:sz w:val="22"/>
        </w:rPr>
        <w:t>Custody provider subscription fees</w:t>
      </w:r>
    </w:p>
    <w:p>
      <w:pPr>
        <w:pStyle w:val="ListParagraph"/>
        <w:numPr>
          <w:ilvl w:val="0"/>
          <w:numId w:val="4"/>
        </w:numPr>
      </w:pPr>
      <w:r>
        <w:rPr>
          <w:rFonts w:ascii="Figtree" w:hAnsi="Figtree"/>
          <w:b w:val="0"/>
          <w:i w:val="0"/>
          <w:sz w:val="22"/>
        </w:rPr>
        <w:t>Regulatory filing fees (QCB/QFC)</w:t>
      </w:r>
    </w:p>
    <w:p>
      <w:pPr>
        <w:pStyle w:val="ListParagraph"/>
        <w:numPr>
          <w:ilvl w:val="0"/>
          <w:numId w:val="4"/>
        </w:numPr>
      </w:pPr>
      <w:r>
        <w:rPr>
          <w:rFonts w:ascii="Figtree" w:hAnsi="Figtree"/>
          <w:b w:val="0"/>
          <w:i w:val="0"/>
          <w:sz w:val="22"/>
        </w:rPr>
        <w:t>Custom Sharia board dashboard (priced separately if required)</w:t>
      </w:r>
    </w:p>
    <w:p>
      <w:r>
        <w:br w:type="page"/>
      </w:r>
    </w:p>
    <w:p>
      <w:pPr>
        <w:pStyle w:val="H2"/>
        <w:numPr>
          <w:ilvl w:val="1"/>
          <w:numId w:val="1"/>
        </w:numPr>
      </w:pPr>
      <w:r>
        <w:t>Contractual Framework</w:t>
      </w:r>
    </w:p>
    <w:p>
      <w:pPr>
        <w:pStyle w:val="ListParagraph"/>
        <w:numPr>
          <w:ilvl w:val="0"/>
          <w:numId w:val="4"/>
        </w:numPr>
      </w:pPr>
      <w:r>
        <w:rPr>
          <w:rFonts w:ascii="Figtree" w:hAnsi="Figtree"/>
          <w:b w:val="0"/>
          <w:i w:val="0"/>
          <w:sz w:val="22"/>
        </w:rPr>
        <w:t>Initial three-year term with annual renewal</w:t>
      </w:r>
    </w:p>
    <w:p>
      <w:pPr>
        <w:pStyle w:val="ListParagraph"/>
        <w:numPr>
          <w:ilvl w:val="0"/>
          <w:numId w:val="4"/>
        </w:numPr>
      </w:pPr>
      <w:r>
        <w:rPr>
          <w:rFonts w:ascii="Figtree" w:hAnsi="Figtree"/>
          <w:b w:val="0"/>
          <w:i w:val="0"/>
          <w:sz w:val="22"/>
        </w:rPr>
        <w:t>Milestone-based implementation payments</w:t>
      </w:r>
    </w:p>
    <w:p>
      <w:pPr>
        <w:pStyle w:val="ListParagraph"/>
        <w:numPr>
          <w:ilvl w:val="0"/>
          <w:numId w:val="4"/>
        </w:numPr>
      </w:pPr>
      <w:r>
        <w:rPr>
          <w:rFonts w:ascii="Figtree" w:hAnsi="Figtree"/>
          <w:b w:val="0"/>
          <w:i w:val="0"/>
          <w:sz w:val="22"/>
        </w:rPr>
        <w:t>Annual in advance for license and support</w:t>
      </w:r>
    </w:p>
    <w:p>
      <w:pPr>
        <w:pStyle w:val="ListParagraph"/>
        <w:numPr>
          <w:ilvl w:val="0"/>
          <w:numId w:val="4"/>
        </w:numPr>
      </w:pPr>
      <w:r>
        <w:rPr>
          <w:rFonts w:ascii="Figtree" w:hAnsi="Figtree"/>
          <w:b w:val="0"/>
          <w:i w:val="0"/>
          <w:sz w:val="22"/>
        </w:rPr>
        <w:t>Capped annual escalation after initial term</w:t>
      </w:r>
    </w:p>
    <w:p>
      <w:pPr>
        <w:pStyle w:val="ListParagraph"/>
        <w:numPr>
          <w:ilvl w:val="0"/>
          <w:numId w:val="4"/>
        </w:numPr>
      </w:pPr>
      <w:r>
        <w:rPr>
          <w:rFonts w:ascii="Figtree" w:hAnsi="Figtree"/>
          <w:b w:val="0"/>
          <w:i w:val="0"/>
          <w:sz w:val="22"/>
        </w:rPr>
        <w:t>90-day exit support with data export</w:t>
      </w:r>
    </w:p>
    <w:p>
      <w:pPr>
        <w:pStyle w:val="ListParagraph"/>
        <w:numPr>
          <w:ilvl w:val="0"/>
          <w:numId w:val="4"/>
        </w:numPr>
      </w:pPr>
      <w:r>
        <w:rPr>
          <w:rFonts w:ascii="Figtree" w:hAnsi="Figtree"/>
          <w:b w:val="0"/>
          <w:i w:val="0"/>
          <w:sz w:val="22"/>
        </w:rPr>
        <w:t>Annual audit rights for QNB</w:t>
      </w:r>
    </w:p>
    <w:p>
      <w:pPr>
        <w:pStyle w:val="ListParagraph"/>
        <w:numPr>
          <w:ilvl w:val="0"/>
          <w:numId w:val="4"/>
        </w:numPr>
      </w:pPr>
      <w:r>
        <w:rPr>
          <w:rFonts w:ascii="Figtree" w:hAnsi="Figtree"/>
          <w:b w:val="0"/>
          <w:i w:val="0"/>
          <w:sz w:val="22"/>
        </w:rPr>
        <w:t>Subcontractor disclosure and approval rights</w:t>
      </w:r>
    </w:p>
    <w:p>
      <w:r>
        <w:br w:type="page"/>
      </w:r>
    </w:p>
    <w:p>
      <w:pPr>
        <w:pStyle w:val="H2"/>
        <w:numPr>
          <w:ilvl w:val="1"/>
          <w:numId w:val="1"/>
        </w:numPr>
      </w:pPr>
      <w:r>
        <w:t>Commercial Decision Summary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Factor</w:t>
            </w:r>
          </w:p>
        </w:tc>
        <w:tc>
          <w:tcPr>
            <w:tcW w:type="dxa" w:w="4873"/>
            <w:vAlign w:val="center"/>
            <w:shd w:fill="000099" w:val="clear"/>
          </w:tcPr>
          <w:p>
            <w:r>
              <w:rPr>
                <w:b/>
                <w:color w:val="FFFFFF"/>
              </w:rPr>
            </w:r>
            <w:r>
              <w:rPr>
                <w:rFonts w:ascii="Figtree" w:hAnsi="Figtree"/>
                <w:b/>
                <w:i w:val="0"/>
                <w:color w:val="FFFFFF"/>
                <w:sz w:val="22"/>
              </w:rPr>
              <w:t>Position</w:t>
            </w:r>
          </w:p>
        </w:tc>
      </w:tr>
      <w:tr>
        <w:trPr>
          <w:trHeight w:val="454" w:hRule="atLeast"/>
        </w:trPr>
        <w:tc>
          <w:tcPr>
            <w:tcW w:type="dxa" w:w="4873"/>
            <w:vAlign w:val="center"/>
          </w:tcPr>
          <w:p>
            <w:r/>
            <w:r>
              <w:rPr>
                <w:rFonts w:ascii="Figtree" w:hAnsi="Figtree"/>
                <w:b w:val="0"/>
                <w:i w:val="0"/>
                <w:sz w:val="22"/>
              </w:rPr>
              <w:t>Pricing model</w:t>
            </w:r>
          </w:p>
        </w:tc>
        <w:tc>
          <w:tcPr>
            <w:tcW w:type="dxa" w:w="4873"/>
            <w:vAlign w:val="center"/>
          </w:tcPr>
          <w:p>
            <w:r/>
            <w:r>
              <w:rPr>
                <w:rFonts w:ascii="Figtree" w:hAnsi="Figtree"/>
                <w:b w:val="0"/>
                <w:i w:val="0"/>
                <w:sz w:val="22"/>
              </w:rPr>
              <w:t>Platform license — zero per-transaction fees</w:t>
            </w:r>
          </w:p>
        </w:tc>
      </w:tr>
      <w:tr>
        <w:trPr>
          <w:trHeight w:val="454" w:hRule="atLeast"/>
        </w:trPr>
        <w:tc>
          <w:tcPr>
            <w:tcW w:type="dxa" w:w="4873"/>
            <w:vAlign w:val="center"/>
          </w:tcPr>
          <w:p>
            <w:r/>
            <w:r>
              <w:rPr>
                <w:rFonts w:ascii="Figtree" w:hAnsi="Figtree"/>
                <w:b w:val="0"/>
                <w:i w:val="0"/>
                <w:sz w:val="22"/>
              </w:rPr>
              <w:t>Islamic finance track record</w:t>
            </w:r>
          </w:p>
        </w:tc>
        <w:tc>
          <w:tcPr>
            <w:tcW w:type="dxa" w:w="4873"/>
            <w:vAlign w:val="center"/>
          </w:tcPr>
          <w:p>
            <w:r/>
            <w:r>
              <w:rPr>
                <w:rFonts w:ascii="Figtree" w:hAnsi="Figtree"/>
                <w:b w:val="0"/>
                <w:i w:val="0"/>
                <w:sz w:val="22"/>
              </w:rPr>
              <w:t>Islamic Development Bank (57 countries)</w:t>
            </w:r>
          </w:p>
        </w:tc>
      </w:tr>
      <w:tr>
        <w:trPr>
          <w:trHeight w:val="454" w:hRule="atLeast"/>
        </w:trPr>
        <w:tc>
          <w:tcPr>
            <w:tcW w:type="dxa" w:w="4873"/>
            <w:vAlign w:val="center"/>
          </w:tcPr>
          <w:p>
            <w:r/>
            <w:r>
              <w:rPr>
                <w:rFonts w:ascii="Figtree" w:hAnsi="Figtree"/>
                <w:b w:val="0"/>
                <w:i w:val="0"/>
                <w:sz w:val="22"/>
              </w:rPr>
              <w:t>Gulf presence</w:t>
            </w:r>
          </w:p>
        </w:tc>
        <w:tc>
          <w:tcPr>
            <w:tcW w:type="dxa" w:w="4873"/>
            <w:vAlign w:val="center"/>
          </w:tcPr>
          <w:p>
            <w:r/>
            <w:r>
              <w:rPr>
                <w:rFonts w:ascii="Figtree" w:hAnsi="Figtree"/>
                <w:b w:val="0"/>
                <w:i w:val="0"/>
                <w:sz w:val="22"/>
              </w:rPr>
              <w:t>Saudi RER production deployment</w:t>
            </w:r>
          </w:p>
        </w:tc>
      </w:tr>
      <w:tr>
        <w:trPr>
          <w:trHeight w:val="454" w:hRule="atLeast"/>
        </w:trPr>
        <w:tc>
          <w:tcPr>
            <w:tcW w:type="dxa" w:w="4873"/>
            <w:vAlign w:val="center"/>
          </w:tcPr>
          <w:p>
            <w:r/>
            <w:r>
              <w:rPr>
                <w:rFonts w:ascii="Figtree" w:hAnsi="Figtree"/>
                <w:b w:val="0"/>
                <w:i w:val="0"/>
                <w:sz w:val="22"/>
              </w:rPr>
              <w:t>Implementation risk</w:t>
            </w:r>
          </w:p>
        </w:tc>
        <w:tc>
          <w:tcPr>
            <w:tcW w:type="dxa" w:w="4873"/>
            <w:vAlign w:val="center"/>
          </w:tcPr>
          <w:p>
            <w:r/>
            <w:r>
              <w:rPr>
                <w:rFonts w:ascii="Figtree" w:hAnsi="Figtree"/>
                <w:b w:val="0"/>
                <w:i w:val="0"/>
                <w:sz w:val="22"/>
              </w:rPr>
              <w:t>Fixed-fee, 19-week proven methodology</w:t>
            </w:r>
          </w:p>
        </w:tc>
      </w:tr>
      <w:tr>
        <w:trPr>
          <w:trHeight w:val="454" w:hRule="atLeast"/>
        </w:trPr>
        <w:tc>
          <w:tcPr>
            <w:tcW w:type="dxa" w:w="4873"/>
            <w:vAlign w:val="center"/>
          </w:tcPr>
          <w:p>
            <w:r/>
            <w:r>
              <w:rPr>
                <w:rFonts w:ascii="Figtree" w:hAnsi="Figtree"/>
                <w:b w:val="0"/>
                <w:i w:val="0"/>
                <w:sz w:val="22"/>
              </w:rPr>
              <w:t>Scaling economics</w:t>
            </w:r>
          </w:p>
        </w:tc>
        <w:tc>
          <w:tcPr>
            <w:tcW w:type="dxa" w:w="4873"/>
            <w:vAlign w:val="center"/>
          </w:tcPr>
          <w:p>
            <w:r/>
            <w:r>
              <w:rPr>
                <w:rFonts w:ascii="Figtree" w:hAnsi="Figtree"/>
                <w:b w:val="0"/>
                <w:i w:val="0"/>
                <w:sz w:val="22"/>
              </w:rPr>
              <w:t>Costs flat as sukuk issuances and investors grow</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