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t xml:space="preserve">Table of Contents</w:t>
            <w:rPr>
              <w:b/>
              <w:sz w:val="32"/>
              <w:color w:val="000099"/>
            </w:rPr>
          </w:r>
        </w:p>
        <w:p>
          <w:r>
            <w:fldChar w:fldCharType="begin"/>
            <w:instrText xml:space="preserve"> TOC \o "1-4" \h \z \u </w:instrText>
            <w:fldChar w:fldCharType="separate"/>
          </w:r>
        </w:p>
        <w:p>
          <w:pPr>
            <w:ind w:left="720"/>
          </w:pPr>
          <w:r>
            <w:t xml:space="preserve">Table of Contents</w:t>
            <w:rPr>
              <w:sz w:val="22"/>
              <w:rFonts w:ascii="Figtree" w:hAnsi="Figtree"/>
            </w:rPr>
          </w:r>
        </w:p>
        <w:p>
          <w:pPr>
            <w:ind w:left="720"/>
          </w:pPr>
          <w:r>
            <w:t xml:space="preserve">Executive Summary</w:t>
            <w:rPr>
              <w:sz w:val="22"/>
              <w:rFonts w:ascii="Figtree" w:hAnsi="Figtree"/>
            </w:rPr>
          </w:r>
        </w:p>
        <w:p>
          <w:pPr>
            <w:ind w:left="720"/>
          </w:pPr>
          <w:r>
            <w:t xml:space="preserve">Understanding QNB's Programme Objectives</w:t>
            <w:rPr>
              <w:sz w:val="22"/>
              <w:rFonts w:ascii="Figtree" w:hAnsi="Figtree"/>
            </w:rPr>
          </w:r>
        </w:p>
        <w:p>
          <w:pPr>
            <w:ind w:left="1440"/>
          </w:pPr>
          <w:r>
            <w:t xml:space="preserve">The Sukuk Market Opportunity</w:t>
            <w:rPr>
              <w:sz w:val="22"/>
              <w:rFonts w:ascii="Figtree" w:hAnsi="Figtree"/>
            </w:rPr>
          </w:r>
        </w:p>
        <w:p>
          <w:pPr>
            <w:ind w:left="1440"/>
          </w:pPr>
          <w:r>
            <w:t xml:space="preserve">Three Critical Challenges</w:t>
            <w:rPr>
              <w:sz w:val="22"/>
              <w:rFonts w:ascii="Figtree" w:hAnsi="Figtree"/>
            </w:rPr>
          </w:r>
        </w:p>
        <w:p>
          <w:pPr>
            <w:ind w:left="720"/>
          </w:pPr>
          <w:r>
            <w:t xml:space="preserve">Proposed DALP Operating Model for Tokenized Sukuk</w:t>
            <w:rPr>
              <w:sz w:val="22"/>
              <w:rFonts w:ascii="Figtree" w:hAnsi="Figtree"/>
            </w:rPr>
          </w:r>
        </w:p>
        <w:p>
          <w:pPr>
            <w:ind w:left="1440"/>
          </w:pPr>
          <w:r>
            <w:t xml:space="preserve">Sukuk Product Configuration</w:t>
            <w:rPr>
              <w:sz w:val="22"/>
              <w:rFonts w:ascii="Figtree" w:hAnsi="Figtree"/>
            </w:rPr>
          </w:r>
        </w:p>
        <w:p>
          <w:pPr>
            <w:ind w:left="1440"/>
          </w:pPr>
          <w:r>
            <w:t xml:space="preserve">Operating Model Mapping to QNB Workstreams</w:t>
            <w:rPr>
              <w:sz w:val="22"/>
              <w:rFonts w:ascii="Figtree" w:hAnsi="Figtree"/>
            </w:rPr>
          </w:r>
        </w:p>
        <w:p>
          <w:pPr>
            <w:ind w:left="720"/>
          </w:pPr>
          <w:r>
            <w:t xml:space="preserve">Technical Architecture and Integration Boundaries</w:t>
            <w:rPr>
              <w:sz w:val="22"/>
              <w:rFonts w:ascii="Figtree" w:hAnsi="Figtree"/>
            </w:rPr>
          </w:r>
        </w:p>
        <w:p>
          <w:pPr>
            <w:ind w:left="1440"/>
          </w:pPr>
          <w:r>
            <w:t xml:space="preserve">Four-Layer Architecture</w:t>
            <w:rPr>
              <w:sz w:val="22"/>
              <w:rFonts w:ascii="Figtree" w:hAnsi="Figtree"/>
            </w:rPr>
          </w:r>
        </w:p>
        <w:p>
          <w:pPr>
            <w:ind w:left="1440"/>
          </w:pPr>
          <w:r>
            <w:t xml:space="preserve">Enterprise Integration for QNB</w:t>
            <w:rPr>
              <w:sz w:val="22"/>
              <w:rFonts w:ascii="Figtree" w:hAnsi="Figtree"/>
            </w:rPr>
          </w:r>
        </w:p>
        <w:p>
          <w:pPr>
            <w:ind w:left="720"/>
          </w:pPr>
          <w:r>
            <w:t xml:space="preserve">Sukuk-Specific Smart Contract Architecture</w:t>
            <w:rPr>
              <w:sz w:val="22"/>
              <w:rFonts w:ascii="Figtree" w:hAnsi="Figtree"/>
            </w:rPr>
          </w:r>
        </w:p>
        <w:p>
          <w:pPr>
            <w:ind w:left="1440"/>
          </w:pPr>
          <w:r>
            <w:t xml:space="preserve">DALPAsset Sukuk Configuration</w:t>
            <w:rPr>
              <w:sz w:val="22"/>
              <w:rFonts w:ascii="Figtree" w:hAnsi="Figtree"/>
            </w:rPr>
          </w:r>
        </w:p>
        <w:p>
          <w:pPr>
            <w:ind w:left="1440"/>
          </w:pPr>
          <w:r>
            <w:t xml:space="preserve">Sukuk Distribution Flow</w:t>
            <w:rPr>
              <w:sz w:val="22"/>
              <w:rFonts w:ascii="Figtree" w:hAnsi="Figtree"/>
            </w:rPr>
          </w:r>
        </w:p>
        <w:p>
          <w:pPr>
            <w:ind w:left="720"/>
          </w:pPr>
          <w:r>
            <w:t xml:space="preserve">Identity, Compliance, and Sharia Governance</w:t>
            <w:rPr>
              <w:sz w:val="22"/>
              <w:rFonts w:ascii="Figtree" w:hAnsi="Figtree"/>
            </w:rPr>
          </w:r>
        </w:p>
        <w:p>
          <w:pPr>
            <w:ind w:left="1440"/>
          </w:pPr>
          <w:r>
            <w:t xml:space="preserve">Compliance Engine Configuration for Sukuk</w:t>
            <w:rPr>
              <w:sz w:val="22"/>
              <w:rFonts w:ascii="Figtree" w:hAnsi="Figtree"/>
            </w:rPr>
          </w:r>
        </w:p>
        <w:p>
          <w:pPr>
            <w:ind w:left="1440"/>
          </w:pPr>
          <w:r>
            <w:t xml:space="preserve">Role-Based Access Control</w:t>
            <w:rPr>
              <w:sz w:val="22"/>
              <w:rFonts w:ascii="Figtree" w:hAnsi="Figtree"/>
            </w:rPr>
          </w:r>
        </w:p>
        <w:p>
          <w:pPr>
            <w:ind w:left="720"/>
          </w:pPr>
          <w:r>
            <w:t xml:space="preserve">Settlement, Distribution, and Lifecycle Management</w:t>
            <w:rPr>
              <w:sz w:val="22"/>
              <w:rFonts w:ascii="Figtree" w:hAnsi="Figtree"/>
            </w:rPr>
          </w:r>
        </w:p>
        <w:p>
          <w:pPr>
            <w:ind w:left="1440"/>
          </w:pPr>
          <w:r>
            <w:t xml:space="preserve">Atomic DvP Settlement</w:t>
            <w:rPr>
              <w:sz w:val="22"/>
              <w:rFonts w:ascii="Figtree" w:hAnsi="Figtree"/>
            </w:rPr>
          </w:r>
        </w:p>
        <w:p>
          <w:pPr>
            <w:ind w:left="1440"/>
          </w:pPr>
          <w:r>
            <w:t xml:space="preserve">Distribution Types</w:t>
            <w:rPr>
              <w:sz w:val="22"/>
              <w:rFonts w:ascii="Figtree" w:hAnsi="Figtree"/>
            </w:rPr>
          </w:r>
        </w:p>
        <w:p>
          <w:pPr>
            <w:ind w:left="1440"/>
          </w:pPr>
          <w:r>
            <w:t xml:space="preserve">Dissolution Mechanics</w:t>
            <w:rPr>
              <w:sz w:val="22"/>
              <w:rFonts w:ascii="Figtree" w:hAnsi="Figtree"/>
            </w:rPr>
          </w:r>
        </w:p>
        <w:p>
          <w:pPr>
            <w:ind w:left="720"/>
          </w:pPr>
          <w:r>
            <w:t xml:space="preserve">Security, Resilience, and Operational Assurance</w:t>
            <w:rPr>
              <w:sz w:val="22"/>
              <w:rFonts w:ascii="Figtree" w:hAnsi="Figtree"/>
            </w:rPr>
          </w:r>
        </w:p>
        <w:p>
          <w:pPr>
            <w:ind w:left="1440"/>
          </w:pPr>
          <w:r>
            <w:t xml:space="preserve">Security Certifications</w:t>
            <w:rPr>
              <w:sz w:val="22"/>
              <w:rFonts w:ascii="Figtree" w:hAnsi="Figtree"/>
            </w:rPr>
          </w:r>
        </w:p>
        <w:p>
          <w:pPr>
            <w:ind w:left="1440"/>
          </w:pPr>
          <w:r>
            <w:t xml:space="preserve">Operational Resilience</w:t>
            <w:rPr>
              <w:sz w:val="22"/>
              <w:rFonts w:ascii="Figtree" w:hAnsi="Figtree"/>
            </w:rPr>
          </w:r>
        </w:p>
        <w:p>
          <w:pPr>
            <w:ind w:left="720"/>
          </w:pPr>
          <w:r>
            <w:t xml:space="preserve">Implementation Approach and Delivery Phases</w:t>
            <w:rPr>
              <w:sz w:val="22"/>
              <w:rFonts w:ascii="Figtree" w:hAnsi="Figtree"/>
            </w:rPr>
          </w:r>
        </w:p>
        <w:p>
          <w:pPr>
            <w:ind w:left="1440"/>
          </w:pPr>
          <w:r>
            <w:t xml:space="preserve">19-Week Implementation</w:t>
            <w:rPr>
              <w:sz w:val="22"/>
              <w:rFonts w:ascii="Figtree" w:hAnsi="Figtree"/>
            </w:rPr>
          </w:r>
        </w:p>
        <w:p>
          <w:pPr>
            <w:ind w:left="720"/>
          </w:pPr>
          <w:r>
            <w:t xml:space="preserve">Current Coverage, Dependencies, and Qualified Gaps</w:t>
            <w:rPr>
              <w:sz w:val="22"/>
              <w:rFonts w:ascii="Figtree" w:hAnsi="Figtree"/>
            </w:rPr>
          </w:r>
        </w:p>
        <w:p>
          <w:pPr>
            <w:ind w:left="1440"/>
          </w:pPr>
          <w:r>
            <w:t xml:space="preserve">Requirements Coverage</w:t>
            <w:rPr>
              <w:sz w:val="22"/>
              <w:rFonts w:ascii="Figtree" w:hAnsi="Figtree"/>
            </w:rPr>
          </w:r>
        </w:p>
        <w:p>
          <w:pPr>
            <w:ind w:left="1440"/>
          </w:pPr>
          <w:r>
            <w:t xml:space="preserve">Qualified Gap: REQ-12</w:t>
            <w:rPr>
              <w:sz w:val="22"/>
              <w:rFonts w:ascii="Figtree" w:hAnsi="Figtree"/>
            </w:rPr>
          </w:r>
        </w:p>
        <w:p>
          <w:pPr>
            <w:ind w:left="720"/>
          </w:pPr>
          <w:r>
            <w:t xml:space="preserve">Relevant Delivery Evidence</w:t>
            <w:rPr>
              <w:sz w:val="22"/>
              <w:rFonts w:ascii="Figtree" w:hAnsi="Figtree"/>
            </w:rPr>
          </w:r>
        </w:p>
        <w:p>
          <w:pPr>
            <w:ind w:left="720"/>
          </w:pPr>
          <w:r>
            <w:t xml:space="preserve">Appendices</w:t>
            <w:rPr>
              <w:sz w:val="22"/>
              <w:rFonts w:ascii="Figtree" w:hAnsi="Figtree"/>
            </w:rPr>
          </w:r>
        </w:p>
        <w:p>
          <w:pPr>
            <w:ind w:left="1440"/>
          </w:pPr>
          <w:r>
            <w:t xml:space="preserve">Appendix A: Glossary</w:t>
            <w:rPr>
              <w:sz w:val="22"/>
              <w:rFonts w:ascii="Figtree" w:hAnsi="Figtree"/>
            </w:rPr>
          </w:r>
        </w:p>
        <w:p>
          <w: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Field</w:t>
            </w:r>
          </w:p>
        </w:tc>
        <w:tc>
          <w:tcPr>
            <w:tcW w:type="dxa" w:w="4873"/>
            <w:vAlign w:val="center"/>
            <w:shd w:fill="000099" w:val="clear"/>
          </w:tcPr>
          <w:p>
            <w:r>
              <w:rPr>
                <w:b/>
                <w:color w:val="FFFFFF"/>
              </w:rPr>
            </w:r>
            <w:r>
              <w:rPr>
                <w:rFonts w:ascii="Figtree" w:hAnsi="Figtree"/>
                <w:b/>
                <w:i w:val="0"/>
                <w:color w:val="FFFFFF"/>
                <w:sz w:val="22"/>
              </w:rPr>
              <w:t>Value</w:t>
            </w:r>
          </w:p>
        </w:tc>
      </w:tr>
      <w:tr>
        <w:trPr>
          <w:trHeight w:val="454" w:hRule="atLeast"/>
        </w:trPr>
        <w:tc>
          <w:tcPr>
            <w:tcW w:type="dxa" w:w="4873"/>
            <w:vAlign w:val="center"/>
          </w:tcPr>
          <w:p>
            <w:r/>
            <w:r>
              <w:rPr>
                <w:rFonts w:ascii="Figtree" w:hAnsi="Figtree"/>
                <w:b w:val="0"/>
                <w:i w:val="0"/>
                <w:sz w:val="22"/>
              </w:rPr>
              <w:t>Proposal title</w:t>
            </w:r>
          </w:p>
        </w:tc>
        <w:tc>
          <w:tcPr>
            <w:tcW w:type="dxa" w:w="4873"/>
            <w:vAlign w:val="center"/>
          </w:tcPr>
          <w:p>
            <w:r/>
            <w:r>
              <w:rPr>
                <w:rFonts w:ascii="Figtree" w:hAnsi="Figtree"/>
                <w:b w:val="0"/>
                <w:i w:val="0"/>
                <w:sz w:val="22"/>
              </w:rPr>
              <w:t>Technical Proposal — Tokenized Sukuk Issuance and Servicing Platform</w:t>
            </w:r>
          </w:p>
        </w:tc>
      </w:tr>
      <w:tr>
        <w:trPr>
          <w:trHeight w:val="454" w:hRule="atLeast"/>
        </w:trPr>
        <w:tc>
          <w:tcPr>
            <w:tcW w:type="dxa" w:w="4873"/>
            <w:vAlign w:val="center"/>
          </w:tcPr>
          <w:p>
            <w:r/>
            <w:r>
              <w:rPr>
                <w:rFonts w:ascii="Figtree" w:hAnsi="Figtree"/>
                <w:b w:val="0"/>
                <w:i w:val="0"/>
                <w:sz w:val="22"/>
              </w:rPr>
              <w:t>Client</w:t>
            </w:r>
          </w:p>
        </w:tc>
        <w:tc>
          <w:tcPr>
            <w:tcW w:type="dxa" w:w="4873"/>
            <w:vAlign w:val="center"/>
          </w:tcPr>
          <w:p>
            <w:r/>
            <w:r>
              <w:rPr>
                <w:rFonts w:ascii="Figtree" w:hAnsi="Figtree"/>
                <w:b w:val="0"/>
                <w:i w:val="0"/>
                <w:sz w:val="22"/>
              </w:rPr>
              <w:t>Qatar National Bank</w:t>
            </w:r>
          </w:p>
        </w:tc>
      </w:tr>
      <w:tr>
        <w:trPr>
          <w:trHeight w:val="454" w:hRule="atLeast"/>
        </w:trPr>
        <w:tc>
          <w:tcPr>
            <w:tcW w:type="dxa" w:w="4873"/>
            <w:vAlign w:val="center"/>
          </w:tcPr>
          <w:p>
            <w:r/>
            <w:r>
              <w:rPr>
                <w:rFonts w:ascii="Figtree" w:hAnsi="Figtree"/>
                <w:b w:val="0"/>
                <w:i w:val="0"/>
                <w:sz w:val="22"/>
              </w:rPr>
              <w:t>Submitted by</w:t>
            </w:r>
          </w:p>
        </w:tc>
        <w:tc>
          <w:tcPr>
            <w:tcW w:type="dxa" w:w="4873"/>
            <w:vAlign w:val="center"/>
          </w:tcPr>
          <w:p>
            <w:r/>
            <w:r>
              <w:rPr>
                <w:rFonts w:ascii="Figtree" w:hAnsi="Figtree"/>
                <w:b w:val="0"/>
                <w:i w:val="0"/>
                <w:sz w:val="22"/>
              </w:rPr>
              <w:t>SettleMint NV</w:t>
            </w:r>
          </w:p>
        </w:tc>
      </w:tr>
      <w:tr>
        <w:trPr>
          <w:trHeight w:val="454" w:hRule="atLeast"/>
        </w:trPr>
        <w:tc>
          <w:tcPr>
            <w:tcW w:type="dxa" w:w="4873"/>
            <w:vAlign w:val="center"/>
          </w:tcPr>
          <w:p>
            <w:r/>
            <w:r>
              <w:rPr>
                <w:rFonts w:ascii="Figtree" w:hAnsi="Figtree"/>
                <w:b w:val="0"/>
                <w:i w:val="0"/>
                <w:sz w:val="22"/>
              </w:rPr>
              <w:t>Date</w:t>
            </w:r>
          </w:p>
        </w:tc>
        <w:tc>
          <w:tcPr>
            <w:tcW w:type="dxa" w:w="4873"/>
            <w:vAlign w:val="center"/>
          </w:tcPr>
          <w:p>
            <w:r/>
            <w:r>
              <w:rPr>
                <w:rFonts w:ascii="Figtree" w:hAnsi="Figtree"/>
                <w:b w:val="0"/>
                <w:i w:val="0"/>
                <w:sz w:val="22"/>
              </w:rPr>
              <w:t>March 2026</w:t>
            </w:r>
          </w:p>
        </w:tc>
      </w:tr>
      <w:tr>
        <w:trPr>
          <w:trHeight w:val="454" w:hRule="atLeast"/>
        </w:trPr>
        <w:tc>
          <w:tcPr>
            <w:tcW w:type="dxa" w:w="4873"/>
            <w:vAlign w:val="center"/>
          </w:tcPr>
          <w:p>
            <w:r/>
            <w:r>
              <w:rPr>
                <w:rFonts w:ascii="Figtree" w:hAnsi="Figtree"/>
                <w:b w:val="0"/>
                <w:i w:val="0"/>
                <w:sz w:val="22"/>
              </w:rPr>
              <w:t>Version</w:t>
            </w:r>
          </w:p>
        </w:tc>
        <w:tc>
          <w:tcPr>
            <w:tcW w:type="dxa" w:w="4873"/>
            <w:vAlign w:val="center"/>
          </w:tcPr>
          <w:p>
            <w:r/>
            <w:r>
              <w:rPr>
                <w:rFonts w:ascii="Figtree" w:hAnsi="Figtree"/>
                <w:b w:val="0"/>
                <w:i w:val="0"/>
                <w:sz w:val="22"/>
              </w:rPr>
              <w:t>v1.0</w:t>
            </w:r>
          </w:p>
        </w:tc>
      </w:tr>
      <w:tr>
        <w:trPr>
          <w:trHeight w:val="454" w:hRule="atLeast"/>
        </w:trPr>
        <w:tc>
          <w:tcPr>
            <w:tcW w:type="dxa" w:w="4873"/>
            <w:vAlign w:val="center"/>
          </w:tcPr>
          <w:p>
            <w:r/>
            <w:r>
              <w:rPr>
                <w:rFonts w:ascii="Figtree" w:hAnsi="Figtree"/>
                <w:b w:val="0"/>
                <w:i w:val="0"/>
                <w:sz w:val="22"/>
              </w:rPr>
              <w:t>Confidentiality</w:t>
            </w:r>
          </w:p>
        </w:tc>
        <w:tc>
          <w:tcPr>
            <w:tcW w:type="dxa" w:w="4873"/>
            <w:vAlign w:val="center"/>
          </w:tcPr>
          <w:p>
            <w:r/>
            <w:r>
              <w:rPr>
                <w:rFonts w:ascii="Figtree" w:hAnsi="Figtree"/>
                <w:b w:val="0"/>
                <w:i w:val="0"/>
                <w:sz w:val="22"/>
              </w:rPr>
              <w:t>Restricted</w:t>
            </w:r>
          </w:p>
        </w:tc>
      </w:tr>
      <w:tr>
        <w:trPr>
          <w:trHeight w:val="454" w:hRule="atLeast"/>
        </w:trPr>
        <w:tc>
          <w:tcPr>
            <w:tcW w:type="dxa" w:w="4873"/>
            <w:vAlign w:val="center"/>
          </w:tcPr>
          <w:p>
            <w:r/>
            <w:r>
              <w:rPr>
                <w:rFonts w:ascii="Figtree" w:hAnsi="Figtree"/>
                <w:b w:val="0"/>
                <w:i w:val="0"/>
                <w:sz w:val="22"/>
              </w:rPr>
              <w:t>RFP Reference</w:t>
            </w:r>
          </w:p>
        </w:tc>
        <w:tc>
          <w:tcPr>
            <w:tcW w:type="dxa" w:w="4873"/>
            <w:vAlign w:val="center"/>
          </w:tcPr>
          <w:p>
            <w:r/>
            <w:r>
              <w:rPr>
                <w:rFonts w:ascii="Figtree" w:hAnsi="Figtree"/>
                <w:b w:val="0"/>
                <w:i w:val="0"/>
                <w:sz w:val="22"/>
              </w:rPr>
              <w:t>QATAR-NATIONAL-BANK-RFP-TOKENIZED-SUKUK-202603</w:t>
            </w:r>
          </w:p>
        </w:tc>
      </w:tr>
      <w:tr>
        <w:trPr>
          <w:trHeight w:val="454" w:hRule="atLeast"/>
        </w:trPr>
        <w:tc>
          <w:tcPr>
            <w:tcW w:type="dxa" w:w="4873"/>
            <w:vAlign w:val="center"/>
          </w:tcPr>
          <w:p>
            <w:r/>
            <w:r>
              <w:rPr>
                <w:rFonts w:ascii="Figtree" w:hAnsi="Figtree"/>
                <w:b w:val="0"/>
                <w:i w:val="0"/>
                <w:sz w:val="22"/>
              </w:rPr>
              <w:t>Primary contact</w:t>
            </w:r>
          </w:p>
        </w:tc>
        <w:tc>
          <w:tcPr>
            <w:tcW w:type="dxa" w:w="4873"/>
            <w:vAlign w:val="center"/>
          </w:tcPr>
          <w:p>
            <w:r/>
            <w:r>
              <w:rPr>
                <w:rFonts w:ascii="Figtree" w:hAnsi="Figtree"/>
                <w:b w:val="0"/>
                <w:i w:val="0"/>
                <w:sz w:val="22"/>
              </w:rPr>
              <w:t>Adam Popat, CEO</w:t>
            </w:r>
          </w:p>
        </w:tc>
      </w:tr>
    </w:tbl>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Understanding QNB's Programme Objectives</w:t>
      </w:r>
    </w:p>
    <w:p>
      <w:pPr>
        <w:pStyle w:val="ListParagraph"/>
        <w:numPr>
          <w:ilvl w:val="0"/>
          <w:numId w:val="4"/>
        </w:numPr>
      </w:pPr>
      <w:r>
        <w:rPr>
          <w:rFonts w:ascii="Figtree" w:hAnsi="Figtree"/>
          <w:b w:val="0"/>
          <w:i w:val="0"/>
          <w:sz w:val="22"/>
        </w:rPr>
        <w:t>Proposed DALP Operating Model for Tokenized Sukuk</w:t>
      </w:r>
    </w:p>
    <w:p>
      <w:pPr>
        <w:pStyle w:val="ListParagraph"/>
        <w:numPr>
          <w:ilvl w:val="0"/>
          <w:numId w:val="4"/>
        </w:numPr>
      </w:pPr>
      <w:r>
        <w:rPr>
          <w:rFonts w:ascii="Figtree" w:hAnsi="Figtree"/>
          <w:b w:val="0"/>
          <w:i w:val="0"/>
          <w:sz w:val="22"/>
        </w:rPr>
        <w:t>Technical Architecture and Integration Boundaries</w:t>
      </w:r>
    </w:p>
    <w:p>
      <w:pPr>
        <w:pStyle w:val="ListParagraph"/>
        <w:numPr>
          <w:ilvl w:val="0"/>
          <w:numId w:val="4"/>
        </w:numPr>
      </w:pPr>
      <w:r>
        <w:rPr>
          <w:rFonts w:ascii="Figtree" w:hAnsi="Figtree"/>
          <w:b w:val="0"/>
          <w:i w:val="0"/>
          <w:sz w:val="22"/>
        </w:rPr>
        <w:t>Sukuk-Specific Smart Contract Architecture</w:t>
      </w:r>
    </w:p>
    <w:p>
      <w:pPr>
        <w:pStyle w:val="ListParagraph"/>
        <w:numPr>
          <w:ilvl w:val="0"/>
          <w:numId w:val="4"/>
        </w:numPr>
      </w:pPr>
      <w:r>
        <w:rPr>
          <w:rFonts w:ascii="Figtree" w:hAnsi="Figtree"/>
          <w:b w:val="0"/>
          <w:i w:val="0"/>
          <w:sz w:val="22"/>
        </w:rPr>
        <w:t>Identity, Compliance, and Sharia Governance</w:t>
      </w:r>
    </w:p>
    <w:p>
      <w:pPr>
        <w:pStyle w:val="ListParagraph"/>
        <w:numPr>
          <w:ilvl w:val="0"/>
          <w:numId w:val="4"/>
        </w:numPr>
      </w:pPr>
      <w:r>
        <w:rPr>
          <w:rFonts w:ascii="Figtree" w:hAnsi="Figtree"/>
          <w:b w:val="0"/>
          <w:i w:val="0"/>
          <w:sz w:val="22"/>
        </w:rPr>
        <w:t>Settlement, Distribution, and Lifecycle Management</w:t>
      </w:r>
    </w:p>
    <w:p>
      <w:pPr>
        <w:pStyle w:val="ListParagraph"/>
        <w:numPr>
          <w:ilvl w:val="0"/>
          <w:numId w:val="4"/>
        </w:numPr>
      </w:pPr>
      <w:r>
        <w:rPr>
          <w:rFonts w:ascii="Figtree" w:hAnsi="Figtree"/>
          <w:b w:val="0"/>
          <w:i w:val="0"/>
          <w:sz w:val="22"/>
        </w:rPr>
        <w:t>Security, Resilience, and Operational Assurance</w:t>
      </w:r>
    </w:p>
    <w:p>
      <w:pPr>
        <w:pStyle w:val="ListParagraph"/>
        <w:numPr>
          <w:ilvl w:val="0"/>
          <w:numId w:val="4"/>
        </w:numPr>
      </w:pPr>
      <w:r>
        <w:rPr>
          <w:rFonts w:ascii="Figtree" w:hAnsi="Figtree"/>
          <w:b w:val="0"/>
          <w:i w:val="0"/>
          <w:sz w:val="22"/>
        </w:rPr>
        <w:t>Implementation Approach and Delivery Phases</w:t>
      </w:r>
    </w:p>
    <w:p>
      <w:pPr>
        <w:pStyle w:val="ListParagraph"/>
        <w:numPr>
          <w:ilvl w:val="0"/>
          <w:numId w:val="4"/>
        </w:numPr>
      </w:pPr>
      <w:r>
        <w:rPr>
          <w:rFonts w:ascii="Figtree" w:hAnsi="Figtree"/>
          <w:b w:val="0"/>
          <w:i w:val="0"/>
          <w:sz w:val="22"/>
        </w:rPr>
        <w:t>Current Coverage, Dependencies, and Qualified Gaps</w:t>
      </w:r>
    </w:p>
    <w:p>
      <w:pPr>
        <w:pStyle w:val="ListParagraph"/>
        <w:numPr>
          <w:ilvl w:val="0"/>
          <w:numId w:val="4"/>
        </w:numPr>
      </w:pPr>
      <w:r>
        <w:rPr>
          <w:rFonts w:ascii="Figtree" w:hAnsi="Figtree"/>
          <w:b w:val="0"/>
          <w:i w:val="0"/>
          <w:sz w:val="22"/>
        </w:rPr>
        <w:t>Relevant Delivery Evidence</w:t>
      </w:r>
    </w:p>
    <w:p>
      <w:pPr>
        <w:pStyle w:val="ListParagraph"/>
        <w:numPr>
          <w:ilvl w:val="0"/>
          <w:numId w:val="4"/>
        </w:numPr>
      </w:pPr>
      <w:r>
        <w:rPr>
          <w:rFonts w:ascii="Figtree" w:hAnsi="Figtree"/>
          <w:b w:val="0"/>
          <w:i w:val="0"/>
          <w:sz w:val="22"/>
        </w:rPr>
        <w:t>Appendices</w:t>
      </w:r>
    </w:p>
    <w:p>
      <w:r>
        <w:br w:type="page"/>
      </w:r>
    </w:p>
    <w:p>
      <w:pPr>
        <w:pStyle w:val="H2"/>
        <w:numPr>
          <w:ilvl w:val="1"/>
          <w:numId w:val="1"/>
        </w:numPr>
      </w:pPr>
      <w:r>
        <w:t>Executive Summary</w:t>
      </w:r>
    </w:p>
    <w:p>
      <w:r>
        <w:rPr>
          <w:rFonts w:ascii="Figtree" w:hAnsi="Figtree"/>
          <w:b w:val="0"/>
          <w:i w:val="0"/>
          <w:sz w:val="22"/>
        </w:rPr>
        <w:t>Qatar National Bank has identified tokenized sukuk issuance and servicing as a business-critical capability. This procurement tests whether the market can supply a dependable platform and implementation model for production-grade tokenized sukuk that operates within QCB regulatory expectations, QFC Authority capital markets rules, AAOIFI standards, and QNB's internal control environment.</w:t>
      </w:r>
    </w:p>
    <w:p>
      <w:r>
        <w:rPr>
          <w:rFonts w:ascii="Figtree" w:hAnsi="Figtree"/>
          <w:b w:val="0"/>
          <w:i w:val="0"/>
          <w:sz w:val="22"/>
        </w:rPr>
        <w:t>SettleMint's Digital Asset Lifecycle Platform (DALP) provides production-ready infrastructure for the entire sukuk lifecycle — from structuring and issuance through periodic distribution, corporate actions, and dissolution — with Sharia compliance enforcement embedded at the smart contract level.</w:t>
      </w:r>
    </w:p>
    <w:p>
      <w:r>
        <w:rPr>
          <w:rFonts w:ascii="Figtree" w:hAnsi="Figtree"/>
          <w:b/>
          <w:i w:val="0"/>
          <w:sz w:val="22"/>
        </w:rPr>
        <w:t>Why DALP fits QNB's sukuk programme:</w:t>
      </w:r>
    </w:p>
    <w:p>
      <w:pPr>
        <w:pStyle w:val="ListParagraph"/>
        <w:numPr>
          <w:ilvl w:val="0"/>
          <w:numId w:val="4"/>
        </w:numPr>
      </w:pPr>
      <w:r>
        <w:rPr>
          <w:rFonts w:ascii="Figtree" w:hAnsi="Figtree"/>
          <w:b/>
          <w:i w:val="0"/>
          <w:sz w:val="22"/>
        </w:rPr>
        <w:t>Full sukuk lifecycle coverage.</w:t>
      </w:r>
      <w:r>
        <w:rPr>
          <w:rFonts w:ascii="Figtree" w:hAnsi="Figtree"/>
          <w:b w:val="0"/>
          <w:i w:val="0"/>
          <w:sz w:val="22"/>
        </w:rPr>
        <w:t xml:space="preserve"> DALP manages the complete sukuk lifecycle through configurable smart contracts: underlying asset referencing, certificate issuance, periodic rental or profit distributions, corporate actions, and dissolution with principal return. The Asset Designer wizard supports sukuk-specific parameters including underlying asset class, distribution frequency, dissolution triggers, and Sharia board attestation requirements.</w:t>
      </w:r>
    </w:p>
    <w:p>
      <w:pPr>
        <w:pStyle w:val="ListParagraph"/>
        <w:numPr>
          <w:ilvl w:val="0"/>
          <w:numId w:val="4"/>
        </w:numPr>
      </w:pPr>
      <w:r>
        <w:rPr>
          <w:rFonts w:ascii="Figtree" w:hAnsi="Figtree"/>
          <w:b/>
          <w:i w:val="0"/>
          <w:sz w:val="22"/>
        </w:rPr>
        <w:t>Sharia compliance at the contract layer.</w:t>
      </w:r>
      <w:r>
        <w:rPr>
          <w:rFonts w:ascii="Figtree" w:hAnsi="Figtree"/>
          <w:b w:val="0"/>
          <w:i w:val="0"/>
          <w:sz w:val="22"/>
        </w:rPr>
        <w:t xml:space="preserve"> Every sukuk transfer passes through DALP's compliance engine, which enforces investor eligibility, jurisdiction restrictions, holding periods, and Sharia governance approvals at the smart contract level. Compliance rules travel with the token — they cannot be circumvented by application-layer workarounds.</w:t>
      </w:r>
    </w:p>
    <w:p>
      <w:pPr>
        <w:pStyle w:val="ListParagraph"/>
        <w:numPr>
          <w:ilvl w:val="0"/>
          <w:numId w:val="4"/>
        </w:numPr>
      </w:pPr>
      <w:r>
        <w:rPr>
          <w:rFonts w:ascii="Figtree" w:hAnsi="Figtree"/>
          <w:b/>
          <w:i w:val="0"/>
          <w:sz w:val="22"/>
        </w:rPr>
        <w:t>Production-proven Islamic finance capability.</w:t>
      </w:r>
      <w:r>
        <w:rPr>
          <w:rFonts w:ascii="Figtree" w:hAnsi="Figtree"/>
          <w:b w:val="0"/>
          <w:i w:val="0"/>
          <w:sz w:val="22"/>
        </w:rPr>
        <w:t xml:space="preserve"> DALP powers the Islamic Development Bank's Sharia-compliant subsidy distribution system serving 57 member countries. The Saudi Arabia Real Estate Registry — a national-scale blockchain for property registration and fractionalization — runs on DALP in production since January 2026.</w:t>
      </w:r>
    </w:p>
    <w:p>
      <w:pPr>
        <w:pStyle w:val="ListParagraph"/>
        <w:numPr>
          <w:ilvl w:val="0"/>
          <w:numId w:val="4"/>
        </w:numPr>
      </w:pPr>
      <w:r>
        <w:rPr>
          <w:rFonts w:ascii="Figtree" w:hAnsi="Figtree"/>
          <w:b/>
          <w:i w:val="0"/>
          <w:sz w:val="22"/>
        </w:rPr>
        <w:t>Enterprise integration readiness.</w:t>
      </w:r>
      <w:r>
        <w:rPr>
          <w:rFonts w:ascii="Figtree" w:hAnsi="Figtree"/>
          <w:b w:val="0"/>
          <w:i w:val="0"/>
          <w:sz w:val="22"/>
        </w:rPr>
        <w:t xml:space="preserve"> DALP integrates with core banking systems, custody providers, AML/CFT tooling, and regulatory reporting through a comprehensive API surface (REST, GraphQL, webhooks, SDK, CLI with 301 commands across 26 groups).</w:t>
      </w:r>
    </w:p>
    <w:p>
      <w:r>
        <w:rPr>
          <w:rFonts w:ascii="Figtree" w:hAnsi="Figtree"/>
          <w:b w:val="0"/>
          <w:i w:val="0"/>
          <w:sz w:val="22"/>
        </w:rPr>
        <w:t>The proposed implementation spans 19 weeks from kickoff to hypercare completion, following SettleMint's phase-gated methodology with formal gate reviews at each stage.</w:t>
      </w:r>
    </w:p>
    <w:p>
      <w:pPr>
        <w:jc w:val="center"/>
      </w:pPr>
      <w:r>
        <w:drawing>
          <wp:inline xmlns:a="http://schemas.openxmlformats.org/drawingml/2006/main" xmlns:pic="http://schemas.openxmlformats.org/drawingml/2006/picture">
            <wp:extent cx="5486400" cy="2225351"/>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225351"/>
                    </a:xfrm>
                    <a:prstGeom prst="rect"/>
                  </pic:spPr>
                </pic:pic>
              </a:graphicData>
            </a:graphic>
          </wp:inline>
        </w:drawing>
      </w:r>
    </w:p>
    <w:p>
      <w:r>
        <w:br w:type="page"/>
      </w:r>
    </w:p>
    <w:p>
      <w:pPr>
        <w:pStyle w:val="H2"/>
        <w:numPr>
          <w:ilvl w:val="1"/>
          <w:numId w:val="1"/>
        </w:numPr>
      </w:pPr>
      <w:r>
        <w:t>Understanding QNB's Programme Objectives</w:t>
      </w:r>
    </w:p>
    <w:p>
      <w:pPr>
        <w:pStyle w:val="H3"/>
        <w:numPr>
          <w:ilvl w:val="2"/>
          <w:numId w:val="1"/>
        </w:numPr>
      </w:pPr>
      <w:r>
        <w:t>The Sukuk Market Opportunity</w:t>
      </w:r>
    </w:p>
    <w:p>
      <w:r>
        <w:rPr>
          <w:rFonts w:ascii="Figtree" w:hAnsi="Figtree"/>
          <w:b w:val="0"/>
          <w:i w:val="0"/>
          <w:sz w:val="22"/>
        </w:rPr>
        <w:t>Qatar's sukuk market represents one of the fastest-growing segments of Islamic capital markets. QNB, as the largest financial institution in the Middle East and Africa by assets, is positioned to lead the digital transformation of sukuk issuance. The challenge is not whether to tokenize sukuk — it is whether the platform can handle the operational complexity of production-grade sukuk servicing: periodic distributions tied to underlying asset performance, dissolution mechanics, Sharia board governance, multi-party settlement, and regulatory reporting across jurisdictions.</w:t>
      </w:r>
    </w:p>
    <w:p>
      <w:pPr>
        <w:pStyle w:val="H3"/>
        <w:numPr>
          <w:ilvl w:val="2"/>
          <w:numId w:val="1"/>
        </w:numPr>
      </w:pPr>
      <w:r>
        <w:t>Three Critical Challenges</w:t>
      </w:r>
    </w:p>
    <w:p>
      <w:r>
        <w:rPr>
          <w:rFonts w:ascii="Figtree" w:hAnsi="Figtree"/>
          <w:b/>
          <w:i w:val="0"/>
          <w:sz w:val="22"/>
        </w:rPr>
        <w:t>Asset-backed integrity.</w:t>
      </w:r>
      <w:r>
        <w:rPr>
          <w:rFonts w:ascii="Figtree" w:hAnsi="Figtree"/>
          <w:b w:val="0"/>
          <w:i w:val="0"/>
          <w:sz w:val="22"/>
        </w:rPr>
        <w:t xml:space="preserve"> Every sukuk certificate must reference a verifiable underlying asset. The platform must enforce that distributions are derived from actual asset performance, not simulated returns. This requires integration with asset valuation feeds and on-chain verification of collateral adequacy.</w:t>
      </w:r>
    </w:p>
    <w:p>
      <w:r>
        <w:rPr>
          <w:rFonts w:ascii="Figtree" w:hAnsi="Figtree"/>
          <w:b/>
          <w:i w:val="0"/>
          <w:sz w:val="22"/>
        </w:rPr>
        <w:t>Distribution complexity.</w:t>
      </w:r>
      <w:r>
        <w:rPr>
          <w:rFonts w:ascii="Figtree" w:hAnsi="Figtree"/>
          <w:b w:val="0"/>
          <w:i w:val="0"/>
          <w:sz w:val="22"/>
        </w:rPr>
        <w:t xml:space="preserve"> Sukuk distributions are not simple coupon payments. They may represent rental income (Ijarah), profit shares (Mudarabah), or sale proceeds (Murabaha). Each structure has different calculation mechanics, timing requirements, and Sharia governance implications. The platform must support configurable distribution logic without requiring custom smart contract development per sukuk issuance.</w:t>
      </w:r>
    </w:p>
    <w:p>
      <w:r>
        <w:rPr>
          <w:rFonts w:ascii="Figtree" w:hAnsi="Figtree"/>
          <w:b/>
          <w:i w:val="0"/>
          <w:sz w:val="22"/>
        </w:rPr>
        <w:t>Lifecycle governance.</w:t>
      </w:r>
      <w:r>
        <w:rPr>
          <w:rFonts w:ascii="Figtree" w:hAnsi="Figtree"/>
          <w:b w:val="0"/>
          <w:i w:val="0"/>
          <w:sz w:val="22"/>
        </w:rPr>
        <w:t xml:space="preserve"> From issuance through dissolution, sukuk require multi-party governance involving the issuer, Sharia board, trustee, and regulator. The platform must provide complete audit trails showing who approved each lifecycle event, which compliance checks were applied, and how the resulting state can be reconstructed for regulatory examination.</w:t>
      </w:r>
    </w:p>
    <w:p>
      <w:pPr>
        <w:jc w:val="center"/>
      </w:pPr>
      <w:r>
        <w:drawing>
          <wp:inline xmlns:a="http://schemas.openxmlformats.org/drawingml/2006/main" xmlns:pic="http://schemas.openxmlformats.org/drawingml/2006/picture">
            <wp:extent cx="5486400" cy="749520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7495200"/>
                    </a:xfrm>
                    <a:prstGeom prst="rect"/>
                  </pic:spPr>
                </pic:pic>
              </a:graphicData>
            </a:graphic>
          </wp:inline>
        </w:drawing>
      </w:r>
    </w:p>
    <w:p>
      <w:r>
        <w:br w:type="page"/>
      </w:r>
    </w:p>
    <w:p>
      <w:pPr>
        <w:pStyle w:val="H2"/>
        <w:numPr>
          <w:ilvl w:val="1"/>
          <w:numId w:val="1"/>
        </w:numPr>
      </w:pPr>
      <w:r>
        <w:t>Proposed DALP Operating Model for Tokenized Sukuk</w:t>
      </w:r>
    </w:p>
    <w:p>
      <w:pPr>
        <w:pStyle w:val="H3"/>
        <w:numPr>
          <w:ilvl w:val="2"/>
          <w:numId w:val="1"/>
        </w:numPr>
      </w:pPr>
      <w:r>
        <w:t>Sukuk Product Configuration</w:t>
      </w:r>
    </w:p>
    <w:p>
      <w:r>
        <w:rPr>
          <w:rFonts w:ascii="Figtree" w:hAnsi="Figtree"/>
          <w:b w:val="0"/>
          <w:i w:val="0"/>
          <w:sz w:val="22"/>
        </w:rPr>
        <w:t>DALP's configurable token architecture supports all major sukuk structures without custom smart contract development:</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Sukuk Type</w:t>
            </w:r>
          </w:p>
        </w:tc>
        <w:tc>
          <w:tcPr>
            <w:tcW w:type="dxa" w:w="2436"/>
            <w:vAlign w:val="center"/>
            <w:shd w:fill="000099" w:val="clear"/>
          </w:tcPr>
          <w:p>
            <w:r>
              <w:rPr>
                <w:b/>
                <w:color w:val="FFFFFF"/>
              </w:rPr>
            </w:r>
            <w:r>
              <w:rPr>
                <w:rFonts w:ascii="Figtree" w:hAnsi="Figtree"/>
                <w:b/>
                <w:i w:val="0"/>
                <w:color w:val="FFFFFF"/>
                <w:sz w:val="22"/>
              </w:rPr>
              <w:t>Underlying Asset</w:t>
            </w:r>
          </w:p>
        </w:tc>
        <w:tc>
          <w:tcPr>
            <w:tcW w:type="dxa" w:w="2436"/>
            <w:vAlign w:val="center"/>
            <w:shd w:fill="000099" w:val="clear"/>
          </w:tcPr>
          <w:p>
            <w:r>
              <w:rPr>
                <w:b/>
                <w:color w:val="FFFFFF"/>
              </w:rPr>
            </w:r>
            <w:r>
              <w:rPr>
                <w:rFonts w:ascii="Figtree" w:hAnsi="Figtree"/>
                <w:b/>
                <w:i w:val="0"/>
                <w:color w:val="FFFFFF"/>
                <w:sz w:val="22"/>
              </w:rPr>
              <w:t>Distribution Mechanism</w:t>
            </w:r>
          </w:p>
        </w:tc>
        <w:tc>
          <w:tcPr>
            <w:tcW w:type="dxa" w:w="2436"/>
            <w:vAlign w:val="center"/>
            <w:shd w:fill="000099" w:val="clear"/>
          </w:tcPr>
          <w:p>
            <w:r>
              <w:rPr>
                <w:b/>
                <w:color w:val="FFFFFF"/>
              </w:rPr>
            </w:r>
            <w:r>
              <w:rPr>
                <w:rFonts w:ascii="Figtree" w:hAnsi="Figtree"/>
                <w:b/>
                <w:i w:val="0"/>
                <w:color w:val="FFFFFF"/>
                <w:sz w:val="22"/>
              </w:rPr>
              <w:t>DALP Configuration</w:t>
            </w:r>
          </w:p>
        </w:tc>
      </w:tr>
      <w:tr>
        <w:trPr>
          <w:trHeight w:val="454" w:hRule="atLeast"/>
        </w:trPr>
        <w:tc>
          <w:tcPr>
            <w:tcW w:type="dxa" w:w="2436"/>
            <w:vAlign w:val="center"/>
          </w:tcPr>
          <w:p>
            <w:r/>
            <w:r>
              <w:rPr>
                <w:rFonts w:ascii="Figtree" w:hAnsi="Figtree"/>
                <w:b w:val="0"/>
                <w:i w:val="0"/>
                <w:sz w:val="22"/>
              </w:rPr>
              <w:t>Ijarah Sukuk</w:t>
            </w:r>
          </w:p>
        </w:tc>
        <w:tc>
          <w:tcPr>
            <w:tcW w:type="dxa" w:w="2436"/>
            <w:vAlign w:val="center"/>
          </w:tcPr>
          <w:p>
            <w:r/>
            <w:r>
              <w:rPr>
                <w:rFonts w:ascii="Figtree" w:hAnsi="Figtree"/>
                <w:b w:val="0"/>
                <w:i w:val="0"/>
                <w:sz w:val="22"/>
              </w:rPr>
              <w:t>Real estate, equipment, infrastructure</w:t>
            </w:r>
          </w:p>
        </w:tc>
        <w:tc>
          <w:tcPr>
            <w:tcW w:type="dxa" w:w="2436"/>
            <w:vAlign w:val="center"/>
          </w:tcPr>
          <w:p>
            <w:r/>
            <w:r>
              <w:rPr>
                <w:rFonts w:ascii="Figtree" w:hAnsi="Figtree"/>
                <w:b w:val="0"/>
                <w:i w:val="0"/>
                <w:sz w:val="22"/>
              </w:rPr>
              <w:t>Rental income pass-through</w:t>
            </w:r>
          </w:p>
        </w:tc>
        <w:tc>
          <w:tcPr>
            <w:tcW w:type="dxa" w:w="2436"/>
            <w:vAlign w:val="center"/>
          </w:tcPr>
          <w:p>
            <w:r/>
            <w:r>
              <w:rPr>
                <w:rFonts w:ascii="Figtree" w:hAnsi="Figtree"/>
                <w:b w:val="0"/>
                <w:i w:val="0"/>
                <w:sz w:val="22"/>
              </w:rPr>
              <w:t>Fixed Treasury Yield feature + Collateral Requirement module</w:t>
            </w:r>
          </w:p>
        </w:tc>
      </w:tr>
      <w:tr>
        <w:trPr>
          <w:trHeight w:val="454" w:hRule="atLeast"/>
        </w:trPr>
        <w:tc>
          <w:tcPr>
            <w:tcW w:type="dxa" w:w="2436"/>
            <w:vAlign w:val="center"/>
          </w:tcPr>
          <w:p>
            <w:r/>
            <w:r>
              <w:rPr>
                <w:rFonts w:ascii="Figtree" w:hAnsi="Figtree"/>
                <w:b w:val="0"/>
                <w:i w:val="0"/>
                <w:sz w:val="22"/>
              </w:rPr>
              <w:t>Mudarabah Sukuk</w:t>
            </w:r>
          </w:p>
        </w:tc>
        <w:tc>
          <w:tcPr>
            <w:tcW w:type="dxa" w:w="2436"/>
            <w:vAlign w:val="center"/>
          </w:tcPr>
          <w:p>
            <w:r/>
            <w:r>
              <w:rPr>
                <w:rFonts w:ascii="Figtree" w:hAnsi="Figtree"/>
                <w:b w:val="0"/>
                <w:i w:val="0"/>
                <w:sz w:val="22"/>
              </w:rPr>
              <w:t>Investment portfolio</w:t>
            </w:r>
          </w:p>
        </w:tc>
        <w:tc>
          <w:tcPr>
            <w:tcW w:type="dxa" w:w="2436"/>
            <w:vAlign w:val="center"/>
          </w:tcPr>
          <w:p>
            <w:r/>
            <w:r>
              <w:rPr>
                <w:rFonts w:ascii="Figtree" w:hAnsi="Figtree"/>
                <w:b w:val="0"/>
                <w:i w:val="0"/>
                <w:sz w:val="22"/>
              </w:rPr>
              <w:t>Profit-sharing per agreed ratio</w:t>
            </w:r>
          </w:p>
        </w:tc>
        <w:tc>
          <w:tcPr>
            <w:tcW w:type="dxa" w:w="2436"/>
            <w:vAlign w:val="center"/>
          </w:tcPr>
          <w:p>
            <w:r/>
            <w:r>
              <w:rPr>
                <w:rFonts w:ascii="Figtree" w:hAnsi="Figtree"/>
                <w:b w:val="0"/>
                <w:i w:val="0"/>
                <w:sz w:val="22"/>
              </w:rPr>
              <w:t>Yield feature + configurable ratio parameters</w:t>
            </w:r>
          </w:p>
        </w:tc>
      </w:tr>
      <w:tr>
        <w:trPr>
          <w:trHeight w:val="454" w:hRule="atLeast"/>
        </w:trPr>
        <w:tc>
          <w:tcPr>
            <w:tcW w:type="dxa" w:w="2436"/>
            <w:vAlign w:val="center"/>
          </w:tcPr>
          <w:p>
            <w:r/>
            <w:r>
              <w:rPr>
                <w:rFonts w:ascii="Figtree" w:hAnsi="Figtree"/>
                <w:b w:val="0"/>
                <w:i w:val="0"/>
                <w:sz w:val="22"/>
              </w:rPr>
              <w:t>Murabaha Sukuk</w:t>
            </w:r>
          </w:p>
        </w:tc>
        <w:tc>
          <w:tcPr>
            <w:tcW w:type="dxa" w:w="2436"/>
            <w:vAlign w:val="center"/>
          </w:tcPr>
          <w:p>
            <w:r/>
            <w:r>
              <w:rPr>
                <w:rFonts w:ascii="Figtree" w:hAnsi="Figtree"/>
                <w:b w:val="0"/>
                <w:i w:val="0"/>
                <w:sz w:val="22"/>
              </w:rPr>
              <w:t>Trade receivables</w:t>
            </w:r>
          </w:p>
        </w:tc>
        <w:tc>
          <w:tcPr>
            <w:tcW w:type="dxa" w:w="2436"/>
            <w:vAlign w:val="center"/>
          </w:tcPr>
          <w:p>
            <w:r/>
            <w:r>
              <w:rPr>
                <w:rFonts w:ascii="Figtree" w:hAnsi="Figtree"/>
                <w:b w:val="0"/>
                <w:i w:val="0"/>
                <w:sz w:val="22"/>
              </w:rPr>
              <w:t>Deferred sale markup payments</w:t>
            </w:r>
          </w:p>
        </w:tc>
        <w:tc>
          <w:tcPr>
            <w:tcW w:type="dxa" w:w="2436"/>
            <w:vAlign w:val="center"/>
          </w:tcPr>
          <w:p>
            <w:r/>
            <w:r>
              <w:rPr>
                <w:rFonts w:ascii="Figtree" w:hAnsi="Figtree"/>
                <w:b w:val="0"/>
                <w:i w:val="0"/>
                <w:sz w:val="22"/>
              </w:rPr>
              <w:t>Maturity &amp; Redemption feature + scheduled distributions</w:t>
            </w:r>
          </w:p>
        </w:tc>
      </w:tr>
      <w:tr>
        <w:trPr>
          <w:trHeight w:val="454" w:hRule="atLeast"/>
        </w:trPr>
        <w:tc>
          <w:tcPr>
            <w:tcW w:type="dxa" w:w="2436"/>
            <w:vAlign w:val="center"/>
          </w:tcPr>
          <w:p>
            <w:r/>
            <w:r>
              <w:rPr>
                <w:rFonts w:ascii="Figtree" w:hAnsi="Figtree"/>
                <w:b w:val="0"/>
                <w:i w:val="0"/>
                <w:sz w:val="22"/>
              </w:rPr>
              <w:t>Wakalah Sukuk</w:t>
            </w:r>
          </w:p>
        </w:tc>
        <w:tc>
          <w:tcPr>
            <w:tcW w:type="dxa" w:w="2436"/>
            <w:vAlign w:val="center"/>
          </w:tcPr>
          <w:p>
            <w:r/>
            <w:r>
              <w:rPr>
                <w:rFonts w:ascii="Figtree" w:hAnsi="Figtree"/>
                <w:b w:val="0"/>
                <w:i w:val="0"/>
                <w:sz w:val="22"/>
              </w:rPr>
              <w:t>Mixed asset pool</w:t>
            </w:r>
          </w:p>
        </w:tc>
        <w:tc>
          <w:tcPr>
            <w:tcW w:type="dxa" w:w="2436"/>
            <w:vAlign w:val="center"/>
          </w:tcPr>
          <w:p>
            <w:r/>
            <w:r>
              <w:rPr>
                <w:rFonts w:ascii="Figtree" w:hAnsi="Figtree"/>
                <w:b w:val="0"/>
                <w:i w:val="0"/>
                <w:sz w:val="22"/>
              </w:rPr>
              <w:t>Agency fee + investment returns</w:t>
            </w:r>
          </w:p>
        </w:tc>
        <w:tc>
          <w:tcPr>
            <w:tcW w:type="dxa" w:w="2436"/>
            <w:vAlign w:val="center"/>
          </w:tcPr>
          <w:p>
            <w:r/>
            <w:r>
              <w:rPr>
                <w:rFonts w:ascii="Figtree" w:hAnsi="Figtree"/>
                <w:b w:val="0"/>
                <w:i w:val="0"/>
                <w:sz w:val="22"/>
              </w:rPr>
              <w:t>Transaction Fee feature + Yield configuration</w:t>
            </w:r>
          </w:p>
        </w:tc>
      </w:tr>
      <w:tr>
        <w:trPr>
          <w:trHeight w:val="454" w:hRule="atLeast"/>
        </w:trPr>
        <w:tc>
          <w:tcPr>
            <w:tcW w:type="dxa" w:w="2436"/>
            <w:vAlign w:val="center"/>
          </w:tcPr>
          <w:p>
            <w:r/>
            <w:r>
              <w:rPr>
                <w:rFonts w:ascii="Figtree" w:hAnsi="Figtree"/>
                <w:b w:val="0"/>
                <w:i w:val="0"/>
                <w:sz w:val="22"/>
              </w:rPr>
              <w:t>Hybrid Sukuk</w:t>
            </w:r>
          </w:p>
        </w:tc>
        <w:tc>
          <w:tcPr>
            <w:tcW w:type="dxa" w:w="2436"/>
            <w:vAlign w:val="center"/>
          </w:tcPr>
          <w:p>
            <w:r/>
            <w:r>
              <w:rPr>
                <w:rFonts w:ascii="Figtree" w:hAnsi="Figtree"/>
                <w:b w:val="0"/>
                <w:i w:val="0"/>
                <w:sz w:val="22"/>
              </w:rPr>
              <w:t>Combined asset classes</w:t>
            </w:r>
          </w:p>
        </w:tc>
        <w:tc>
          <w:tcPr>
            <w:tcW w:type="dxa" w:w="2436"/>
            <w:vAlign w:val="center"/>
          </w:tcPr>
          <w:p>
            <w:r/>
            <w:r>
              <w:rPr>
                <w:rFonts w:ascii="Figtree" w:hAnsi="Figtree"/>
                <w:b w:val="0"/>
                <w:i w:val="0"/>
                <w:sz w:val="22"/>
              </w:rPr>
              <w:t>Blended distribution mechanics</w:t>
            </w:r>
          </w:p>
        </w:tc>
        <w:tc>
          <w:tcPr>
            <w:tcW w:type="dxa" w:w="2436"/>
            <w:vAlign w:val="center"/>
          </w:tcPr>
          <w:p>
            <w:r/>
            <w:r>
              <w:rPr>
                <w:rFonts w:ascii="Figtree" w:hAnsi="Figtree"/>
                <w:b w:val="0"/>
                <w:i w:val="0"/>
                <w:sz w:val="22"/>
              </w:rPr>
              <w:t>Multiple features composed on single DALPAsset</w:t>
            </w:r>
          </w:p>
        </w:tc>
      </w:tr>
    </w:tbl>
    <w:p>
      <w:pPr>
        <w:pStyle w:val="H3"/>
        <w:numPr>
          <w:ilvl w:val="2"/>
          <w:numId w:val="1"/>
        </w:numPr>
      </w:pPr>
      <w:r>
        <w:t>Operating Model Mapping to QNB Workstreams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Workstream</w:t>
            </w:r>
          </w:p>
        </w:tc>
        <w:tc>
          <w:tcPr>
            <w:tcW w:type="dxa" w:w="3249"/>
            <w:vAlign w:val="center"/>
            <w:shd w:fill="000099" w:val="clear"/>
          </w:tcPr>
          <w:p>
            <w:r>
              <w:rPr>
                <w:b/>
                <w:color w:val="FFFFFF"/>
              </w:rPr>
            </w:r>
            <w:r>
              <w:rPr>
                <w:rFonts w:ascii="Figtree" w:hAnsi="Figtree"/>
                <w:b/>
                <w:i w:val="0"/>
                <w:color w:val="FFFFFF"/>
                <w:sz w:val="22"/>
              </w:rPr>
              <w:t>DALP Capability</w:t>
            </w:r>
          </w:p>
        </w:tc>
        <w:tc>
          <w:tcPr>
            <w:tcW w:type="dxa" w:w="3249"/>
            <w:vAlign w:val="center"/>
            <w:shd w:fill="000099" w:val="clear"/>
          </w:tcPr>
          <w:p>
            <w:r>
              <w:rPr>
                <w:b/>
                <w:color w:val="FFFFFF"/>
              </w:rPr>
            </w:r>
            <w:r>
              <w:rPr>
                <w:rFonts w:ascii="Figtree" w:hAnsi="Figtree"/>
                <w:b/>
                <w:i w:val="0"/>
                <w:color w:val="FFFFFF"/>
                <w:sz w:val="22"/>
              </w:rPr>
              <w:t>QNB Responsibility</w:t>
            </w:r>
          </w:p>
        </w:tc>
      </w:tr>
      <w:tr>
        <w:trPr>
          <w:trHeight w:val="454" w:hRule="atLeast"/>
        </w:trPr>
        <w:tc>
          <w:tcPr>
            <w:tcW w:type="dxa" w:w="3249"/>
            <w:vAlign w:val="center"/>
          </w:tcPr>
          <w:p>
            <w:r/>
            <w:r>
              <w:rPr>
                <w:rFonts w:ascii="Figtree" w:hAnsi="Figtree"/>
                <w:b w:val="0"/>
                <w:i w:val="0"/>
                <w:sz w:val="22"/>
              </w:rPr>
              <w:t>WS-01: Mobilisation</w:t>
            </w:r>
          </w:p>
        </w:tc>
        <w:tc>
          <w:tcPr>
            <w:tcW w:type="dxa" w:w="3249"/>
            <w:vAlign w:val="center"/>
          </w:tcPr>
          <w:p>
            <w:r/>
            <w:r>
              <w:rPr>
                <w:rFonts w:ascii="Figtree" w:hAnsi="Figtree"/>
                <w:b w:val="0"/>
                <w:i w:val="0"/>
                <w:sz w:val="22"/>
              </w:rPr>
              <w:t>Environment provisioning, governance framework</w:t>
            </w:r>
          </w:p>
        </w:tc>
        <w:tc>
          <w:tcPr>
            <w:tcW w:type="dxa" w:w="3249"/>
            <w:vAlign w:val="center"/>
          </w:tcPr>
          <w:p>
            <w:r/>
            <w:r>
              <w:rPr>
                <w:rFonts w:ascii="Figtree" w:hAnsi="Figtree"/>
                <w:b w:val="0"/>
                <w:i w:val="0"/>
                <w:sz w:val="22"/>
              </w:rPr>
              <w:t>Steering committee, design authority</w:t>
            </w:r>
          </w:p>
        </w:tc>
      </w:tr>
      <w:tr>
        <w:trPr>
          <w:trHeight w:val="454" w:hRule="atLeast"/>
        </w:trPr>
        <w:tc>
          <w:tcPr>
            <w:tcW w:type="dxa" w:w="3249"/>
            <w:vAlign w:val="center"/>
          </w:tcPr>
          <w:p>
            <w:r/>
            <w:r>
              <w:rPr>
                <w:rFonts w:ascii="Figtree" w:hAnsi="Figtree"/>
                <w:b w:val="0"/>
                <w:i w:val="0"/>
                <w:sz w:val="22"/>
              </w:rPr>
              <w:t>WS-02: Product Configuration</w:t>
            </w:r>
          </w:p>
        </w:tc>
        <w:tc>
          <w:tcPr>
            <w:tcW w:type="dxa" w:w="3249"/>
            <w:vAlign w:val="center"/>
          </w:tcPr>
          <w:p>
            <w:r/>
            <w:r>
              <w:rPr>
                <w:rFonts w:ascii="Figtree" w:hAnsi="Figtree"/>
                <w:b w:val="0"/>
                <w:i w:val="0"/>
                <w:sz w:val="22"/>
              </w:rPr>
              <w:t>Sukuk templates, compliance modules, distribution rules</w:t>
            </w:r>
          </w:p>
        </w:tc>
        <w:tc>
          <w:tcPr>
            <w:tcW w:type="dxa" w:w="3249"/>
            <w:vAlign w:val="center"/>
          </w:tcPr>
          <w:p>
            <w:r/>
            <w:r>
              <w:rPr>
                <w:rFonts w:ascii="Figtree" w:hAnsi="Figtree"/>
                <w:b w:val="0"/>
                <w:i w:val="0"/>
                <w:sz w:val="22"/>
              </w:rPr>
              <w:t>Sharia board certification, product policy</w:t>
            </w:r>
          </w:p>
        </w:tc>
      </w:tr>
      <w:tr>
        <w:trPr>
          <w:trHeight w:val="454" w:hRule="atLeast"/>
        </w:trPr>
        <w:tc>
          <w:tcPr>
            <w:tcW w:type="dxa" w:w="3249"/>
            <w:vAlign w:val="center"/>
          </w:tcPr>
          <w:p>
            <w:r/>
            <w:r>
              <w:rPr>
                <w:rFonts w:ascii="Figtree" w:hAnsi="Figtree"/>
                <w:b w:val="0"/>
                <w:i w:val="0"/>
                <w:sz w:val="22"/>
              </w:rPr>
              <w:t>WS-03: Integration</w:t>
            </w:r>
          </w:p>
        </w:tc>
        <w:tc>
          <w:tcPr>
            <w:tcW w:type="dxa" w:w="3249"/>
            <w:vAlign w:val="center"/>
          </w:tcPr>
          <w:p>
            <w:r/>
            <w:r>
              <w:rPr>
                <w:rFonts w:ascii="Figtree" w:hAnsi="Figtree"/>
                <w:b w:val="0"/>
                <w:i w:val="0"/>
                <w:sz w:val="22"/>
              </w:rPr>
              <w:t>API surface, custody integration, payment rails</w:t>
            </w:r>
          </w:p>
        </w:tc>
        <w:tc>
          <w:tcPr>
            <w:tcW w:type="dxa" w:w="3249"/>
            <w:vAlign w:val="center"/>
          </w:tcPr>
          <w:p>
            <w:r/>
            <w:r>
              <w:rPr>
                <w:rFonts w:ascii="Figtree" w:hAnsi="Figtree"/>
                <w:b w:val="0"/>
                <w:i w:val="0"/>
                <w:sz w:val="22"/>
              </w:rPr>
              <w:t>Core banking readiness, custody provider selection</w:t>
            </w:r>
          </w:p>
        </w:tc>
      </w:tr>
      <w:tr>
        <w:trPr>
          <w:trHeight w:val="454" w:hRule="atLeast"/>
        </w:trPr>
        <w:tc>
          <w:tcPr>
            <w:tcW w:type="dxa" w:w="3249"/>
            <w:vAlign w:val="center"/>
          </w:tcPr>
          <w:p>
            <w:r/>
            <w:r>
              <w:rPr>
                <w:rFonts w:ascii="Figtree" w:hAnsi="Figtree"/>
                <w:b w:val="0"/>
                <w:i w:val="0"/>
                <w:sz w:val="22"/>
              </w:rPr>
              <w:t>WS-04: Testing</w:t>
            </w:r>
          </w:p>
        </w:tc>
        <w:tc>
          <w:tcPr>
            <w:tcW w:type="dxa" w:w="3249"/>
            <w:vAlign w:val="center"/>
          </w:tcPr>
          <w:p>
            <w:r/>
            <w:r>
              <w:rPr>
                <w:rFonts w:ascii="Figtree" w:hAnsi="Figtree"/>
                <w:b w:val="0"/>
                <w:i w:val="0"/>
                <w:sz w:val="22"/>
              </w:rPr>
              <w:t>Platform test environments, security testing</w:t>
            </w:r>
          </w:p>
        </w:tc>
        <w:tc>
          <w:tcPr>
            <w:tcW w:type="dxa" w:w="3249"/>
            <w:vAlign w:val="center"/>
          </w:tcPr>
          <w:p>
            <w:r/>
            <w:r>
              <w:rPr>
                <w:rFonts w:ascii="Figtree" w:hAnsi="Figtree"/>
                <w:b w:val="0"/>
                <w:i w:val="0"/>
                <w:sz w:val="22"/>
              </w:rPr>
              <w:t>UAT execution, business acceptance</w:t>
            </w:r>
          </w:p>
        </w:tc>
      </w:tr>
      <w:tr>
        <w:trPr>
          <w:trHeight w:val="454" w:hRule="atLeast"/>
        </w:trPr>
        <w:tc>
          <w:tcPr>
            <w:tcW w:type="dxa" w:w="3249"/>
            <w:vAlign w:val="center"/>
          </w:tcPr>
          <w:p>
            <w:r/>
            <w:r>
              <w:rPr>
                <w:rFonts w:ascii="Figtree" w:hAnsi="Figtree"/>
                <w:b w:val="0"/>
                <w:i w:val="0"/>
                <w:sz w:val="22"/>
              </w:rPr>
              <w:t>WS-05: Operations</w:t>
            </w:r>
          </w:p>
        </w:tc>
        <w:tc>
          <w:tcPr>
            <w:tcW w:type="dxa" w:w="3249"/>
            <w:vAlign w:val="center"/>
          </w:tcPr>
          <w:p>
            <w:r/>
            <w:r>
              <w:rPr>
                <w:rFonts w:ascii="Figtree" w:hAnsi="Figtree"/>
                <w:b w:val="0"/>
                <w:i w:val="0"/>
                <w:sz w:val="22"/>
              </w:rPr>
              <w:t>Observability, runbooks, SLA framework</w:t>
            </w:r>
          </w:p>
        </w:tc>
        <w:tc>
          <w:tcPr>
            <w:tcW w:type="dxa" w:w="3249"/>
            <w:vAlign w:val="center"/>
          </w:tcPr>
          <w:p>
            <w:r/>
            <w:r>
              <w:rPr>
                <w:rFonts w:ascii="Figtree" w:hAnsi="Figtree"/>
                <w:b w:val="0"/>
                <w:i w:val="0"/>
                <w:sz w:val="22"/>
              </w:rPr>
              <w:t>Service desk staffing, management reporting</w:t>
            </w:r>
          </w:p>
        </w:tc>
      </w:tr>
    </w:tbl>
    <w:p>
      <w:r>
        <w:br w:type="page"/>
      </w:r>
    </w:p>
    <w:p>
      <w:pPr>
        <w:pStyle w:val="H2"/>
        <w:numPr>
          <w:ilvl w:val="1"/>
          <w:numId w:val="1"/>
        </w:numPr>
      </w:pPr>
      <w:r>
        <w:t>Technical Architecture and Integration Boundaries</w:t>
      </w:r>
    </w:p>
    <w:p>
      <w:pPr>
        <w:pStyle w:val="H3"/>
        <w:numPr>
          <w:ilvl w:val="2"/>
          <w:numId w:val="1"/>
        </w:numPr>
      </w:pPr>
      <w:r>
        <w:t>Four-Layer Architecture</w:t>
      </w:r>
    </w:p>
    <w:p>
      <w:r>
        <w:rPr>
          <w:rFonts w:ascii="Figtree" w:hAnsi="Figtree"/>
          <w:b w:val="0"/>
          <w:i w:val="0"/>
          <w:sz w:val="22"/>
        </w:rPr>
        <w:t>DALP operates as a four-layer stack with distinct responsibility boundaries:</w:t>
      </w:r>
    </w:p>
    <w:p>
      <w:pPr>
        <w:jc w:val="center"/>
      </w:pPr>
      <w:r>
        <w:drawing>
          <wp:inline xmlns:a="http://schemas.openxmlformats.org/drawingml/2006/main" xmlns:pic="http://schemas.openxmlformats.org/drawingml/2006/picture">
            <wp:extent cx="5486400" cy="4443704"/>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4443704"/>
                    </a:xfrm>
                    <a:prstGeom prst="rect"/>
                  </pic:spPr>
                </pic:pic>
              </a:graphicData>
            </a:graphic>
          </wp:inline>
        </w:drawing>
      </w:r>
    </w:p>
    <w:p>
      <w:pPr>
        <w:pStyle w:val="H3"/>
        <w:numPr>
          <w:ilvl w:val="2"/>
          <w:numId w:val="1"/>
        </w:numPr>
      </w:pPr>
      <w:r>
        <w:t>Enterprise Integration for QNB</w:t>
      </w:r>
    </w:p>
    <w:p>
      <w:pPr>
        <w:jc w:val="center"/>
      </w:pPr>
      <w:r>
        <w:drawing>
          <wp:inline xmlns:a="http://schemas.openxmlformats.org/drawingml/2006/main" xmlns:pic="http://schemas.openxmlformats.org/drawingml/2006/picture">
            <wp:extent cx="5486400" cy="3687925"/>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3687925"/>
                    </a:xfrm>
                    <a:prstGeom prst="rect"/>
                  </pic:spPr>
                </pic:pic>
              </a:graphicData>
            </a:graphic>
          </wp:inline>
        </w:drawing>
      </w:r>
    </w:p>
    <w:p>
      <w:r>
        <w:br w:type="page"/>
      </w:r>
    </w:p>
    <w:p>
      <w:pPr>
        <w:pStyle w:val="H2"/>
        <w:numPr>
          <w:ilvl w:val="1"/>
          <w:numId w:val="1"/>
        </w:numPr>
      </w:pPr>
      <w:r>
        <w:t>Sukuk-Specific Smart Contract Architecture</w:t>
      </w:r>
    </w:p>
    <w:p>
      <w:pPr>
        <w:pStyle w:val="H3"/>
        <w:numPr>
          <w:ilvl w:val="2"/>
          <w:numId w:val="1"/>
        </w:numPr>
      </w:pPr>
      <w:r>
        <w:t>DALPAsset Sukuk Configuration</w:t>
      </w:r>
    </w:p>
    <w:p>
      <w:r>
        <w:rPr>
          <w:rFonts w:ascii="Figtree" w:hAnsi="Figtree"/>
          <w:b w:val="0"/>
          <w:i w:val="0"/>
          <w:sz w:val="22"/>
        </w:rPr>
        <w:t>Each sukuk issuance is configured as a DALPAsset with the following composition:</w:t>
      </w:r>
    </w:p>
    <w:p>
      <w:r>
        <w:rPr>
          <w:rFonts w:ascii="Figtree" w:hAnsi="Figtree"/>
          <w:b/>
          <w:i w:val="0"/>
          <w:sz w:val="22"/>
        </w:rPr>
        <w:t>Token features (runtime-pluggable):</w:t>
      </w:r>
    </w:p>
    <w:p>
      <w:pPr>
        <w:pStyle w:val="ListParagraph"/>
        <w:numPr>
          <w:ilvl w:val="0"/>
          <w:numId w:val="4"/>
        </w:numPr>
      </w:pPr>
      <w:r>
        <w:rPr>
          <w:rFonts w:ascii="Figtree" w:hAnsi="Figtree"/>
          <w:b w:val="0"/>
          <w:i w:val="0"/>
          <w:sz w:val="22"/>
        </w:rPr>
        <w:t>Fixed Treasury Yield — for periodic distribution calculations</w:t>
      </w:r>
    </w:p>
    <w:p>
      <w:pPr>
        <w:pStyle w:val="ListParagraph"/>
        <w:numPr>
          <w:ilvl w:val="0"/>
          <w:numId w:val="4"/>
        </w:numPr>
      </w:pPr>
      <w:r>
        <w:rPr>
          <w:rFonts w:ascii="Figtree" w:hAnsi="Figtree"/>
          <w:b w:val="0"/>
          <w:i w:val="0"/>
          <w:sz w:val="22"/>
        </w:rPr>
        <w:t>Maturity and Redemption — for dissolution mechanics and principal return</w:t>
      </w:r>
    </w:p>
    <w:p>
      <w:pPr>
        <w:pStyle w:val="ListParagraph"/>
        <w:numPr>
          <w:ilvl w:val="0"/>
          <w:numId w:val="4"/>
        </w:numPr>
      </w:pPr>
      <w:r>
        <w:rPr>
          <w:rFonts w:ascii="Figtree" w:hAnsi="Figtree"/>
          <w:b w:val="0"/>
          <w:i w:val="0"/>
          <w:sz w:val="22"/>
        </w:rPr>
        <w:t>Historical Balances — for audit snapshots at any point in time</w:t>
      </w:r>
    </w:p>
    <w:p>
      <w:pPr>
        <w:pStyle w:val="ListParagraph"/>
        <w:numPr>
          <w:ilvl w:val="0"/>
          <w:numId w:val="4"/>
        </w:numPr>
      </w:pPr>
      <w:r>
        <w:rPr>
          <w:rFonts w:ascii="Figtree" w:hAnsi="Figtree"/>
          <w:b w:val="0"/>
          <w:i w:val="0"/>
          <w:sz w:val="22"/>
        </w:rPr>
        <w:t>Permit — for gasless approval operations</w:t>
      </w:r>
    </w:p>
    <w:p>
      <w:pPr>
        <w:pStyle w:val="ListParagraph"/>
        <w:numPr>
          <w:ilvl w:val="0"/>
          <w:numId w:val="4"/>
        </w:numPr>
      </w:pPr>
      <w:r>
        <w:rPr>
          <w:rFonts w:ascii="Figtree" w:hAnsi="Figtree"/>
          <w:b w:val="0"/>
          <w:i w:val="0"/>
          <w:sz w:val="22"/>
        </w:rPr>
        <w:t>Transaction Fee — for agency fees in Wakalah structures</w:t>
      </w:r>
    </w:p>
    <w:p>
      <w:r>
        <w:rPr>
          <w:rFonts w:ascii="Figtree" w:hAnsi="Figtree"/>
          <w:b/>
          <w:i w:val="0"/>
          <w:sz w:val="22"/>
        </w:rPr>
        <w:t>Compliance modules (fail-closed evaluation):</w:t>
      </w:r>
    </w:p>
    <w:p>
      <w:pPr>
        <w:pStyle w:val="ListParagraph"/>
        <w:numPr>
          <w:ilvl w:val="0"/>
          <w:numId w:val="6"/>
        </w:numPr>
      </w:pPr>
      <w:r>
        <w:rPr>
          <w:rFonts w:ascii="Figtree" w:hAnsi="Figtree"/>
          <w:b w:val="0"/>
          <w:i w:val="0"/>
          <w:sz w:val="22"/>
        </w:rPr>
        <w:t>Identity Verification — verified OnchainID with KYC claims</w:t>
      </w:r>
    </w:p>
    <w:p>
      <w:pPr>
        <w:pStyle w:val="ListParagraph"/>
        <w:numPr>
          <w:ilvl w:val="0"/>
          <w:numId w:val="6"/>
        </w:numPr>
      </w:pPr>
      <w:r>
        <w:rPr>
          <w:rFonts w:ascii="Figtree" w:hAnsi="Figtree"/>
          <w:b w:val="0"/>
          <w:i w:val="0"/>
          <w:sz w:val="22"/>
        </w:rPr>
        <w:t>Country Allow List — Qatar and permitted jurisdictions</w:t>
      </w:r>
    </w:p>
    <w:p>
      <w:pPr>
        <w:pStyle w:val="ListParagraph"/>
        <w:numPr>
          <w:ilvl w:val="0"/>
          <w:numId w:val="6"/>
        </w:numPr>
      </w:pPr>
      <w:r>
        <w:rPr>
          <w:rFonts w:ascii="Figtree" w:hAnsi="Figtree"/>
          <w:b w:val="0"/>
          <w:i w:val="0"/>
          <w:sz w:val="22"/>
        </w:rPr>
        <w:t>Investor Accreditation — qualified investor checks per QFC rules</w:t>
      </w:r>
    </w:p>
    <w:p>
      <w:pPr>
        <w:pStyle w:val="ListParagraph"/>
        <w:numPr>
          <w:ilvl w:val="0"/>
          <w:numId w:val="6"/>
        </w:numPr>
      </w:pPr>
      <w:r>
        <w:rPr>
          <w:rFonts w:ascii="Figtree" w:hAnsi="Figtree"/>
          <w:b w:val="0"/>
          <w:i w:val="0"/>
          <w:sz w:val="22"/>
        </w:rPr>
        <w:t>Transfer Approval — Sharia board and trustee sign-off workflows</w:t>
      </w:r>
    </w:p>
    <w:p>
      <w:pPr>
        <w:pStyle w:val="ListParagraph"/>
        <w:numPr>
          <w:ilvl w:val="0"/>
          <w:numId w:val="6"/>
        </w:numPr>
      </w:pPr>
      <w:r>
        <w:rPr>
          <w:rFonts w:ascii="Figtree" w:hAnsi="Figtree"/>
          <w:b w:val="0"/>
          <w:i w:val="0"/>
          <w:sz w:val="22"/>
        </w:rPr>
        <w:t>Holding Period (Time Lock) — minimum holding enforcement with FIFO tracking</w:t>
      </w:r>
    </w:p>
    <w:p>
      <w:pPr>
        <w:pStyle w:val="ListParagraph"/>
        <w:numPr>
          <w:ilvl w:val="0"/>
          <w:numId w:val="6"/>
        </w:numPr>
      </w:pPr>
      <w:r>
        <w:rPr>
          <w:rFonts w:ascii="Figtree" w:hAnsi="Figtree"/>
          <w:b w:val="0"/>
          <w:i w:val="0"/>
          <w:sz w:val="22"/>
        </w:rPr>
        <w:t>Collateral Requirement — on-chain verification of underlying asset adequacy</w:t>
      </w:r>
    </w:p>
    <w:p>
      <w:pPr>
        <w:pStyle w:val="H3"/>
        <w:numPr>
          <w:ilvl w:val="2"/>
          <w:numId w:val="1"/>
        </w:numPr>
      </w:pPr>
      <w:r>
        <w:t>Sukuk Distribution Flow</w:t>
      </w:r>
    </w:p>
    <w:p>
      <w:pPr>
        <w:jc w:val="center"/>
      </w:pPr>
      <w:r>
        <w:drawing>
          <wp:inline xmlns:a="http://schemas.openxmlformats.org/drawingml/2006/main" xmlns:pic="http://schemas.openxmlformats.org/drawingml/2006/picture">
            <wp:extent cx="5486400" cy="2673220"/>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673220"/>
                    </a:xfrm>
                    <a:prstGeom prst="rect"/>
                  </pic:spPr>
                </pic:pic>
              </a:graphicData>
            </a:graphic>
          </wp:inline>
        </w:drawing>
      </w:r>
    </w:p>
    <w:p>
      <w:r>
        <w:br w:type="page"/>
      </w:r>
    </w:p>
    <w:p>
      <w:pPr>
        <w:pStyle w:val="H2"/>
        <w:numPr>
          <w:ilvl w:val="1"/>
          <w:numId w:val="1"/>
        </w:numPr>
      </w:pPr>
      <w:r>
        <w:t>Identity, Compliance, and Sharia Governance</w:t>
      </w:r>
    </w:p>
    <w:p>
      <w:pPr>
        <w:pStyle w:val="H3"/>
        <w:numPr>
          <w:ilvl w:val="2"/>
          <w:numId w:val="1"/>
        </w:numPr>
      </w:pPr>
      <w:r>
        <w:t>Compliance Engine Configuration for Sukuk</w:t>
      </w:r>
    </w:p>
    <w:p>
      <w:r>
        <w:rPr>
          <w:rFonts w:ascii="Figtree" w:hAnsi="Figtree"/>
          <w:b w:val="0"/>
          <w:i w:val="0"/>
          <w:sz w:val="22"/>
        </w:rPr>
        <w:t>DALP's compliance engine operates in fail-closed mode: every transfer must pass all bound compliance modules. For QNB's sukuk programme:</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Module</w:t>
            </w:r>
          </w:p>
        </w:tc>
        <w:tc>
          <w:tcPr>
            <w:tcW w:type="dxa" w:w="3249"/>
            <w:vAlign w:val="center"/>
            <w:shd w:fill="000099" w:val="clear"/>
          </w:tcPr>
          <w:p>
            <w:r>
              <w:rPr>
                <w:b/>
                <w:color w:val="FFFFFF"/>
              </w:rPr>
            </w:r>
            <w:r>
              <w:rPr>
                <w:rFonts w:ascii="Figtree" w:hAnsi="Figtree"/>
                <w:b/>
                <w:i w:val="0"/>
                <w:color w:val="FFFFFF"/>
                <w:sz w:val="22"/>
              </w:rPr>
              <w:t>Purpose</w:t>
            </w:r>
          </w:p>
        </w:tc>
        <w:tc>
          <w:tcPr>
            <w:tcW w:type="dxa" w:w="3249"/>
            <w:vAlign w:val="center"/>
            <w:shd w:fill="000099" w:val="clear"/>
          </w:tcPr>
          <w:p>
            <w:r>
              <w:rPr>
                <w:b/>
                <w:color w:val="FFFFFF"/>
              </w:rPr>
            </w:r>
            <w:r>
              <w:rPr>
                <w:rFonts w:ascii="Figtree" w:hAnsi="Figtree"/>
                <w:b/>
                <w:i w:val="0"/>
                <w:color w:val="FFFFFF"/>
                <w:sz w:val="22"/>
              </w:rPr>
              <w:t>Configuration</w:t>
            </w:r>
          </w:p>
        </w:tc>
      </w:tr>
      <w:tr>
        <w:trPr>
          <w:trHeight w:val="454" w:hRule="atLeast"/>
        </w:trPr>
        <w:tc>
          <w:tcPr>
            <w:tcW w:type="dxa" w:w="3249"/>
            <w:vAlign w:val="center"/>
          </w:tcPr>
          <w:p>
            <w:r/>
            <w:r>
              <w:rPr>
                <w:rFonts w:ascii="Figtree" w:hAnsi="Figtree"/>
                <w:b w:val="0"/>
                <w:i w:val="0"/>
                <w:sz w:val="22"/>
              </w:rPr>
              <w:t>Identity Verification</w:t>
            </w:r>
          </w:p>
        </w:tc>
        <w:tc>
          <w:tcPr>
            <w:tcW w:type="dxa" w:w="3249"/>
            <w:vAlign w:val="center"/>
          </w:tcPr>
          <w:p>
            <w:r/>
            <w:r>
              <w:rPr>
                <w:rFonts w:ascii="Figtree" w:hAnsi="Figtree"/>
                <w:b w:val="0"/>
                <w:i w:val="0"/>
                <w:sz w:val="22"/>
              </w:rPr>
              <w:t>KYC/AML verified OnchainID</w:t>
            </w:r>
          </w:p>
        </w:tc>
        <w:tc>
          <w:tcPr>
            <w:tcW w:type="dxa" w:w="3249"/>
            <w:vAlign w:val="center"/>
          </w:tcPr>
          <w:p>
            <w:r/>
            <w:r>
              <w:rPr>
                <w:rFonts w:ascii="Figtree" w:hAnsi="Figtree"/>
                <w:b w:val="0"/>
                <w:i w:val="0"/>
                <w:sz w:val="22"/>
              </w:rPr>
              <w:t>Required for all certificate holders</w:t>
            </w:r>
          </w:p>
        </w:tc>
      </w:tr>
      <w:tr>
        <w:trPr>
          <w:trHeight w:val="454" w:hRule="atLeast"/>
        </w:trPr>
        <w:tc>
          <w:tcPr>
            <w:tcW w:type="dxa" w:w="3249"/>
            <w:vAlign w:val="center"/>
          </w:tcPr>
          <w:p>
            <w:r/>
            <w:r>
              <w:rPr>
                <w:rFonts w:ascii="Figtree" w:hAnsi="Figtree"/>
                <w:b w:val="0"/>
                <w:i w:val="0"/>
                <w:sz w:val="22"/>
              </w:rPr>
              <w:t>Country Allow List</w:t>
            </w:r>
          </w:p>
        </w:tc>
        <w:tc>
          <w:tcPr>
            <w:tcW w:type="dxa" w:w="3249"/>
            <w:vAlign w:val="center"/>
          </w:tcPr>
          <w:p>
            <w:r/>
            <w:r>
              <w:rPr>
                <w:rFonts w:ascii="Figtree" w:hAnsi="Figtree"/>
                <w:b w:val="0"/>
                <w:i w:val="0"/>
                <w:sz w:val="22"/>
              </w:rPr>
              <w:t>Jurisdiction restrictions</w:t>
            </w:r>
          </w:p>
        </w:tc>
        <w:tc>
          <w:tcPr>
            <w:tcW w:type="dxa" w:w="3249"/>
            <w:vAlign w:val="center"/>
          </w:tcPr>
          <w:p>
            <w:r/>
            <w:r>
              <w:rPr>
                <w:rFonts w:ascii="Figtree" w:hAnsi="Figtree"/>
                <w:b w:val="0"/>
                <w:i w:val="0"/>
                <w:sz w:val="22"/>
              </w:rPr>
              <w:t>Qatar + approved jurisdictions</w:t>
            </w:r>
          </w:p>
        </w:tc>
      </w:tr>
      <w:tr>
        <w:trPr>
          <w:trHeight w:val="454" w:hRule="atLeast"/>
        </w:trPr>
        <w:tc>
          <w:tcPr>
            <w:tcW w:type="dxa" w:w="3249"/>
            <w:vAlign w:val="center"/>
          </w:tcPr>
          <w:p>
            <w:r/>
            <w:r>
              <w:rPr>
                <w:rFonts w:ascii="Figtree" w:hAnsi="Figtree"/>
                <w:b w:val="0"/>
                <w:i w:val="0"/>
                <w:sz w:val="22"/>
              </w:rPr>
              <w:t>Investor Accreditation</w:t>
            </w:r>
          </w:p>
        </w:tc>
        <w:tc>
          <w:tcPr>
            <w:tcW w:type="dxa" w:w="3249"/>
            <w:vAlign w:val="center"/>
          </w:tcPr>
          <w:p>
            <w:r/>
            <w:r>
              <w:rPr>
                <w:rFonts w:ascii="Figtree" w:hAnsi="Figtree"/>
                <w:b w:val="0"/>
                <w:i w:val="0"/>
                <w:sz w:val="22"/>
              </w:rPr>
              <w:t>Qualified investor checks</w:t>
            </w:r>
          </w:p>
        </w:tc>
        <w:tc>
          <w:tcPr>
            <w:tcW w:type="dxa" w:w="3249"/>
            <w:vAlign w:val="center"/>
          </w:tcPr>
          <w:p>
            <w:r/>
            <w:r>
              <w:rPr>
                <w:rFonts w:ascii="Figtree" w:hAnsi="Figtree"/>
                <w:b w:val="0"/>
                <w:i w:val="0"/>
                <w:sz w:val="22"/>
              </w:rPr>
              <w:t>Per QFC Authority requirements</w:t>
            </w:r>
          </w:p>
        </w:tc>
      </w:tr>
      <w:tr>
        <w:trPr>
          <w:trHeight w:val="454" w:hRule="atLeast"/>
        </w:trPr>
        <w:tc>
          <w:tcPr>
            <w:tcW w:type="dxa" w:w="3249"/>
            <w:vAlign w:val="center"/>
          </w:tcPr>
          <w:p>
            <w:r/>
            <w:r>
              <w:rPr>
                <w:rFonts w:ascii="Figtree" w:hAnsi="Figtree"/>
                <w:b w:val="0"/>
                <w:i w:val="0"/>
                <w:sz w:val="22"/>
              </w:rPr>
              <w:t>Transfer Approval</w:t>
            </w:r>
          </w:p>
        </w:tc>
        <w:tc>
          <w:tcPr>
            <w:tcW w:type="dxa" w:w="3249"/>
            <w:vAlign w:val="center"/>
          </w:tcPr>
          <w:p>
            <w:r/>
            <w:r>
              <w:rPr>
                <w:rFonts w:ascii="Figtree" w:hAnsi="Figtree"/>
                <w:b w:val="0"/>
                <w:i w:val="0"/>
                <w:sz w:val="22"/>
              </w:rPr>
              <w:t>Multi-party governance</w:t>
            </w:r>
          </w:p>
        </w:tc>
        <w:tc>
          <w:tcPr>
            <w:tcW w:type="dxa" w:w="3249"/>
            <w:vAlign w:val="center"/>
          </w:tcPr>
          <w:p>
            <w:r/>
            <w:r>
              <w:rPr>
                <w:rFonts w:ascii="Figtree" w:hAnsi="Figtree"/>
                <w:b w:val="0"/>
                <w:i w:val="0"/>
                <w:sz w:val="22"/>
              </w:rPr>
              <w:t>Sharia board + trustee approval for secondary transfers</w:t>
            </w:r>
          </w:p>
        </w:tc>
      </w:tr>
      <w:tr>
        <w:trPr>
          <w:trHeight w:val="454" w:hRule="atLeast"/>
        </w:trPr>
        <w:tc>
          <w:tcPr>
            <w:tcW w:type="dxa" w:w="3249"/>
            <w:vAlign w:val="center"/>
          </w:tcPr>
          <w:p>
            <w:r/>
            <w:r>
              <w:rPr>
                <w:rFonts w:ascii="Figtree" w:hAnsi="Figtree"/>
                <w:b w:val="0"/>
                <w:i w:val="0"/>
                <w:sz w:val="22"/>
              </w:rPr>
              <w:t>Time Lock</w:t>
            </w:r>
          </w:p>
        </w:tc>
        <w:tc>
          <w:tcPr>
            <w:tcW w:type="dxa" w:w="3249"/>
            <w:vAlign w:val="center"/>
          </w:tcPr>
          <w:p>
            <w:r/>
            <w:r>
              <w:rPr>
                <w:rFonts w:ascii="Figtree" w:hAnsi="Figtree"/>
                <w:b w:val="0"/>
                <w:i w:val="0"/>
                <w:sz w:val="22"/>
              </w:rPr>
              <w:t>Minimum holding period</w:t>
            </w:r>
          </w:p>
        </w:tc>
        <w:tc>
          <w:tcPr>
            <w:tcW w:type="dxa" w:w="3249"/>
            <w:vAlign w:val="center"/>
          </w:tcPr>
          <w:p>
            <w:r/>
            <w:r>
              <w:rPr>
                <w:rFonts w:ascii="Figtree" w:hAnsi="Figtree"/>
                <w:b w:val="0"/>
                <w:i w:val="0"/>
                <w:sz w:val="22"/>
              </w:rPr>
              <w:t>AAOIFI-guided holding periods per sukuk type</w:t>
            </w:r>
          </w:p>
        </w:tc>
      </w:tr>
      <w:tr>
        <w:trPr>
          <w:trHeight w:val="454" w:hRule="atLeast"/>
        </w:trPr>
        <w:tc>
          <w:tcPr>
            <w:tcW w:type="dxa" w:w="3249"/>
            <w:vAlign w:val="center"/>
          </w:tcPr>
          <w:p>
            <w:r/>
            <w:r>
              <w:rPr>
                <w:rFonts w:ascii="Figtree" w:hAnsi="Figtree"/>
                <w:b w:val="0"/>
                <w:i w:val="0"/>
                <w:sz w:val="22"/>
              </w:rPr>
              <w:t>Collateral Requirement</w:t>
            </w:r>
          </w:p>
        </w:tc>
        <w:tc>
          <w:tcPr>
            <w:tcW w:type="dxa" w:w="3249"/>
            <w:vAlign w:val="center"/>
          </w:tcPr>
          <w:p>
            <w:r/>
            <w:r>
              <w:rPr>
                <w:rFonts w:ascii="Figtree" w:hAnsi="Figtree"/>
                <w:b w:val="0"/>
                <w:i w:val="0"/>
                <w:sz w:val="22"/>
              </w:rPr>
              <w:t>Asset-backing verification</w:t>
            </w:r>
          </w:p>
        </w:tc>
        <w:tc>
          <w:tcPr>
            <w:tcW w:type="dxa" w:w="3249"/>
            <w:vAlign w:val="center"/>
          </w:tcPr>
          <w:p>
            <w:r/>
            <w:r>
              <w:rPr>
                <w:rFonts w:ascii="Figtree" w:hAnsi="Figtree"/>
                <w:b w:val="0"/>
                <w:i w:val="0"/>
                <w:sz w:val="22"/>
              </w:rPr>
              <w:t>On-chain proof of underlying asset adequacy</w:t>
            </w:r>
          </w:p>
        </w:tc>
      </w:tr>
    </w:tbl>
    <w:p>
      <w:pPr>
        <w:pStyle w:val="H3"/>
        <w:numPr>
          <w:ilvl w:val="2"/>
          <w:numId w:val="1"/>
        </w:numPr>
      </w:pPr>
      <w:r>
        <w:t>Role-Based Access Control</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Role</w:t>
            </w:r>
          </w:p>
        </w:tc>
        <w:tc>
          <w:tcPr>
            <w:tcW w:type="dxa" w:w="3249"/>
            <w:vAlign w:val="center"/>
            <w:shd w:fill="000099" w:val="clear"/>
          </w:tcPr>
          <w:p>
            <w:r>
              <w:rPr>
                <w:b/>
                <w:color w:val="FFFFFF"/>
              </w:rPr>
            </w:r>
            <w:r>
              <w:rPr>
                <w:rFonts w:ascii="Figtree" w:hAnsi="Figtree"/>
                <w:b/>
                <w:i w:val="0"/>
                <w:color w:val="FFFFFF"/>
                <w:sz w:val="22"/>
              </w:rPr>
              <w:t>Scope</w:t>
            </w:r>
          </w:p>
        </w:tc>
        <w:tc>
          <w:tcPr>
            <w:tcW w:type="dxa" w:w="3249"/>
            <w:vAlign w:val="center"/>
            <w:shd w:fill="000099" w:val="clear"/>
          </w:tcPr>
          <w:p>
            <w:r>
              <w:rPr>
                <w:b/>
                <w:color w:val="FFFFFF"/>
              </w:rPr>
            </w:r>
            <w:r>
              <w:rPr>
                <w:rFonts w:ascii="Figtree" w:hAnsi="Figtree"/>
                <w:b/>
                <w:i w:val="0"/>
                <w:color w:val="FFFFFF"/>
                <w:sz w:val="22"/>
              </w:rPr>
              <w:t>Maker-Checker</w:t>
            </w:r>
          </w:p>
        </w:tc>
      </w:tr>
      <w:tr>
        <w:trPr>
          <w:trHeight w:val="454" w:hRule="atLeast"/>
        </w:trPr>
        <w:tc>
          <w:tcPr>
            <w:tcW w:type="dxa" w:w="3249"/>
            <w:vAlign w:val="center"/>
          </w:tcPr>
          <w:p>
            <w:r/>
            <w:r>
              <w:rPr>
                <w:rFonts w:ascii="Figtree" w:hAnsi="Figtree"/>
                <w:b w:val="0"/>
                <w:i w:val="0"/>
                <w:sz w:val="22"/>
              </w:rPr>
              <w:t>Sukuk Structurer</w:t>
            </w:r>
          </w:p>
        </w:tc>
        <w:tc>
          <w:tcPr>
            <w:tcW w:type="dxa" w:w="3249"/>
            <w:vAlign w:val="center"/>
          </w:tcPr>
          <w:p>
            <w:r/>
            <w:r>
              <w:rPr>
                <w:rFonts w:ascii="Figtree" w:hAnsi="Figtree"/>
                <w:b w:val="0"/>
                <w:i w:val="0"/>
                <w:sz w:val="22"/>
              </w:rPr>
              <w:t>Product design, parameter configuration</w:t>
            </w:r>
          </w:p>
        </w:tc>
        <w:tc>
          <w:tcPr>
            <w:tcW w:type="dxa" w:w="3249"/>
            <w:vAlign w:val="center"/>
          </w:tcPr>
          <w:p>
            <w:r/>
            <w:r>
              <w:rPr>
                <w:rFonts w:ascii="Figtree" w:hAnsi="Figtree"/>
                <w:b w:val="0"/>
                <w:i w:val="0"/>
                <w:sz w:val="22"/>
              </w:rPr>
              <w:t>Creates structure → Sharia board approval required</w:t>
            </w:r>
          </w:p>
        </w:tc>
      </w:tr>
      <w:tr>
        <w:trPr>
          <w:trHeight w:val="454" w:hRule="atLeast"/>
        </w:trPr>
        <w:tc>
          <w:tcPr>
            <w:tcW w:type="dxa" w:w="3249"/>
            <w:vAlign w:val="center"/>
          </w:tcPr>
          <w:p>
            <w:r/>
            <w:r>
              <w:rPr>
                <w:rFonts w:ascii="Figtree" w:hAnsi="Figtree"/>
                <w:b w:val="0"/>
                <w:i w:val="0"/>
                <w:sz w:val="22"/>
              </w:rPr>
              <w:t>Compliance Officer</w:t>
            </w:r>
          </w:p>
        </w:tc>
        <w:tc>
          <w:tcPr>
            <w:tcW w:type="dxa" w:w="3249"/>
            <w:vAlign w:val="center"/>
          </w:tcPr>
          <w:p>
            <w:r/>
            <w:r>
              <w:rPr>
                <w:rFonts w:ascii="Figtree" w:hAnsi="Figtree"/>
                <w:b w:val="0"/>
                <w:i w:val="0"/>
                <w:sz w:val="22"/>
              </w:rPr>
              <w:t>Compliance module management</w:t>
            </w:r>
          </w:p>
        </w:tc>
        <w:tc>
          <w:tcPr>
            <w:tcW w:type="dxa" w:w="3249"/>
            <w:vAlign w:val="center"/>
          </w:tcPr>
          <w:p>
            <w:r/>
            <w:r>
              <w:rPr>
                <w:rFonts w:ascii="Figtree" w:hAnsi="Figtree"/>
                <w:b w:val="0"/>
                <w:i w:val="0"/>
                <w:sz w:val="22"/>
              </w:rPr>
              <w:t>Configures rules → Head of Compliance approval</w:t>
            </w:r>
          </w:p>
        </w:tc>
      </w:tr>
      <w:tr>
        <w:trPr>
          <w:trHeight w:val="454" w:hRule="atLeast"/>
        </w:trPr>
        <w:tc>
          <w:tcPr>
            <w:tcW w:type="dxa" w:w="3249"/>
            <w:vAlign w:val="center"/>
          </w:tcPr>
          <w:p>
            <w:r/>
            <w:r>
              <w:rPr>
                <w:rFonts w:ascii="Figtree" w:hAnsi="Figtree"/>
                <w:b w:val="0"/>
                <w:i w:val="0"/>
                <w:sz w:val="22"/>
              </w:rPr>
              <w:t>Trustee</w:t>
            </w:r>
          </w:p>
        </w:tc>
        <w:tc>
          <w:tcPr>
            <w:tcW w:type="dxa" w:w="3249"/>
            <w:vAlign w:val="center"/>
          </w:tcPr>
          <w:p>
            <w:r/>
            <w:r>
              <w:rPr>
                <w:rFonts w:ascii="Figtree" w:hAnsi="Figtree"/>
                <w:b w:val="0"/>
                <w:i w:val="0"/>
                <w:sz w:val="22"/>
              </w:rPr>
              <w:t>Asset custody oversight, distribution approval</w:t>
            </w:r>
          </w:p>
        </w:tc>
        <w:tc>
          <w:tcPr>
            <w:tcW w:type="dxa" w:w="3249"/>
            <w:vAlign w:val="center"/>
          </w:tcPr>
          <w:p>
            <w:r/>
            <w:r>
              <w:rPr>
                <w:rFonts w:ascii="Figtree" w:hAnsi="Figtree"/>
                <w:b w:val="0"/>
                <w:i w:val="0"/>
                <w:sz w:val="22"/>
              </w:rPr>
              <w:t>Reviews → recorded on-chain</w:t>
            </w:r>
          </w:p>
        </w:tc>
      </w:tr>
      <w:tr>
        <w:trPr>
          <w:trHeight w:val="454" w:hRule="atLeast"/>
        </w:trPr>
        <w:tc>
          <w:tcPr>
            <w:tcW w:type="dxa" w:w="3249"/>
            <w:vAlign w:val="center"/>
          </w:tcPr>
          <w:p>
            <w:r/>
            <w:r>
              <w:rPr>
                <w:rFonts w:ascii="Figtree" w:hAnsi="Figtree"/>
                <w:b w:val="0"/>
                <w:i w:val="0"/>
                <w:sz w:val="22"/>
              </w:rPr>
              <w:t>Sharia Board Rep</w:t>
            </w:r>
          </w:p>
        </w:tc>
        <w:tc>
          <w:tcPr>
            <w:tcW w:type="dxa" w:w="3249"/>
            <w:vAlign w:val="center"/>
          </w:tcPr>
          <w:p>
            <w:r/>
            <w:r>
              <w:rPr>
                <w:rFonts w:ascii="Figtree" w:hAnsi="Figtree"/>
                <w:b w:val="0"/>
                <w:i w:val="0"/>
                <w:sz w:val="22"/>
              </w:rPr>
              <w:t>Product certification, structure approval</w:t>
            </w:r>
          </w:p>
        </w:tc>
        <w:tc>
          <w:tcPr>
            <w:tcW w:type="dxa" w:w="3249"/>
            <w:vAlign w:val="center"/>
          </w:tcPr>
          <w:p>
            <w:r/>
            <w:r>
              <w:rPr>
                <w:rFonts w:ascii="Figtree" w:hAnsi="Figtree"/>
                <w:b w:val="0"/>
                <w:i w:val="0"/>
                <w:sz w:val="22"/>
              </w:rPr>
              <w:t>Certifies → immutable on-chain record</w:t>
            </w:r>
          </w:p>
        </w:tc>
      </w:tr>
      <w:tr>
        <w:trPr>
          <w:trHeight w:val="454" w:hRule="atLeast"/>
        </w:trPr>
        <w:tc>
          <w:tcPr>
            <w:tcW w:type="dxa" w:w="3249"/>
            <w:vAlign w:val="center"/>
          </w:tcPr>
          <w:p>
            <w:r/>
            <w:r>
              <w:rPr>
                <w:rFonts w:ascii="Figtree" w:hAnsi="Figtree"/>
                <w:b w:val="0"/>
                <w:i w:val="0"/>
                <w:sz w:val="22"/>
              </w:rPr>
              <w:t>Treasury Manager</w:t>
            </w:r>
          </w:p>
        </w:tc>
        <w:tc>
          <w:tcPr>
            <w:tcW w:type="dxa" w:w="3249"/>
            <w:vAlign w:val="center"/>
          </w:tcPr>
          <w:p>
            <w:r/>
            <w:r>
              <w:rPr>
                <w:rFonts w:ascii="Figtree" w:hAnsi="Figtree"/>
                <w:b w:val="0"/>
                <w:i w:val="0"/>
                <w:sz w:val="22"/>
              </w:rPr>
              <w:t>Settlement authorization</w:t>
            </w:r>
          </w:p>
        </w:tc>
        <w:tc>
          <w:tcPr>
            <w:tcW w:type="dxa" w:w="3249"/>
            <w:vAlign w:val="center"/>
          </w:tcPr>
          <w:p>
            <w:r/>
            <w:r>
              <w:rPr>
                <w:rFonts w:ascii="Figtree" w:hAnsi="Figtree"/>
                <w:b w:val="0"/>
                <w:i w:val="0"/>
                <w:sz w:val="22"/>
              </w:rPr>
              <w:t>Approves → dual authorization required</w:t>
            </w:r>
          </w:p>
        </w:tc>
      </w:tr>
      <w:tr>
        <w:trPr>
          <w:trHeight w:val="454" w:hRule="atLeast"/>
        </w:trPr>
        <w:tc>
          <w:tcPr>
            <w:tcW w:type="dxa" w:w="3249"/>
            <w:vAlign w:val="center"/>
          </w:tcPr>
          <w:p>
            <w:r/>
            <w:r>
              <w:rPr>
                <w:rFonts w:ascii="Figtree" w:hAnsi="Figtree"/>
                <w:b w:val="0"/>
                <w:i w:val="0"/>
                <w:sz w:val="22"/>
              </w:rPr>
              <w:t>Auditor</w:t>
            </w:r>
          </w:p>
        </w:tc>
        <w:tc>
          <w:tcPr>
            <w:tcW w:type="dxa" w:w="3249"/>
            <w:vAlign w:val="center"/>
          </w:tcPr>
          <w:p>
            <w:r/>
            <w:r>
              <w:rPr>
                <w:rFonts w:ascii="Figtree" w:hAnsi="Figtree"/>
                <w:b w:val="0"/>
                <w:i w:val="0"/>
                <w:sz w:val="22"/>
              </w:rPr>
              <w:t>Full read-only access</w:t>
            </w:r>
          </w:p>
        </w:tc>
        <w:tc>
          <w:tcPr>
            <w:tcW w:type="dxa" w:w="3249"/>
            <w:vAlign w:val="center"/>
          </w:tcPr>
          <w:p>
            <w:r/>
            <w:r>
              <w:rPr>
                <w:rFonts w:ascii="Figtree" w:hAnsi="Figtree"/>
                <w:b w:val="0"/>
                <w:i w:val="0"/>
                <w:sz w:val="22"/>
              </w:rPr>
              <w:t>No write access; complete visibility</w:t>
            </w:r>
          </w:p>
        </w:tc>
      </w:tr>
    </w:tbl>
    <w:p>
      <w:r>
        <w:br w:type="page"/>
      </w:r>
    </w:p>
    <w:p>
      <w:pPr>
        <w:pStyle w:val="H2"/>
        <w:numPr>
          <w:ilvl w:val="1"/>
          <w:numId w:val="1"/>
        </w:numPr>
      </w:pPr>
      <w:r>
        <w:t>Settlement, Distribution, and Lifecycle Management</w:t>
      </w:r>
    </w:p>
    <w:p>
      <w:pPr>
        <w:pStyle w:val="H3"/>
        <w:numPr>
          <w:ilvl w:val="2"/>
          <w:numId w:val="1"/>
        </w:numPr>
      </w:pPr>
      <w:r>
        <w:t>Atomic DvP Settlement</w:t>
      </w:r>
    </w:p>
    <w:p>
      <w:r>
        <w:rPr>
          <w:rFonts w:ascii="Figtree" w:hAnsi="Figtree"/>
          <w:b w:val="0"/>
          <w:i w:val="0"/>
          <w:sz w:val="22"/>
        </w:rPr>
        <w:t>DALP supports atomic Delivery versus Payment through the XvP Settlement addon. For sukuk primary issuance and secondary market transfers, this ensures that certificate delivery and payment occur simultaneously or not at all, eliminating settlement risk.</w:t>
      </w:r>
    </w:p>
    <w:p>
      <w:pPr>
        <w:pStyle w:val="H3"/>
        <w:numPr>
          <w:ilvl w:val="2"/>
          <w:numId w:val="1"/>
        </w:numPr>
      </w:pPr>
      <w:r>
        <w:t>Distribution Types</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Distribution</w:t>
            </w:r>
          </w:p>
        </w:tc>
        <w:tc>
          <w:tcPr>
            <w:tcW w:type="dxa" w:w="2436"/>
            <w:vAlign w:val="center"/>
            <w:shd w:fill="000099" w:val="clear"/>
          </w:tcPr>
          <w:p>
            <w:r>
              <w:rPr>
                <w:b/>
                <w:color w:val="FFFFFF"/>
              </w:rPr>
            </w:r>
            <w:r>
              <w:rPr>
                <w:rFonts w:ascii="Figtree" w:hAnsi="Figtree"/>
                <w:b/>
                <w:i w:val="0"/>
                <w:color w:val="FFFFFF"/>
                <w:sz w:val="22"/>
              </w:rPr>
              <w:t>Calculation</w:t>
            </w:r>
          </w:p>
        </w:tc>
        <w:tc>
          <w:tcPr>
            <w:tcW w:type="dxa" w:w="2436"/>
            <w:vAlign w:val="center"/>
            <w:shd w:fill="000099" w:val="clear"/>
          </w:tcPr>
          <w:p>
            <w:r>
              <w:rPr>
                <w:b/>
                <w:color w:val="FFFFFF"/>
              </w:rPr>
            </w:r>
            <w:r>
              <w:rPr>
                <w:rFonts w:ascii="Figtree" w:hAnsi="Figtree"/>
                <w:b/>
                <w:i w:val="0"/>
                <w:color w:val="FFFFFF"/>
                <w:sz w:val="22"/>
              </w:rPr>
              <w:t>Frequency</w:t>
            </w:r>
          </w:p>
        </w:tc>
        <w:tc>
          <w:tcPr>
            <w:tcW w:type="dxa" w:w="2436"/>
            <w:vAlign w:val="center"/>
            <w:shd w:fill="000099" w:val="clear"/>
          </w:tcPr>
          <w:p>
            <w:r>
              <w:rPr>
                <w:b/>
                <w:color w:val="FFFFFF"/>
              </w:rPr>
            </w:r>
            <w:r>
              <w:rPr>
                <w:rFonts w:ascii="Figtree" w:hAnsi="Figtree"/>
                <w:b/>
                <w:i w:val="0"/>
                <w:color w:val="FFFFFF"/>
                <w:sz w:val="22"/>
              </w:rPr>
              <w:t>DALP Feature</w:t>
            </w:r>
          </w:p>
        </w:tc>
      </w:tr>
      <w:tr>
        <w:trPr>
          <w:trHeight w:val="454" w:hRule="atLeast"/>
        </w:trPr>
        <w:tc>
          <w:tcPr>
            <w:tcW w:type="dxa" w:w="2436"/>
            <w:vAlign w:val="center"/>
          </w:tcPr>
          <w:p>
            <w:r/>
            <w:r>
              <w:rPr>
                <w:rFonts w:ascii="Figtree" w:hAnsi="Figtree"/>
                <w:b w:val="0"/>
                <w:i w:val="0"/>
                <w:sz w:val="22"/>
              </w:rPr>
              <w:t>Ijarah rental</w:t>
            </w:r>
          </w:p>
        </w:tc>
        <w:tc>
          <w:tcPr>
            <w:tcW w:type="dxa" w:w="2436"/>
            <w:vAlign w:val="center"/>
          </w:tcPr>
          <w:p>
            <w:r/>
            <w:r>
              <w:rPr>
                <w:rFonts w:ascii="Figtree" w:hAnsi="Figtree"/>
                <w:b w:val="0"/>
                <w:i w:val="0"/>
                <w:sz w:val="22"/>
              </w:rPr>
              <w:t>Fixed rental amount per certificate</w:t>
            </w:r>
          </w:p>
        </w:tc>
        <w:tc>
          <w:tcPr>
            <w:tcW w:type="dxa" w:w="2436"/>
            <w:vAlign w:val="center"/>
          </w:tcPr>
          <w:p>
            <w:r/>
            <w:r>
              <w:rPr>
                <w:rFonts w:ascii="Figtree" w:hAnsi="Figtree"/>
                <w:b w:val="0"/>
                <w:i w:val="0"/>
                <w:sz w:val="22"/>
              </w:rPr>
              <w:t>Monthly/quarterly</w:t>
            </w:r>
          </w:p>
        </w:tc>
        <w:tc>
          <w:tcPr>
            <w:tcW w:type="dxa" w:w="2436"/>
            <w:vAlign w:val="center"/>
          </w:tcPr>
          <w:p>
            <w:r/>
            <w:r>
              <w:rPr>
                <w:rFonts w:ascii="Figtree" w:hAnsi="Figtree"/>
                <w:b w:val="0"/>
                <w:i w:val="0"/>
                <w:sz w:val="22"/>
              </w:rPr>
              <w:t>Fixed Treasury Yield</w:t>
            </w:r>
          </w:p>
        </w:tc>
      </w:tr>
      <w:tr>
        <w:trPr>
          <w:trHeight w:val="454" w:hRule="atLeast"/>
        </w:trPr>
        <w:tc>
          <w:tcPr>
            <w:tcW w:type="dxa" w:w="2436"/>
            <w:vAlign w:val="center"/>
          </w:tcPr>
          <w:p>
            <w:r/>
            <w:r>
              <w:rPr>
                <w:rFonts w:ascii="Figtree" w:hAnsi="Figtree"/>
                <w:b w:val="0"/>
                <w:i w:val="0"/>
                <w:sz w:val="22"/>
              </w:rPr>
              <w:t>Mudarabah profit</w:t>
            </w:r>
          </w:p>
        </w:tc>
        <w:tc>
          <w:tcPr>
            <w:tcW w:type="dxa" w:w="2436"/>
            <w:vAlign w:val="center"/>
          </w:tcPr>
          <w:p>
            <w:r/>
            <w:r>
              <w:rPr>
                <w:rFonts w:ascii="Figtree" w:hAnsi="Figtree"/>
                <w:b w:val="0"/>
                <w:i w:val="0"/>
                <w:sz w:val="22"/>
              </w:rPr>
              <w:t>Pool performance × agreed ratio</w:t>
            </w:r>
          </w:p>
        </w:tc>
        <w:tc>
          <w:tcPr>
            <w:tcW w:type="dxa" w:w="2436"/>
            <w:vAlign w:val="center"/>
          </w:tcPr>
          <w:p>
            <w:r/>
            <w:r>
              <w:rPr>
                <w:rFonts w:ascii="Figtree" w:hAnsi="Figtree"/>
                <w:b w:val="0"/>
                <w:i w:val="0"/>
                <w:sz w:val="22"/>
              </w:rPr>
              <w:t>Quarterly/semi-annual</w:t>
            </w:r>
          </w:p>
        </w:tc>
        <w:tc>
          <w:tcPr>
            <w:tcW w:type="dxa" w:w="2436"/>
            <w:vAlign w:val="center"/>
          </w:tcPr>
          <w:p>
            <w:r/>
            <w:r>
              <w:rPr>
                <w:rFonts w:ascii="Figtree" w:hAnsi="Figtree"/>
                <w:b w:val="0"/>
                <w:i w:val="0"/>
                <w:sz w:val="22"/>
              </w:rPr>
              <w:t>Yield addon with configurable ratio</w:t>
            </w:r>
          </w:p>
        </w:tc>
      </w:tr>
      <w:tr>
        <w:trPr>
          <w:trHeight w:val="454" w:hRule="atLeast"/>
        </w:trPr>
        <w:tc>
          <w:tcPr>
            <w:tcW w:type="dxa" w:w="2436"/>
            <w:vAlign w:val="center"/>
          </w:tcPr>
          <w:p>
            <w:r/>
            <w:r>
              <w:rPr>
                <w:rFonts w:ascii="Figtree" w:hAnsi="Figtree"/>
                <w:b w:val="0"/>
                <w:i w:val="0"/>
                <w:sz w:val="22"/>
              </w:rPr>
              <w:t>Murabaha markup</w:t>
            </w:r>
          </w:p>
        </w:tc>
        <w:tc>
          <w:tcPr>
            <w:tcW w:type="dxa" w:w="2436"/>
            <w:vAlign w:val="center"/>
          </w:tcPr>
          <w:p>
            <w:r/>
            <w:r>
              <w:rPr>
                <w:rFonts w:ascii="Figtree" w:hAnsi="Figtree"/>
                <w:b w:val="0"/>
                <w:i w:val="0"/>
                <w:sz w:val="22"/>
              </w:rPr>
              <w:t>Scheduled payment amounts</w:t>
            </w:r>
          </w:p>
        </w:tc>
        <w:tc>
          <w:tcPr>
            <w:tcW w:type="dxa" w:w="2436"/>
            <w:vAlign w:val="center"/>
          </w:tcPr>
          <w:p>
            <w:r/>
            <w:r>
              <w:rPr>
                <w:rFonts w:ascii="Figtree" w:hAnsi="Figtree"/>
                <w:b w:val="0"/>
                <w:i w:val="0"/>
                <w:sz w:val="22"/>
              </w:rPr>
              <w:t>Per sale agreement schedule</w:t>
            </w:r>
          </w:p>
        </w:tc>
        <w:tc>
          <w:tcPr>
            <w:tcW w:type="dxa" w:w="2436"/>
            <w:vAlign w:val="center"/>
          </w:tcPr>
          <w:p>
            <w:r/>
            <w:r>
              <w:rPr>
                <w:rFonts w:ascii="Figtree" w:hAnsi="Figtree"/>
                <w:b w:val="0"/>
                <w:i w:val="0"/>
                <w:sz w:val="22"/>
              </w:rPr>
              <w:t>Maturity &amp; Redemption</w:t>
            </w:r>
          </w:p>
        </w:tc>
      </w:tr>
      <w:tr>
        <w:trPr>
          <w:trHeight w:val="454" w:hRule="atLeast"/>
        </w:trPr>
        <w:tc>
          <w:tcPr>
            <w:tcW w:type="dxa" w:w="2436"/>
            <w:vAlign w:val="center"/>
          </w:tcPr>
          <w:p>
            <w:r/>
            <w:r>
              <w:rPr>
                <w:rFonts w:ascii="Figtree" w:hAnsi="Figtree"/>
                <w:b w:val="0"/>
                <w:i w:val="0"/>
                <w:sz w:val="22"/>
              </w:rPr>
              <w:t>Wakalah return</w:t>
            </w:r>
          </w:p>
        </w:tc>
        <w:tc>
          <w:tcPr>
            <w:tcW w:type="dxa" w:w="2436"/>
            <w:vAlign w:val="center"/>
          </w:tcPr>
          <w:p>
            <w:r/>
            <w:r>
              <w:rPr>
                <w:rFonts w:ascii="Figtree" w:hAnsi="Figtree"/>
                <w:b w:val="0"/>
                <w:i w:val="0"/>
                <w:sz w:val="22"/>
              </w:rPr>
              <w:t>Investment return − agency fee</w:t>
            </w:r>
          </w:p>
        </w:tc>
        <w:tc>
          <w:tcPr>
            <w:tcW w:type="dxa" w:w="2436"/>
            <w:vAlign w:val="center"/>
          </w:tcPr>
          <w:p>
            <w:r/>
            <w:r>
              <w:rPr>
                <w:rFonts w:ascii="Figtree" w:hAnsi="Figtree"/>
                <w:b w:val="0"/>
                <w:i w:val="0"/>
                <w:sz w:val="22"/>
              </w:rPr>
              <w:t>Per mandate period</w:t>
            </w:r>
          </w:p>
        </w:tc>
        <w:tc>
          <w:tcPr>
            <w:tcW w:type="dxa" w:w="2436"/>
            <w:vAlign w:val="center"/>
          </w:tcPr>
          <w:p>
            <w:r/>
            <w:r>
              <w:rPr>
                <w:rFonts w:ascii="Figtree" w:hAnsi="Figtree"/>
                <w:b w:val="0"/>
                <w:i w:val="0"/>
                <w:sz w:val="22"/>
              </w:rPr>
              <w:t>Yield + Transaction Fee</w:t>
            </w:r>
          </w:p>
        </w:tc>
      </w:tr>
    </w:tbl>
    <w:p>
      <w:pPr>
        <w:pStyle w:val="H3"/>
        <w:numPr>
          <w:ilvl w:val="2"/>
          <w:numId w:val="1"/>
        </w:numPr>
      </w:pPr>
      <w:r>
        <w:t>Dissolution Mechanics</w:t>
      </w:r>
    </w:p>
    <w:p>
      <w:r>
        <w:rPr>
          <w:rFonts w:ascii="Figtree" w:hAnsi="Figtree"/>
          <w:b w:val="0"/>
          <w:i w:val="0"/>
          <w:sz w:val="22"/>
        </w:rPr>
        <w:t>At maturity or upon a dissolution trigger event, DALP executes the dissolution workflow:</w:t>
      </w:r>
    </w:p>
    <w:p>
      <w:pPr>
        <w:pStyle w:val="ListParagraph"/>
        <w:numPr>
          <w:ilvl w:val="0"/>
          <w:numId w:val="7"/>
        </w:numPr>
      </w:pPr>
      <w:r>
        <w:rPr>
          <w:rFonts w:ascii="Figtree" w:hAnsi="Figtree"/>
          <w:b w:val="0"/>
          <w:i w:val="0"/>
          <w:sz w:val="22"/>
        </w:rPr>
        <w:t>Calculate final distribution amount per certificate holder</w:t>
      </w:r>
    </w:p>
    <w:p>
      <w:pPr>
        <w:pStyle w:val="ListParagraph"/>
        <w:numPr>
          <w:ilvl w:val="0"/>
          <w:numId w:val="7"/>
        </w:numPr>
      </w:pPr>
      <w:r>
        <w:rPr>
          <w:rFonts w:ascii="Figtree" w:hAnsi="Figtree"/>
          <w:b w:val="0"/>
          <w:i w:val="0"/>
          <w:sz w:val="22"/>
        </w:rPr>
        <w:t>Execute distribution via on-chain transfer</w:t>
      </w:r>
    </w:p>
    <w:p>
      <w:pPr>
        <w:pStyle w:val="ListParagraph"/>
        <w:numPr>
          <w:ilvl w:val="0"/>
          <w:numId w:val="7"/>
        </w:numPr>
      </w:pPr>
      <w:r>
        <w:rPr>
          <w:rFonts w:ascii="Figtree" w:hAnsi="Figtree"/>
          <w:b w:val="0"/>
          <w:i w:val="0"/>
          <w:sz w:val="22"/>
        </w:rPr>
        <w:t>Return principal to certificate holders</w:t>
      </w:r>
    </w:p>
    <w:p>
      <w:pPr>
        <w:pStyle w:val="ListParagraph"/>
        <w:numPr>
          <w:ilvl w:val="0"/>
          <w:numId w:val="7"/>
        </w:numPr>
      </w:pPr>
      <w:r>
        <w:rPr>
          <w:rFonts w:ascii="Figtree" w:hAnsi="Figtree"/>
          <w:b w:val="0"/>
          <w:i w:val="0"/>
          <w:sz w:val="22"/>
        </w:rPr>
        <w:t>Burn sukuk tokens (permanent retirement)</w:t>
      </w:r>
    </w:p>
    <w:p>
      <w:pPr>
        <w:pStyle w:val="ListParagraph"/>
        <w:numPr>
          <w:ilvl w:val="0"/>
          <w:numId w:val="7"/>
        </w:numPr>
      </w:pPr>
      <w:r>
        <w:rPr>
          <w:rFonts w:ascii="Figtree" w:hAnsi="Figtree"/>
          <w:b w:val="0"/>
          <w:i w:val="0"/>
          <w:sz w:val="22"/>
        </w:rPr>
        <w:t>Record complete dissolution audit trail</w:t>
      </w:r>
    </w:p>
    <w:p>
      <w:r>
        <w:br w:type="page"/>
      </w:r>
    </w:p>
    <w:p>
      <w:pPr>
        <w:pStyle w:val="H2"/>
        <w:numPr>
          <w:ilvl w:val="1"/>
          <w:numId w:val="1"/>
        </w:numPr>
      </w:pPr>
      <w:r>
        <w:t>Security, Resilience, and Operational Assurance</w:t>
      </w:r>
    </w:p>
    <w:p>
      <w:pPr>
        <w:pStyle w:val="H3"/>
        <w:numPr>
          <w:ilvl w:val="2"/>
          <w:numId w:val="1"/>
        </w:numPr>
      </w:pPr>
      <w:r>
        <w:t>Security Certifications</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Certification</w:t>
            </w:r>
          </w:p>
        </w:tc>
        <w:tc>
          <w:tcPr>
            <w:tcW w:type="dxa" w:w="4873"/>
            <w:vAlign w:val="center"/>
            <w:shd w:fill="000099" w:val="clear"/>
          </w:tcPr>
          <w:p>
            <w:r>
              <w:rPr>
                <w:b/>
                <w:color w:val="FFFFFF"/>
              </w:rPr>
            </w:r>
            <w:r>
              <w:rPr>
                <w:rFonts w:ascii="Figtree" w:hAnsi="Figtree"/>
                <w:b/>
                <w:i w:val="0"/>
                <w:color w:val="FFFFFF"/>
                <w:sz w:val="22"/>
              </w:rPr>
              <w:t>Status</w:t>
            </w:r>
          </w:p>
        </w:tc>
      </w:tr>
      <w:tr>
        <w:trPr>
          <w:trHeight w:val="454" w:hRule="atLeast"/>
        </w:trPr>
        <w:tc>
          <w:tcPr>
            <w:tcW w:type="dxa" w:w="4873"/>
            <w:vAlign w:val="center"/>
          </w:tcPr>
          <w:p>
            <w:r/>
            <w:r>
              <w:rPr>
                <w:rFonts w:ascii="Figtree" w:hAnsi="Figtree"/>
                <w:b w:val="0"/>
                <w:i w:val="0"/>
                <w:sz w:val="22"/>
              </w:rPr>
              <w:t>ISO 27001</w:t>
            </w:r>
          </w:p>
        </w:tc>
        <w:tc>
          <w:tcPr>
            <w:tcW w:type="dxa" w:w="4873"/>
            <w:vAlign w:val="center"/>
          </w:tcPr>
          <w:p>
            <w:r/>
            <w:r>
              <w:rPr>
                <w:rFonts w:ascii="Figtree" w:hAnsi="Figtree"/>
                <w:b w:val="0"/>
                <w:i w:val="0"/>
                <w:sz w:val="22"/>
              </w:rPr>
              <w:t>Current</w:t>
            </w:r>
          </w:p>
        </w:tc>
      </w:tr>
      <w:tr>
        <w:trPr>
          <w:trHeight w:val="454" w:hRule="atLeast"/>
        </w:trPr>
        <w:tc>
          <w:tcPr>
            <w:tcW w:type="dxa" w:w="4873"/>
            <w:vAlign w:val="center"/>
          </w:tcPr>
          <w:p>
            <w:r/>
            <w:r>
              <w:rPr>
                <w:rFonts w:ascii="Figtree" w:hAnsi="Figtree"/>
                <w:b w:val="0"/>
                <w:i w:val="0"/>
                <w:sz w:val="22"/>
              </w:rPr>
              <w:t>SOC 2 Type II</w:t>
            </w:r>
          </w:p>
        </w:tc>
        <w:tc>
          <w:tcPr>
            <w:tcW w:type="dxa" w:w="4873"/>
            <w:vAlign w:val="center"/>
          </w:tcPr>
          <w:p>
            <w:r/>
            <w:r>
              <w:rPr>
                <w:rFonts w:ascii="Figtree" w:hAnsi="Figtree"/>
                <w:b w:val="0"/>
                <w:i w:val="0"/>
                <w:sz w:val="22"/>
              </w:rPr>
              <w:t>Current</w:t>
            </w:r>
          </w:p>
        </w:tc>
      </w:tr>
      <w:tr>
        <w:trPr>
          <w:trHeight w:val="454" w:hRule="atLeast"/>
        </w:trPr>
        <w:tc>
          <w:tcPr>
            <w:tcW w:type="dxa" w:w="4873"/>
            <w:vAlign w:val="center"/>
          </w:tcPr>
          <w:p>
            <w:r/>
            <w:r>
              <w:rPr>
                <w:rFonts w:ascii="Figtree" w:hAnsi="Figtree"/>
                <w:b w:val="0"/>
                <w:i w:val="0"/>
                <w:sz w:val="22"/>
              </w:rPr>
              <w:t>Smart contract audits</w:t>
            </w:r>
          </w:p>
        </w:tc>
        <w:tc>
          <w:tcPr>
            <w:tcW w:type="dxa" w:w="4873"/>
            <w:vAlign w:val="center"/>
          </w:tcPr>
          <w:p>
            <w:r/>
            <w:r>
              <w:rPr>
                <w:rFonts w:ascii="Figtree" w:hAnsi="Figtree"/>
                <w:b w:val="0"/>
                <w:i w:val="0"/>
                <w:sz w:val="22"/>
              </w:rPr>
              <w:t>Per release</w:t>
            </w:r>
          </w:p>
        </w:tc>
      </w:tr>
      <w:tr>
        <w:trPr>
          <w:trHeight w:val="454" w:hRule="atLeast"/>
        </w:trPr>
        <w:tc>
          <w:tcPr>
            <w:tcW w:type="dxa" w:w="4873"/>
            <w:vAlign w:val="center"/>
          </w:tcPr>
          <w:p>
            <w:r/>
            <w:r>
              <w:rPr>
                <w:rFonts w:ascii="Figtree" w:hAnsi="Figtree"/>
                <w:b w:val="0"/>
                <w:i w:val="0"/>
                <w:sz w:val="22"/>
              </w:rPr>
              <w:t>Penetration testing</w:t>
            </w:r>
          </w:p>
        </w:tc>
        <w:tc>
          <w:tcPr>
            <w:tcW w:type="dxa" w:w="4873"/>
            <w:vAlign w:val="center"/>
          </w:tcPr>
          <w:p>
            <w:r/>
            <w:r>
              <w:rPr>
                <w:rFonts w:ascii="Figtree" w:hAnsi="Figtree"/>
                <w:b w:val="0"/>
                <w:i w:val="0"/>
                <w:sz w:val="22"/>
              </w:rPr>
              <w:t>Annual + per major release</w:t>
            </w:r>
          </w:p>
        </w:tc>
      </w:tr>
    </w:tbl>
    <w:p>
      <w:pPr>
        <w:pStyle w:val="H3"/>
        <w:numPr>
          <w:ilvl w:val="2"/>
          <w:numId w:val="1"/>
        </w:numPr>
      </w:pPr>
      <w:r>
        <w:t>Operational Resilience</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Capability</w:t>
            </w:r>
          </w:p>
        </w:tc>
        <w:tc>
          <w:tcPr>
            <w:tcW w:type="dxa" w:w="4873"/>
            <w:vAlign w:val="center"/>
            <w:shd w:fill="000099" w:val="clear"/>
          </w:tcPr>
          <w:p>
            <w:r>
              <w:rPr>
                <w:b/>
                <w:color w:val="FFFFFF"/>
              </w:rPr>
            </w:r>
            <w:r>
              <w:rPr>
                <w:rFonts w:ascii="Figtree" w:hAnsi="Figtree"/>
                <w:b/>
                <w:i w:val="0"/>
                <w:color w:val="FFFFFF"/>
                <w:sz w:val="22"/>
              </w:rPr>
              <w:t>Target</w:t>
            </w:r>
          </w:p>
        </w:tc>
      </w:tr>
      <w:tr>
        <w:trPr>
          <w:trHeight w:val="454" w:hRule="atLeast"/>
        </w:trPr>
        <w:tc>
          <w:tcPr>
            <w:tcW w:type="dxa" w:w="4873"/>
            <w:vAlign w:val="center"/>
          </w:tcPr>
          <w:p>
            <w:r/>
            <w:r>
              <w:rPr>
                <w:rFonts w:ascii="Figtree" w:hAnsi="Figtree"/>
                <w:b w:val="0"/>
                <w:i w:val="0"/>
                <w:sz w:val="22"/>
              </w:rPr>
              <w:t>RPO</w:t>
            </w:r>
          </w:p>
        </w:tc>
        <w:tc>
          <w:tcPr>
            <w:tcW w:type="dxa" w:w="4873"/>
            <w:vAlign w:val="center"/>
          </w:tcPr>
          <w:p>
            <w:r/>
            <w:r>
              <w:rPr>
                <w:rFonts w:ascii="Figtree" w:hAnsi="Figtree"/>
                <w:b w:val="0"/>
                <w:i w:val="0"/>
                <w:sz w:val="22"/>
              </w:rPr>
              <w:t>&lt; 1 hour</w:t>
            </w:r>
          </w:p>
        </w:tc>
      </w:tr>
      <w:tr>
        <w:trPr>
          <w:trHeight w:val="454" w:hRule="atLeast"/>
        </w:trPr>
        <w:tc>
          <w:tcPr>
            <w:tcW w:type="dxa" w:w="4873"/>
            <w:vAlign w:val="center"/>
          </w:tcPr>
          <w:p>
            <w:r/>
            <w:r>
              <w:rPr>
                <w:rFonts w:ascii="Figtree" w:hAnsi="Figtree"/>
                <w:b w:val="0"/>
                <w:i w:val="0"/>
                <w:sz w:val="22"/>
              </w:rPr>
              <w:t>RTO</w:t>
            </w:r>
          </w:p>
        </w:tc>
        <w:tc>
          <w:tcPr>
            <w:tcW w:type="dxa" w:w="4873"/>
            <w:vAlign w:val="center"/>
          </w:tcPr>
          <w:p>
            <w:r/>
            <w:r>
              <w:rPr>
                <w:rFonts w:ascii="Figtree" w:hAnsi="Figtree"/>
                <w:b w:val="0"/>
                <w:i w:val="0"/>
                <w:sz w:val="22"/>
              </w:rPr>
              <w:t>&lt; 4 hours</w:t>
            </w:r>
          </w:p>
        </w:tc>
      </w:tr>
      <w:tr>
        <w:trPr>
          <w:trHeight w:val="454" w:hRule="atLeast"/>
        </w:trPr>
        <w:tc>
          <w:tcPr>
            <w:tcW w:type="dxa" w:w="4873"/>
            <w:vAlign w:val="center"/>
          </w:tcPr>
          <w:p>
            <w:r/>
            <w:r>
              <w:rPr>
                <w:rFonts w:ascii="Figtree" w:hAnsi="Figtree"/>
                <w:b w:val="0"/>
                <w:i w:val="0"/>
                <w:sz w:val="22"/>
              </w:rPr>
              <w:t>Backup frequency</w:t>
            </w:r>
          </w:p>
        </w:tc>
        <w:tc>
          <w:tcPr>
            <w:tcW w:type="dxa" w:w="4873"/>
            <w:vAlign w:val="center"/>
          </w:tcPr>
          <w:p>
            <w:r/>
            <w:r>
              <w:rPr>
                <w:rFonts w:ascii="Figtree" w:hAnsi="Figtree"/>
                <w:b w:val="0"/>
                <w:i w:val="0"/>
                <w:sz w:val="22"/>
              </w:rPr>
              <w:t>Daily with integrity verification</w:t>
            </w:r>
          </w:p>
        </w:tc>
      </w:tr>
      <w:tr>
        <w:trPr>
          <w:trHeight w:val="454" w:hRule="atLeast"/>
        </w:trPr>
        <w:tc>
          <w:tcPr>
            <w:tcW w:type="dxa" w:w="4873"/>
            <w:vAlign w:val="center"/>
          </w:tcPr>
          <w:p>
            <w:r/>
            <w:r>
              <w:rPr>
                <w:rFonts w:ascii="Figtree" w:hAnsi="Figtree"/>
                <w:b w:val="0"/>
                <w:i w:val="0"/>
                <w:sz w:val="22"/>
              </w:rPr>
              <w:t>Monitoring</w:t>
            </w:r>
          </w:p>
        </w:tc>
        <w:tc>
          <w:tcPr>
            <w:tcW w:type="dxa" w:w="4873"/>
            <w:vAlign w:val="center"/>
          </w:tcPr>
          <w:p>
            <w:r/>
            <w:r>
              <w:rPr>
                <w:rFonts w:ascii="Figtree" w:hAnsi="Figtree"/>
                <w:b w:val="0"/>
                <w:i w:val="0"/>
                <w:sz w:val="22"/>
              </w:rPr>
              <w:t>Three-pillar observability (metrics, logs, traces)</w:t>
            </w:r>
          </w:p>
        </w:tc>
      </w:tr>
    </w:tbl>
    <w:p>
      <w:r>
        <w:br w:type="page"/>
      </w:r>
    </w:p>
    <w:p>
      <w:pPr>
        <w:pStyle w:val="H2"/>
        <w:numPr>
          <w:ilvl w:val="1"/>
          <w:numId w:val="1"/>
        </w:numPr>
      </w:pPr>
      <w:r>
        <w:t>Implementation Approach and Delivery Phases</w:t>
      </w:r>
    </w:p>
    <w:p>
      <w:pPr>
        <w:pStyle w:val="H3"/>
        <w:numPr>
          <w:ilvl w:val="2"/>
          <w:numId w:val="1"/>
        </w:numPr>
      </w:pPr>
      <w:r>
        <w:t>19-Week Implementation</w:t>
      </w:r>
    </w:p>
    <w:p>
      <w:pPr>
        <w:jc w:val="center"/>
      </w:pPr>
      <w:r>
        <w:drawing>
          <wp:inline xmlns:a="http://schemas.openxmlformats.org/drawingml/2006/main" xmlns:pic="http://schemas.openxmlformats.org/drawingml/2006/picture">
            <wp:extent cx="5486400" cy="2379306"/>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2379306"/>
                    </a:xfrm>
                    <a:prstGeom prst="rect"/>
                  </pic:spPr>
                </pic:pic>
              </a:graphicData>
            </a:graphic>
          </wp:inline>
        </w:drawing>
      </w:r>
    </w:p>
    <w:p>
      <w:r>
        <w:br w:type="page"/>
      </w:r>
    </w:p>
    <w:p>
      <w:pPr>
        <w:pStyle w:val="H2"/>
        <w:numPr>
          <w:ilvl w:val="1"/>
          <w:numId w:val="1"/>
        </w:numPr>
      </w:pPr>
      <w:r>
        <w:t>Current Coverage, Dependencies, and Qualified Gaps</w:t>
      </w:r>
    </w:p>
    <w:p>
      <w:pPr>
        <w:pStyle w:val="H3"/>
        <w:numPr>
          <w:ilvl w:val="2"/>
          <w:numId w:val="1"/>
        </w:numPr>
      </w:pPr>
      <w:r>
        <w:t>Requirements Coverage</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Req ID</w:t>
            </w:r>
          </w:p>
        </w:tc>
        <w:tc>
          <w:tcPr>
            <w:tcW w:type="dxa" w:w="2436"/>
            <w:vAlign w:val="center"/>
            <w:shd w:fill="000099" w:val="clear"/>
          </w:tcPr>
          <w:p>
            <w:r>
              <w:rPr>
                <w:b/>
                <w:color w:val="FFFFFF"/>
              </w:rPr>
            </w:r>
            <w:r>
              <w:rPr>
                <w:rFonts w:ascii="Figtree" w:hAnsi="Figtree"/>
                <w:b/>
                <w:i w:val="0"/>
                <w:color w:val="FFFFFF"/>
                <w:sz w:val="22"/>
              </w:rPr>
              <w:t>Requirement</w:t>
            </w:r>
          </w:p>
        </w:tc>
        <w:tc>
          <w:tcPr>
            <w:tcW w:type="dxa" w:w="2436"/>
            <w:vAlign w:val="center"/>
            <w:shd w:fill="000099" w:val="clear"/>
          </w:tcPr>
          <w:p>
            <w:r>
              <w:rPr>
                <w:b/>
                <w:color w:val="FFFFFF"/>
              </w:rPr>
            </w:r>
            <w:r>
              <w:rPr>
                <w:rFonts w:ascii="Figtree" w:hAnsi="Figtree"/>
                <w:b/>
                <w:i w:val="0"/>
                <w:color w:val="FFFFFF"/>
                <w:sz w:val="22"/>
              </w:rPr>
              <w:t>Status</w:t>
            </w:r>
          </w:p>
        </w:tc>
        <w:tc>
          <w:tcPr>
            <w:tcW w:type="dxa" w:w="2436"/>
            <w:vAlign w:val="center"/>
            <w:shd w:fill="000099" w:val="clear"/>
          </w:tcPr>
          <w:p>
            <w:r>
              <w:rPr>
                <w:b/>
                <w:color w:val="FFFFFF"/>
              </w:rPr>
            </w:r>
            <w:r>
              <w:rPr>
                <w:rFonts w:ascii="Figtree" w:hAnsi="Figtree"/>
                <w:b/>
                <w:i w:val="0"/>
                <w:color w:val="FFFFFF"/>
                <w:sz w:val="22"/>
              </w:rPr>
              <w:t>Notes</w:t>
            </w:r>
          </w:p>
        </w:tc>
      </w:tr>
      <w:tr>
        <w:trPr>
          <w:trHeight w:val="454" w:hRule="atLeast"/>
        </w:trPr>
        <w:tc>
          <w:tcPr>
            <w:tcW w:type="dxa" w:w="2436"/>
            <w:vAlign w:val="center"/>
          </w:tcPr>
          <w:p>
            <w:r/>
            <w:r>
              <w:rPr>
                <w:rFonts w:ascii="Figtree" w:hAnsi="Figtree"/>
                <w:b w:val="0"/>
                <w:i w:val="0"/>
                <w:sz w:val="22"/>
              </w:rPr>
              <w:t>REQ-01</w:t>
            </w:r>
          </w:p>
        </w:tc>
        <w:tc>
          <w:tcPr>
            <w:tcW w:type="dxa" w:w="2436"/>
            <w:vAlign w:val="center"/>
          </w:tcPr>
          <w:p>
            <w:r/>
            <w:r>
              <w:rPr>
                <w:rFonts w:ascii="Figtree" w:hAnsi="Figtree"/>
                <w:b w:val="0"/>
                <w:i w:val="0"/>
                <w:sz w:val="22"/>
              </w:rPr>
              <w:t>Segregated environments</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Dev, UAT, DR, Production</w:t>
            </w:r>
          </w:p>
        </w:tc>
      </w:tr>
      <w:tr>
        <w:trPr>
          <w:trHeight w:val="454" w:hRule="atLeast"/>
        </w:trPr>
        <w:tc>
          <w:tcPr>
            <w:tcW w:type="dxa" w:w="2436"/>
            <w:vAlign w:val="center"/>
          </w:tcPr>
          <w:p>
            <w:r/>
            <w:r>
              <w:rPr>
                <w:rFonts w:ascii="Figtree" w:hAnsi="Figtree"/>
                <w:b w:val="0"/>
                <w:i w:val="0"/>
                <w:sz w:val="22"/>
              </w:rPr>
              <w:t>REQ-02</w:t>
            </w:r>
          </w:p>
        </w:tc>
        <w:tc>
          <w:tcPr>
            <w:tcW w:type="dxa" w:w="2436"/>
            <w:vAlign w:val="center"/>
          </w:tcPr>
          <w:p>
            <w:r/>
            <w:r>
              <w:rPr>
                <w:rFonts w:ascii="Figtree" w:hAnsi="Figtree"/>
                <w:b w:val="0"/>
                <w:i w:val="0"/>
                <w:sz w:val="22"/>
              </w:rPr>
              <w:t>API-first interfaces</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REST v2, GraphQL, webhooks, SDK</w:t>
            </w:r>
          </w:p>
        </w:tc>
      </w:tr>
      <w:tr>
        <w:trPr>
          <w:trHeight w:val="454" w:hRule="atLeast"/>
        </w:trPr>
        <w:tc>
          <w:tcPr>
            <w:tcW w:type="dxa" w:w="2436"/>
            <w:vAlign w:val="center"/>
          </w:tcPr>
          <w:p>
            <w:r/>
            <w:r>
              <w:rPr>
                <w:rFonts w:ascii="Figtree" w:hAnsi="Figtree"/>
                <w:b w:val="0"/>
                <w:i w:val="0"/>
                <w:sz w:val="22"/>
              </w:rPr>
              <w:t>REQ-03</w:t>
            </w:r>
          </w:p>
        </w:tc>
        <w:tc>
          <w:tcPr>
            <w:tcW w:type="dxa" w:w="2436"/>
            <w:vAlign w:val="center"/>
          </w:tcPr>
          <w:p>
            <w:r/>
            <w:r>
              <w:rPr>
                <w:rFonts w:ascii="Figtree" w:hAnsi="Figtree"/>
                <w:b w:val="0"/>
                <w:i w:val="0"/>
                <w:sz w:val="22"/>
              </w:rPr>
              <w:t>RBAC, maker-checker, audit</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Native platform capability</w:t>
            </w:r>
          </w:p>
        </w:tc>
      </w:tr>
      <w:tr>
        <w:trPr>
          <w:trHeight w:val="454" w:hRule="atLeast"/>
        </w:trPr>
        <w:tc>
          <w:tcPr>
            <w:tcW w:type="dxa" w:w="2436"/>
            <w:vAlign w:val="center"/>
          </w:tcPr>
          <w:p>
            <w:r/>
            <w:r>
              <w:rPr>
                <w:rFonts w:ascii="Figtree" w:hAnsi="Figtree"/>
                <w:b w:val="0"/>
                <w:i w:val="0"/>
                <w:sz w:val="22"/>
              </w:rPr>
              <w:t>REQ-04</w:t>
            </w:r>
          </w:p>
        </w:tc>
        <w:tc>
          <w:tcPr>
            <w:tcW w:type="dxa" w:w="2436"/>
            <w:vAlign w:val="center"/>
          </w:tcPr>
          <w:p>
            <w:r/>
            <w:r>
              <w:rPr>
                <w:rFonts w:ascii="Figtree" w:hAnsi="Figtree"/>
                <w:b w:val="0"/>
                <w:i w:val="0"/>
                <w:sz w:val="22"/>
              </w:rPr>
              <w:t>Configurable lifecycle</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DALPAsset with runtime features</w:t>
            </w:r>
          </w:p>
        </w:tc>
      </w:tr>
      <w:tr>
        <w:trPr>
          <w:trHeight w:val="454" w:hRule="atLeast"/>
        </w:trPr>
        <w:tc>
          <w:tcPr>
            <w:tcW w:type="dxa" w:w="2436"/>
            <w:vAlign w:val="center"/>
          </w:tcPr>
          <w:p>
            <w:r/>
            <w:r>
              <w:rPr>
                <w:rFonts w:ascii="Figtree" w:hAnsi="Figtree"/>
                <w:b w:val="0"/>
                <w:i w:val="0"/>
                <w:sz w:val="22"/>
              </w:rPr>
              <w:t>REQ-05</w:t>
            </w:r>
          </w:p>
        </w:tc>
        <w:tc>
          <w:tcPr>
            <w:tcW w:type="dxa" w:w="2436"/>
            <w:vAlign w:val="center"/>
          </w:tcPr>
          <w:p>
            <w:r/>
            <w:r>
              <w:rPr>
                <w:rFonts w:ascii="Figtree" w:hAnsi="Figtree"/>
                <w:b w:val="0"/>
                <w:i w:val="0"/>
                <w:sz w:val="22"/>
              </w:rPr>
              <w:t>Dependency disclosure</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See dependency register</w:t>
            </w:r>
          </w:p>
        </w:tc>
      </w:tr>
      <w:tr>
        <w:trPr>
          <w:trHeight w:val="454" w:hRule="atLeast"/>
        </w:trPr>
        <w:tc>
          <w:tcPr>
            <w:tcW w:type="dxa" w:w="2436"/>
            <w:vAlign w:val="center"/>
          </w:tcPr>
          <w:p>
            <w:r/>
            <w:r>
              <w:rPr>
                <w:rFonts w:ascii="Figtree" w:hAnsi="Figtree"/>
                <w:b w:val="0"/>
                <w:i w:val="0"/>
                <w:sz w:val="22"/>
              </w:rPr>
              <w:t>REQ-06</w:t>
            </w:r>
          </w:p>
        </w:tc>
        <w:tc>
          <w:tcPr>
            <w:tcW w:type="dxa" w:w="2436"/>
            <w:vAlign w:val="center"/>
          </w:tcPr>
          <w:p>
            <w:r/>
            <w:r>
              <w:rPr>
                <w:rFonts w:ascii="Figtree" w:hAnsi="Figtree"/>
                <w:b w:val="0"/>
                <w:i w:val="0"/>
                <w:sz w:val="22"/>
              </w:rPr>
              <w:t>Resilience &amp; monitoring</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ISO 27001, SOC 2, three-pillar observability</w:t>
            </w:r>
          </w:p>
        </w:tc>
      </w:tr>
      <w:tr>
        <w:trPr>
          <w:trHeight w:val="454" w:hRule="atLeast"/>
        </w:trPr>
        <w:tc>
          <w:tcPr>
            <w:tcW w:type="dxa" w:w="2436"/>
            <w:vAlign w:val="center"/>
          </w:tcPr>
          <w:p>
            <w:r/>
            <w:r>
              <w:rPr>
                <w:rFonts w:ascii="Figtree" w:hAnsi="Figtree"/>
                <w:b w:val="0"/>
                <w:i w:val="0"/>
                <w:sz w:val="22"/>
              </w:rPr>
              <w:t>REQ-07</w:t>
            </w:r>
          </w:p>
        </w:tc>
        <w:tc>
          <w:tcPr>
            <w:tcW w:type="dxa" w:w="2436"/>
            <w:vAlign w:val="center"/>
          </w:tcPr>
          <w:p>
            <w:r/>
            <w:r>
              <w:rPr>
                <w:rFonts w:ascii="Figtree" w:hAnsi="Figtree"/>
                <w:b w:val="0"/>
                <w:i w:val="0"/>
                <w:sz w:val="22"/>
              </w:rPr>
              <w:t>Implementation plan</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19-week phase-gated methodology</w:t>
            </w:r>
          </w:p>
        </w:tc>
      </w:tr>
      <w:tr>
        <w:trPr>
          <w:trHeight w:val="454" w:hRule="atLeast"/>
        </w:trPr>
        <w:tc>
          <w:tcPr>
            <w:tcW w:type="dxa" w:w="2436"/>
            <w:vAlign w:val="center"/>
          </w:tcPr>
          <w:p>
            <w:r/>
            <w:r>
              <w:rPr>
                <w:rFonts w:ascii="Figtree" w:hAnsi="Figtree"/>
                <w:b w:val="0"/>
                <w:i w:val="0"/>
                <w:sz w:val="22"/>
              </w:rPr>
              <w:t>REQ-08</w:t>
            </w:r>
          </w:p>
        </w:tc>
        <w:tc>
          <w:tcPr>
            <w:tcW w:type="dxa" w:w="2436"/>
            <w:vAlign w:val="center"/>
          </w:tcPr>
          <w:p>
            <w:r/>
            <w:r>
              <w:rPr>
                <w:rFonts w:ascii="Figtree" w:hAnsi="Figtree"/>
                <w:b w:val="0"/>
                <w:i w:val="0"/>
                <w:sz w:val="22"/>
              </w:rPr>
              <w:t>Audit evidence extraction</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Complete audit trail, queryable API</w:t>
            </w:r>
          </w:p>
        </w:tc>
      </w:tr>
      <w:tr>
        <w:trPr>
          <w:trHeight w:val="454" w:hRule="atLeast"/>
        </w:trPr>
        <w:tc>
          <w:tcPr>
            <w:tcW w:type="dxa" w:w="2436"/>
            <w:vAlign w:val="center"/>
          </w:tcPr>
          <w:p>
            <w:r/>
            <w:r>
              <w:rPr>
                <w:rFonts w:ascii="Figtree" w:hAnsi="Figtree"/>
                <w:b w:val="0"/>
                <w:i w:val="0"/>
                <w:sz w:val="22"/>
              </w:rPr>
              <w:t>REQ-12</w:t>
            </w:r>
          </w:p>
        </w:tc>
        <w:tc>
          <w:tcPr>
            <w:tcW w:type="dxa" w:w="2436"/>
            <w:vAlign w:val="center"/>
          </w:tcPr>
          <w:p>
            <w:r/>
            <w:r>
              <w:rPr>
                <w:rFonts w:ascii="Figtree" w:hAnsi="Figtree"/>
                <w:b w:val="0"/>
                <w:i w:val="0"/>
                <w:sz w:val="22"/>
              </w:rPr>
              <w:t>Sharia board workflows</w:t>
            </w:r>
          </w:p>
        </w:tc>
        <w:tc>
          <w:tcPr>
            <w:tcW w:type="dxa" w:w="2436"/>
            <w:vAlign w:val="center"/>
          </w:tcPr>
          <w:p>
            <w:r/>
            <w:r>
              <w:rPr>
                <w:rFonts w:ascii="Figtree" w:hAnsi="Figtree"/>
                <w:b/>
                <w:i w:val="0"/>
                <w:sz w:val="22"/>
              </w:rPr>
              <w:t>Partial</w:t>
            </w:r>
          </w:p>
        </w:tc>
        <w:tc>
          <w:tcPr>
            <w:tcW w:type="dxa" w:w="2436"/>
            <w:vAlign w:val="center"/>
          </w:tcPr>
          <w:p>
            <w:r/>
            <w:r>
              <w:rPr>
                <w:rFonts w:ascii="Figtree" w:hAnsi="Figtree"/>
                <w:b w:val="0"/>
                <w:i w:val="0"/>
                <w:sz w:val="22"/>
              </w:rPr>
              <w:t>Approval workflows available; dedicated Sharia portal in Q3 2026</w:t>
            </w:r>
          </w:p>
        </w:tc>
      </w:tr>
      <w:tr>
        <w:trPr>
          <w:trHeight w:val="454" w:hRule="atLeast"/>
        </w:trPr>
        <w:tc>
          <w:tcPr>
            <w:tcW w:type="dxa" w:w="2436"/>
            <w:vAlign w:val="center"/>
          </w:tcPr>
          <w:p>
            <w:r/>
            <w:r>
              <w:rPr>
                <w:rFonts w:ascii="Figtree" w:hAnsi="Figtree"/>
                <w:b w:val="0"/>
                <w:i w:val="0"/>
                <w:sz w:val="22"/>
              </w:rPr>
              <w:t>REQ-13</w:t>
            </w:r>
          </w:p>
        </w:tc>
        <w:tc>
          <w:tcPr>
            <w:tcW w:type="dxa" w:w="2436"/>
            <w:vAlign w:val="center"/>
          </w:tcPr>
          <w:p>
            <w:r/>
            <w:r>
              <w:rPr>
                <w:rFonts w:ascii="Figtree" w:hAnsi="Figtree"/>
                <w:b w:val="0"/>
                <w:i w:val="0"/>
                <w:sz w:val="22"/>
              </w:rPr>
              <w:t>Profit vs. interest segregation</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Enforced at smart contract level</w:t>
            </w:r>
          </w:p>
        </w:tc>
      </w:tr>
    </w:tbl>
    <w:p>
      <w:pPr>
        <w:pStyle w:val="H3"/>
        <w:numPr>
          <w:ilvl w:val="2"/>
          <w:numId w:val="1"/>
        </w:numPr>
      </w:pPr>
      <w:r>
        <w:t>Qualified Gap: REQ-12</w:t>
      </w:r>
    </w:p>
    <w:p>
      <w:r>
        <w:rPr>
          <w:rFonts w:ascii="Figtree" w:hAnsi="Figtree"/>
          <w:b w:val="0"/>
          <w:i w:val="0"/>
          <w:sz w:val="22"/>
        </w:rPr>
        <w:t>DALP supports Sharia board approval workflows through the Transfer Approval compliance module and GOVERNANCE_ROLE assignment. Fatwa references stored as token metadata. A dedicated Sharia board dashboard with AAOIFI reporting templates is targeted for Q3 2026. Mitigation: core governance workflows operational from day one; dedicated dashboard deliverable during implementation (estimated 2 weeks additional).</w:t>
      </w:r>
    </w:p>
    <w:p>
      <w:r>
        <w:br w:type="page"/>
      </w:r>
    </w:p>
    <w:p>
      <w:pPr>
        <w:pStyle w:val="H2"/>
        <w:numPr>
          <w:ilvl w:val="1"/>
          <w:numId w:val="1"/>
        </w:numPr>
      </w:pPr>
      <w:r>
        <w:t>Relevant Delivery Evidence</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Client</w:t>
            </w:r>
          </w:p>
        </w:tc>
        <w:tc>
          <w:tcPr>
            <w:tcW w:type="dxa" w:w="3249"/>
            <w:vAlign w:val="center"/>
            <w:shd w:fill="000099" w:val="clear"/>
          </w:tcPr>
          <w:p>
            <w:r>
              <w:rPr>
                <w:b/>
                <w:color w:val="FFFFFF"/>
              </w:rPr>
            </w:r>
            <w:r>
              <w:rPr>
                <w:rFonts w:ascii="Figtree" w:hAnsi="Figtree"/>
                <w:b/>
                <w:i w:val="0"/>
                <w:color w:val="FFFFFF"/>
                <w:sz w:val="22"/>
              </w:rPr>
              <w:t>Region</w:t>
            </w:r>
          </w:p>
        </w:tc>
        <w:tc>
          <w:tcPr>
            <w:tcW w:type="dxa" w:w="3249"/>
            <w:vAlign w:val="center"/>
            <w:shd w:fill="000099" w:val="clear"/>
          </w:tcPr>
          <w:p>
            <w:r>
              <w:rPr>
                <w:b/>
                <w:color w:val="FFFFFF"/>
              </w:rPr>
            </w:r>
            <w:r>
              <w:rPr>
                <w:rFonts w:ascii="Figtree" w:hAnsi="Figtree"/>
                <w:b/>
                <w:i w:val="0"/>
                <w:color w:val="FFFFFF"/>
                <w:sz w:val="22"/>
              </w:rPr>
              <w:t>Relevance</w:t>
            </w:r>
          </w:p>
        </w:tc>
      </w:tr>
      <w:tr>
        <w:trPr>
          <w:trHeight w:val="454" w:hRule="atLeast"/>
        </w:trPr>
        <w:tc>
          <w:tcPr>
            <w:tcW w:type="dxa" w:w="3249"/>
            <w:vAlign w:val="center"/>
          </w:tcPr>
          <w:p>
            <w:r/>
            <w:r>
              <w:rPr>
                <w:rFonts w:ascii="Figtree" w:hAnsi="Figtree"/>
                <w:b w:val="0"/>
                <w:i w:val="0"/>
                <w:sz w:val="22"/>
              </w:rPr>
              <w:t>Islamic Development Bank</w:t>
            </w:r>
          </w:p>
        </w:tc>
        <w:tc>
          <w:tcPr>
            <w:tcW w:type="dxa" w:w="3249"/>
            <w:vAlign w:val="center"/>
          </w:tcPr>
          <w:p>
            <w:r/>
            <w:r>
              <w:rPr>
                <w:rFonts w:ascii="Figtree" w:hAnsi="Figtree"/>
                <w:b w:val="0"/>
                <w:i w:val="0"/>
                <w:sz w:val="22"/>
              </w:rPr>
              <w:t>57 countries</w:t>
            </w:r>
          </w:p>
        </w:tc>
        <w:tc>
          <w:tcPr>
            <w:tcW w:type="dxa" w:w="3249"/>
            <w:vAlign w:val="center"/>
          </w:tcPr>
          <w:p>
            <w:r/>
            <w:r>
              <w:rPr>
                <w:rFonts w:ascii="Figtree" w:hAnsi="Figtree"/>
                <w:b w:val="0"/>
                <w:i w:val="0"/>
                <w:sz w:val="22"/>
              </w:rPr>
              <w:t>Sharia-compliant tokenization at sovereign scale</w:t>
            </w:r>
          </w:p>
        </w:tc>
      </w:tr>
      <w:tr>
        <w:trPr>
          <w:trHeight w:val="454" w:hRule="atLeast"/>
        </w:trPr>
        <w:tc>
          <w:tcPr>
            <w:tcW w:type="dxa" w:w="3249"/>
            <w:vAlign w:val="center"/>
          </w:tcPr>
          <w:p>
            <w:r/>
            <w:r>
              <w:rPr>
                <w:rFonts w:ascii="Figtree" w:hAnsi="Figtree"/>
                <w:b w:val="0"/>
                <w:i w:val="0"/>
                <w:sz w:val="22"/>
              </w:rPr>
              <w:t>Saudi Arabia RER</w:t>
            </w:r>
          </w:p>
        </w:tc>
        <w:tc>
          <w:tcPr>
            <w:tcW w:type="dxa" w:w="3249"/>
            <w:vAlign w:val="center"/>
          </w:tcPr>
          <w:p>
            <w:r/>
            <w:r>
              <w:rPr>
                <w:rFonts w:ascii="Figtree" w:hAnsi="Figtree"/>
                <w:b w:val="0"/>
                <w:i w:val="0"/>
                <w:sz w:val="22"/>
              </w:rPr>
              <w:t>KSA</w:t>
            </w:r>
          </w:p>
        </w:tc>
        <w:tc>
          <w:tcPr>
            <w:tcW w:type="dxa" w:w="3249"/>
            <w:vAlign w:val="center"/>
          </w:tcPr>
          <w:p>
            <w:r/>
            <w:r>
              <w:rPr>
                <w:rFonts w:ascii="Figtree" w:hAnsi="Figtree"/>
                <w:b w:val="0"/>
                <w:i w:val="0"/>
                <w:sz w:val="22"/>
              </w:rPr>
              <w:t>National-scale production, property tokenization</w:t>
            </w:r>
          </w:p>
        </w:tc>
      </w:tr>
      <w:tr>
        <w:trPr>
          <w:trHeight w:val="454" w:hRule="atLeast"/>
        </w:trPr>
        <w:tc>
          <w:tcPr>
            <w:tcW w:type="dxa" w:w="3249"/>
            <w:vAlign w:val="center"/>
          </w:tcPr>
          <w:p>
            <w:r/>
            <w:r>
              <w:rPr>
                <w:rFonts w:ascii="Figtree" w:hAnsi="Figtree"/>
                <w:b w:val="0"/>
                <w:i w:val="0"/>
                <w:sz w:val="22"/>
              </w:rPr>
              <w:t>Standard Chartered Bank</w:t>
            </w:r>
          </w:p>
        </w:tc>
        <w:tc>
          <w:tcPr>
            <w:tcW w:type="dxa" w:w="3249"/>
            <w:vAlign w:val="center"/>
          </w:tcPr>
          <w:p>
            <w:r/>
            <w:r>
              <w:rPr>
                <w:rFonts w:ascii="Figtree" w:hAnsi="Figtree"/>
                <w:b w:val="0"/>
                <w:i w:val="0"/>
                <w:sz w:val="22"/>
              </w:rPr>
              <w:t>Asia, ME, Africa</w:t>
            </w:r>
          </w:p>
        </w:tc>
        <w:tc>
          <w:tcPr>
            <w:tcW w:type="dxa" w:w="3249"/>
            <w:vAlign w:val="center"/>
          </w:tcPr>
          <w:p>
            <w:r/>
            <w:r>
              <w:rPr>
                <w:rFonts w:ascii="Figtree" w:hAnsi="Figtree"/>
                <w:b w:val="0"/>
                <w:i w:val="0"/>
                <w:sz w:val="22"/>
              </w:rPr>
              <w:t>Multi-jurisdiction securities</w:t>
            </w:r>
          </w:p>
        </w:tc>
      </w:tr>
      <w:tr>
        <w:trPr>
          <w:trHeight w:val="454" w:hRule="atLeast"/>
        </w:trPr>
        <w:tc>
          <w:tcPr>
            <w:tcW w:type="dxa" w:w="3249"/>
            <w:vAlign w:val="center"/>
          </w:tcPr>
          <w:p>
            <w:r/>
            <w:r>
              <w:rPr>
                <w:rFonts w:ascii="Figtree" w:hAnsi="Figtree"/>
                <w:b w:val="0"/>
                <w:i w:val="0"/>
                <w:sz w:val="22"/>
              </w:rPr>
              <w:t>Commerzbank</w:t>
            </w:r>
          </w:p>
        </w:tc>
        <w:tc>
          <w:tcPr>
            <w:tcW w:type="dxa" w:w="3249"/>
            <w:vAlign w:val="center"/>
          </w:tcPr>
          <w:p>
            <w:r/>
            <w:r>
              <w:rPr>
                <w:rFonts w:ascii="Figtree" w:hAnsi="Figtree"/>
                <w:b w:val="0"/>
                <w:i w:val="0"/>
                <w:sz w:val="22"/>
              </w:rPr>
              <w:t>Germany</w:t>
            </w:r>
          </w:p>
        </w:tc>
        <w:tc>
          <w:tcPr>
            <w:tcW w:type="dxa" w:w="3249"/>
            <w:vAlign w:val="center"/>
          </w:tcPr>
          <w:p>
            <w:r/>
            <w:r>
              <w:rPr>
                <w:rFonts w:ascii="Figtree" w:hAnsi="Figtree"/>
                <w:b w:val="0"/>
                <w:i w:val="0"/>
                <w:sz w:val="22"/>
              </w:rPr>
              <w:t>Hybrid on/off-chain ETP issuance</w:t>
            </w:r>
          </w:p>
        </w:tc>
      </w:tr>
      <w:tr>
        <w:trPr>
          <w:trHeight w:val="454" w:hRule="atLeast"/>
        </w:trPr>
        <w:tc>
          <w:tcPr>
            <w:tcW w:type="dxa" w:w="3249"/>
            <w:vAlign w:val="center"/>
          </w:tcPr>
          <w:p>
            <w:r/>
            <w:r>
              <w:rPr>
                <w:rFonts w:ascii="Figtree" w:hAnsi="Figtree"/>
                <w:b w:val="0"/>
                <w:i w:val="0"/>
                <w:sz w:val="22"/>
              </w:rPr>
              <w:t>OCBC Bank</w:t>
            </w:r>
          </w:p>
        </w:tc>
        <w:tc>
          <w:tcPr>
            <w:tcW w:type="dxa" w:w="3249"/>
            <w:vAlign w:val="center"/>
          </w:tcPr>
          <w:p>
            <w:r/>
            <w:r>
              <w:rPr>
                <w:rFonts w:ascii="Figtree" w:hAnsi="Figtree"/>
                <w:b w:val="0"/>
                <w:i w:val="0"/>
                <w:sz w:val="22"/>
              </w:rPr>
              <w:t>Singapore</w:t>
            </w:r>
          </w:p>
        </w:tc>
        <w:tc>
          <w:tcPr>
            <w:tcW w:type="dxa" w:w="3249"/>
            <w:vAlign w:val="center"/>
          </w:tcPr>
          <w:p>
            <w:r/>
            <w:r>
              <w:rPr>
                <w:rFonts w:ascii="Figtree" w:hAnsi="Figtree"/>
                <w:b w:val="0"/>
                <w:i w:val="0"/>
                <w:sz w:val="22"/>
              </w:rPr>
              <w:t>Regulated bank, multi-asset securities</w:t>
            </w:r>
          </w:p>
        </w:tc>
      </w:tr>
      <w:tr>
        <w:trPr>
          <w:trHeight w:val="454" w:hRule="atLeast"/>
        </w:trPr>
        <w:tc>
          <w:tcPr>
            <w:tcW w:type="dxa" w:w="3249"/>
            <w:vAlign w:val="center"/>
          </w:tcPr>
          <w:p>
            <w:r/>
            <w:r>
              <w:rPr>
                <w:rFonts w:ascii="Figtree" w:hAnsi="Figtree"/>
                <w:b w:val="0"/>
                <w:i w:val="0"/>
                <w:sz w:val="22"/>
              </w:rPr>
              <w:t>Maybank (Project Photon)</w:t>
            </w:r>
          </w:p>
        </w:tc>
        <w:tc>
          <w:tcPr>
            <w:tcW w:type="dxa" w:w="3249"/>
            <w:vAlign w:val="center"/>
          </w:tcPr>
          <w:p>
            <w:r/>
            <w:r>
              <w:rPr>
                <w:rFonts w:ascii="Figtree" w:hAnsi="Figtree"/>
                <w:b w:val="0"/>
                <w:i w:val="0"/>
                <w:sz w:val="22"/>
              </w:rPr>
              <w:t>Malaysia</w:t>
            </w:r>
          </w:p>
        </w:tc>
        <w:tc>
          <w:tcPr>
            <w:tcW w:type="dxa" w:w="3249"/>
            <w:vAlign w:val="center"/>
          </w:tcPr>
          <w:p>
            <w:r/>
            <w:r>
              <w:rPr>
                <w:rFonts w:ascii="Figtree" w:hAnsi="Figtree"/>
                <w:b w:val="0"/>
                <w:i w:val="0"/>
                <w:sz w:val="22"/>
              </w:rPr>
              <w:t>FX tokenization, cross-border settlement</w:t>
            </w:r>
          </w:p>
        </w:tc>
      </w:tr>
    </w:tbl>
    <w:p>
      <w:r>
        <w:br w:type="page"/>
      </w:r>
    </w:p>
    <w:p>
      <w:pPr>
        <w:pStyle w:val="H2"/>
        <w:numPr>
          <w:ilvl w:val="1"/>
          <w:numId w:val="1"/>
        </w:numPr>
      </w:pPr>
      <w:r>
        <w:t>Appendices</w:t>
      </w:r>
    </w:p>
    <w:p>
      <w:pPr>
        <w:pStyle w:val="H3"/>
        <w:numPr>
          <w:ilvl w:val="2"/>
          <w:numId w:val="1"/>
        </w:numPr>
      </w:pPr>
      <w:r>
        <w:t>Appendix A: Glossary</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Term</w:t>
            </w:r>
          </w:p>
        </w:tc>
        <w:tc>
          <w:tcPr>
            <w:tcW w:type="dxa" w:w="4873"/>
            <w:vAlign w:val="center"/>
            <w:shd w:fill="000099" w:val="clear"/>
          </w:tcPr>
          <w:p>
            <w:r>
              <w:rPr>
                <w:b/>
                <w:color w:val="FFFFFF"/>
              </w:rPr>
            </w:r>
            <w:r>
              <w:rPr>
                <w:rFonts w:ascii="Figtree" w:hAnsi="Figtree"/>
                <w:b/>
                <w:i w:val="0"/>
                <w:color w:val="FFFFFF"/>
                <w:sz w:val="22"/>
              </w:rPr>
              <w:t>Definition</w:t>
            </w:r>
          </w:p>
        </w:tc>
      </w:tr>
      <w:tr>
        <w:trPr>
          <w:trHeight w:val="454" w:hRule="atLeast"/>
        </w:trPr>
        <w:tc>
          <w:tcPr>
            <w:tcW w:type="dxa" w:w="4873"/>
            <w:vAlign w:val="center"/>
          </w:tcPr>
          <w:p>
            <w:r/>
            <w:r>
              <w:rPr>
                <w:rFonts w:ascii="Figtree" w:hAnsi="Figtree"/>
                <w:b w:val="0"/>
                <w:i w:val="0"/>
                <w:sz w:val="22"/>
              </w:rPr>
              <w:t>DALP</w:t>
            </w:r>
          </w:p>
        </w:tc>
        <w:tc>
          <w:tcPr>
            <w:tcW w:type="dxa" w:w="4873"/>
            <w:vAlign w:val="center"/>
          </w:tcPr>
          <w:p>
            <w:r/>
            <w:r>
              <w:rPr>
                <w:rFonts w:ascii="Figtree" w:hAnsi="Figtree"/>
                <w:b w:val="0"/>
                <w:i w:val="0"/>
                <w:sz w:val="22"/>
              </w:rPr>
              <w:t>Digital Asset Lifecycle Platform</w:t>
            </w:r>
          </w:p>
        </w:tc>
      </w:tr>
      <w:tr>
        <w:trPr>
          <w:trHeight w:val="454" w:hRule="atLeast"/>
        </w:trPr>
        <w:tc>
          <w:tcPr>
            <w:tcW w:type="dxa" w:w="4873"/>
            <w:vAlign w:val="center"/>
          </w:tcPr>
          <w:p>
            <w:r/>
            <w:r>
              <w:rPr>
                <w:rFonts w:ascii="Figtree" w:hAnsi="Figtree"/>
                <w:b w:val="0"/>
                <w:i w:val="0"/>
                <w:sz w:val="22"/>
              </w:rPr>
              <w:t>Sukuk</w:t>
            </w:r>
          </w:p>
        </w:tc>
        <w:tc>
          <w:tcPr>
            <w:tcW w:type="dxa" w:w="4873"/>
            <w:vAlign w:val="center"/>
          </w:tcPr>
          <w:p>
            <w:r/>
            <w:r>
              <w:rPr>
                <w:rFonts w:ascii="Figtree" w:hAnsi="Figtree"/>
                <w:b w:val="0"/>
                <w:i w:val="0"/>
                <w:sz w:val="22"/>
              </w:rPr>
              <w:t>Islamic certificates representing ownership in underlying assets</w:t>
            </w:r>
          </w:p>
        </w:tc>
      </w:tr>
      <w:tr>
        <w:trPr>
          <w:trHeight w:val="454" w:hRule="atLeast"/>
        </w:trPr>
        <w:tc>
          <w:tcPr>
            <w:tcW w:type="dxa" w:w="4873"/>
            <w:vAlign w:val="center"/>
          </w:tcPr>
          <w:p>
            <w:r/>
            <w:r>
              <w:rPr>
                <w:rFonts w:ascii="Figtree" w:hAnsi="Figtree"/>
                <w:b w:val="0"/>
                <w:i w:val="0"/>
                <w:sz w:val="22"/>
              </w:rPr>
              <w:t>Ijarah</w:t>
            </w:r>
          </w:p>
        </w:tc>
        <w:tc>
          <w:tcPr>
            <w:tcW w:type="dxa" w:w="4873"/>
            <w:vAlign w:val="center"/>
          </w:tcPr>
          <w:p>
            <w:r/>
            <w:r>
              <w:rPr>
                <w:rFonts w:ascii="Figtree" w:hAnsi="Figtree"/>
                <w:b w:val="0"/>
                <w:i w:val="0"/>
                <w:sz w:val="22"/>
              </w:rPr>
              <w:t>Lease-based sukuk structure</w:t>
            </w:r>
          </w:p>
        </w:tc>
      </w:tr>
      <w:tr>
        <w:trPr>
          <w:trHeight w:val="454" w:hRule="atLeast"/>
        </w:trPr>
        <w:tc>
          <w:tcPr>
            <w:tcW w:type="dxa" w:w="4873"/>
            <w:vAlign w:val="center"/>
          </w:tcPr>
          <w:p>
            <w:r/>
            <w:r>
              <w:rPr>
                <w:rFonts w:ascii="Figtree" w:hAnsi="Figtree"/>
                <w:b w:val="0"/>
                <w:i w:val="0"/>
                <w:sz w:val="22"/>
              </w:rPr>
              <w:t>Mudarabah</w:t>
            </w:r>
          </w:p>
        </w:tc>
        <w:tc>
          <w:tcPr>
            <w:tcW w:type="dxa" w:w="4873"/>
            <w:vAlign w:val="center"/>
          </w:tcPr>
          <w:p>
            <w:r/>
            <w:r>
              <w:rPr>
                <w:rFonts w:ascii="Figtree" w:hAnsi="Figtree"/>
                <w:b w:val="0"/>
                <w:i w:val="0"/>
                <w:sz w:val="22"/>
              </w:rPr>
              <w:t>Profit-sharing sukuk structure</w:t>
            </w:r>
          </w:p>
        </w:tc>
      </w:tr>
      <w:tr>
        <w:trPr>
          <w:trHeight w:val="454" w:hRule="atLeast"/>
        </w:trPr>
        <w:tc>
          <w:tcPr>
            <w:tcW w:type="dxa" w:w="4873"/>
            <w:vAlign w:val="center"/>
          </w:tcPr>
          <w:p>
            <w:r/>
            <w:r>
              <w:rPr>
                <w:rFonts w:ascii="Figtree" w:hAnsi="Figtree"/>
                <w:b w:val="0"/>
                <w:i w:val="0"/>
                <w:sz w:val="22"/>
              </w:rPr>
              <w:t>Murabaha</w:t>
            </w:r>
          </w:p>
        </w:tc>
        <w:tc>
          <w:tcPr>
            <w:tcW w:type="dxa" w:w="4873"/>
            <w:vAlign w:val="center"/>
          </w:tcPr>
          <w:p>
            <w:r/>
            <w:r>
              <w:rPr>
                <w:rFonts w:ascii="Figtree" w:hAnsi="Figtree"/>
                <w:b w:val="0"/>
                <w:i w:val="0"/>
                <w:sz w:val="22"/>
              </w:rPr>
              <w:t>Cost-plus financing sukuk structure</w:t>
            </w:r>
          </w:p>
        </w:tc>
      </w:tr>
      <w:tr>
        <w:trPr>
          <w:trHeight w:val="454" w:hRule="atLeast"/>
        </w:trPr>
        <w:tc>
          <w:tcPr>
            <w:tcW w:type="dxa" w:w="4873"/>
            <w:vAlign w:val="center"/>
          </w:tcPr>
          <w:p>
            <w:r/>
            <w:r>
              <w:rPr>
                <w:rFonts w:ascii="Figtree" w:hAnsi="Figtree"/>
                <w:b w:val="0"/>
                <w:i w:val="0"/>
                <w:sz w:val="22"/>
              </w:rPr>
              <w:t>Wakalah</w:t>
            </w:r>
          </w:p>
        </w:tc>
        <w:tc>
          <w:tcPr>
            <w:tcW w:type="dxa" w:w="4873"/>
            <w:vAlign w:val="center"/>
          </w:tcPr>
          <w:p>
            <w:r/>
            <w:r>
              <w:rPr>
                <w:rFonts w:ascii="Figtree" w:hAnsi="Figtree"/>
                <w:b w:val="0"/>
                <w:i w:val="0"/>
                <w:sz w:val="22"/>
              </w:rPr>
              <w:t>Agency-based sukuk structure</w:t>
            </w:r>
          </w:p>
        </w:tc>
      </w:tr>
      <w:tr>
        <w:trPr>
          <w:trHeight w:val="454" w:hRule="atLeast"/>
        </w:trPr>
        <w:tc>
          <w:tcPr>
            <w:tcW w:type="dxa" w:w="4873"/>
            <w:vAlign w:val="center"/>
          </w:tcPr>
          <w:p>
            <w:r/>
            <w:r>
              <w:rPr>
                <w:rFonts w:ascii="Figtree" w:hAnsi="Figtree"/>
                <w:b w:val="0"/>
                <w:i w:val="0"/>
                <w:sz w:val="22"/>
              </w:rPr>
              <w:t>DALPAsset</w:t>
            </w:r>
          </w:p>
        </w:tc>
        <w:tc>
          <w:tcPr>
            <w:tcW w:type="dxa" w:w="4873"/>
            <w:vAlign w:val="center"/>
          </w:tcPr>
          <w:p>
            <w:r/>
            <w:r>
              <w:rPr>
                <w:rFonts w:ascii="Figtree" w:hAnsi="Figtree"/>
                <w:b w:val="0"/>
                <w:i w:val="0"/>
                <w:sz w:val="22"/>
              </w:rPr>
              <w:t>Configurable token contract</w:t>
            </w:r>
          </w:p>
        </w:tc>
      </w:tr>
      <w:tr>
        <w:trPr>
          <w:trHeight w:val="454" w:hRule="atLeast"/>
        </w:trPr>
        <w:tc>
          <w:tcPr>
            <w:tcW w:type="dxa" w:w="4873"/>
            <w:vAlign w:val="center"/>
          </w:tcPr>
          <w:p>
            <w:r/>
            <w:r>
              <w:rPr>
                <w:rFonts w:ascii="Figtree" w:hAnsi="Figtree"/>
                <w:b w:val="0"/>
                <w:i w:val="0"/>
                <w:sz w:val="22"/>
              </w:rPr>
              <w:t>OnchainID</w:t>
            </w:r>
          </w:p>
        </w:tc>
        <w:tc>
          <w:tcPr>
            <w:tcW w:type="dxa" w:w="4873"/>
            <w:vAlign w:val="center"/>
          </w:tcPr>
          <w:p>
            <w:r/>
            <w:r>
              <w:rPr>
                <w:rFonts w:ascii="Figtree" w:hAnsi="Figtree"/>
                <w:b w:val="0"/>
                <w:i w:val="0"/>
                <w:sz w:val="22"/>
              </w:rPr>
              <w:t>On-chain identity standard (ERC-734/735)</w:t>
            </w:r>
          </w:p>
        </w:tc>
      </w:tr>
      <w:tr>
        <w:trPr>
          <w:trHeight w:val="454" w:hRule="atLeast"/>
        </w:trPr>
        <w:tc>
          <w:tcPr>
            <w:tcW w:type="dxa" w:w="4873"/>
            <w:vAlign w:val="center"/>
          </w:tcPr>
          <w:p>
            <w:r/>
            <w:r>
              <w:rPr>
                <w:rFonts w:ascii="Figtree" w:hAnsi="Figtree"/>
                <w:b w:val="0"/>
                <w:i w:val="0"/>
                <w:sz w:val="22"/>
              </w:rPr>
              <w:t>XvP</w:t>
            </w:r>
          </w:p>
        </w:tc>
        <w:tc>
          <w:tcPr>
            <w:tcW w:type="dxa" w:w="4873"/>
            <w:vAlign w:val="center"/>
          </w:tcPr>
          <w:p>
            <w:r/>
            <w:r>
              <w:rPr>
                <w:rFonts w:ascii="Figtree" w:hAnsi="Figtree"/>
                <w:b w:val="0"/>
                <w:i w:val="0"/>
                <w:sz w:val="22"/>
              </w:rPr>
              <w:t>Exchange versus Payment — atomic settlement</w:t>
            </w:r>
          </w:p>
        </w:tc>
      </w:tr>
      <w:tr>
        <w:trPr>
          <w:trHeight w:val="454" w:hRule="atLeast"/>
        </w:trPr>
        <w:tc>
          <w:tcPr>
            <w:tcW w:type="dxa" w:w="4873"/>
            <w:vAlign w:val="center"/>
          </w:tcPr>
          <w:p>
            <w:r/>
            <w:r>
              <w:rPr>
                <w:rFonts w:ascii="Figtree" w:hAnsi="Figtree"/>
                <w:b w:val="0"/>
                <w:i w:val="0"/>
                <w:sz w:val="22"/>
              </w:rPr>
              <w:t>AAOIFI</w:t>
            </w:r>
          </w:p>
        </w:tc>
        <w:tc>
          <w:tcPr>
            <w:tcW w:type="dxa" w:w="4873"/>
            <w:vAlign w:val="center"/>
          </w:tcPr>
          <w:p>
            <w:r/>
            <w:r>
              <w:rPr>
                <w:rFonts w:ascii="Figtree" w:hAnsi="Figtree"/>
                <w:b w:val="0"/>
                <w:i w:val="0"/>
                <w:sz w:val="22"/>
              </w:rPr>
              <w:t>Accounting and Auditing Organization for Islamic Financial Institutions</w:t>
            </w:r>
          </w:p>
        </w:tc>
      </w:tr>
      <w:tr>
        <w:trPr>
          <w:trHeight w:val="454" w:hRule="atLeast"/>
        </w:trPr>
        <w:tc>
          <w:tcPr>
            <w:tcW w:type="dxa" w:w="4873"/>
            <w:vAlign w:val="center"/>
          </w:tcPr>
          <w:p>
            <w:r/>
            <w:r>
              <w:rPr>
                <w:rFonts w:ascii="Figtree" w:hAnsi="Figtree"/>
                <w:b w:val="0"/>
                <w:i w:val="0"/>
                <w:sz w:val="22"/>
              </w:rPr>
              <w:t>QCB</w:t>
            </w:r>
          </w:p>
        </w:tc>
        <w:tc>
          <w:tcPr>
            <w:tcW w:type="dxa" w:w="4873"/>
            <w:vAlign w:val="center"/>
          </w:tcPr>
          <w:p>
            <w:r/>
            <w:r>
              <w:rPr>
                <w:rFonts w:ascii="Figtree" w:hAnsi="Figtree"/>
                <w:b w:val="0"/>
                <w:i w:val="0"/>
                <w:sz w:val="22"/>
              </w:rPr>
              <w:t>Qatar Central Bank</w:t>
            </w:r>
          </w:p>
        </w:tc>
      </w:tr>
      <w:tr>
        <w:trPr>
          <w:trHeight w:val="454" w:hRule="atLeast"/>
        </w:trPr>
        <w:tc>
          <w:tcPr>
            <w:tcW w:type="dxa" w:w="4873"/>
            <w:vAlign w:val="center"/>
          </w:tcPr>
          <w:p>
            <w:r/>
            <w:r>
              <w:rPr>
                <w:rFonts w:ascii="Figtree" w:hAnsi="Figtree"/>
                <w:b w:val="0"/>
                <w:i w:val="0"/>
                <w:sz w:val="22"/>
              </w:rPr>
              <w:t>QFC</w:t>
            </w:r>
          </w:p>
        </w:tc>
        <w:tc>
          <w:tcPr>
            <w:tcW w:type="dxa" w:w="4873"/>
            <w:vAlign w:val="center"/>
          </w:tcPr>
          <w:p>
            <w:r/>
            <w:r>
              <w:rPr>
                <w:rFonts w:ascii="Figtree" w:hAnsi="Figtree"/>
                <w:b w:val="0"/>
                <w:i w:val="0"/>
                <w:sz w:val="22"/>
              </w:rPr>
              <w:t>Qatar Financial Centre</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