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About SettleMint</w:t>
            <w:rPr>
              <w:sz w:val="22"/>
              <w:rFonts w:ascii="Figtree" w:hAnsi="Figtree"/>
            </w:rPr>
          </w:r>
        </w:p>
        <w:p>
          <w:pPr>
            <w:ind w:left="1440"/>
          </w:pPr>
          <w:r>
            <w:t xml:space="preserve">Company Overview and KSA Credentials</w:t>
            <w:rPr>
              <w:sz w:val="22"/>
              <w:rFonts w:ascii="Figtree" w:hAnsi="Figtree"/>
            </w:rPr>
          </w:r>
        </w:p>
        <w:p>
          <w:pPr>
            <w:ind w:left="720"/>
          </w:pPr>
          <w:r>
            <w:t xml:space="preserve">About DALP</w:t>
            <w:rPr>
              <w:sz w:val="22"/>
              <w:rFonts w:ascii="Figtree" w:hAnsi="Figtree"/>
            </w:rPr>
          </w:r>
        </w:p>
        <w:p>
          <w:pPr>
            <w:ind w:left="1440"/>
          </w:pPr>
          <w:r>
            <w:t xml:space="preserve">Fixed Income Lifecycle</w:t>
            <w:rPr>
              <w:sz w:val="22"/>
              <w:rFonts w:ascii="Figtree" w:hAnsi="Figtree"/>
            </w:rPr>
          </w:r>
        </w:p>
        <w:p>
          <w:pPr>
            <w:ind w:left="720"/>
          </w:pPr>
          <w:r>
            <w:t xml:space="preserve">Understanding SNB's Programme Objectives</w:t>
            <w:rPr>
              <w:sz w:val="22"/>
              <w:rFonts w:ascii="Figtree" w:hAnsi="Figtree"/>
            </w:rPr>
          </w:r>
        </w:p>
        <w:p>
          <w:pPr>
            <w:ind w:left="1440"/>
          </w:pPr>
          <w:r>
            <w:t xml:space="preserve">Client Context</w:t>
            <w:rPr>
              <w:sz w:val="22"/>
              <w:rFonts w:ascii="Figtree" w:hAnsi="Figtree"/>
            </w:rPr>
          </w:r>
        </w:p>
        <w:p>
          <w:pPr>
            <w:ind w:left="1440"/>
          </w:pPr>
          <w:r>
            <w:t xml:space="preserve">Regulatory Context: KSA</w:t>
            <w:rPr>
              <w:sz w:val="22"/>
              <w:rFonts w:ascii="Figtree" w:hAnsi="Figtree"/>
            </w:rPr>
          </w:r>
        </w:p>
        <w:p>
          <w:pPr>
            <w:ind w:left="720"/>
          </w:pPr>
          <w:r>
            <w:t xml:space="preserve">Customer References</w:t>
            <w:rPr>
              <w:sz w:val="22"/>
              <w:rFonts w:ascii="Figtree" w:hAnsi="Figtree"/>
            </w:rPr>
          </w:r>
        </w:p>
        <w:p>
          <w:pPr>
            <w:ind w:left="1440"/>
          </w:pPr>
          <w:r>
            <w:t xml:space="preserve">Fixed Income Reference Fit</w:t>
            <w:rPr>
              <w:sz w:val="22"/>
              <w:rFonts w:ascii="Figtree" w:hAnsi="Figtree"/>
            </w:rPr>
          </w:r>
        </w:p>
        <w:p>
          <w:pPr>
            <w:ind w:left="1440"/>
          </w:pPr>
          <w:r>
            <w:t xml:space="preserve">Expanded Reference: Commerzbank ETP</w:t>
            <w:rPr>
              <w:sz w:val="22"/>
              <w:rFonts w:ascii="Figtree" w:hAnsi="Figtree"/>
            </w:rPr>
          </w:r>
        </w:p>
        <w:p>
          <w:pPr>
            <w:ind w:left="720"/>
          </w:pPr>
          <w:r>
            <w:t xml:space="preserve">Proposed Solution and Functional Capabilities</w:t>
            <w:rPr>
              <w:sz w:val="22"/>
              <w:rFonts w:ascii="Figtree" w:hAnsi="Figtree"/>
            </w:rPr>
          </w:r>
        </w:p>
        <w:p>
          <w:pPr>
            <w:ind w:left="1440"/>
          </w:pPr>
          <w:r>
            <w:t xml:space="preserve">Bond Configuration</w:t>
            <w:rPr>
              <w:sz w:val="22"/>
              <w:rFonts w:ascii="Figtree" w:hAnsi="Figtree"/>
            </w:rPr>
          </w:r>
        </w:p>
        <w:p>
          <w:pPr>
            <w:ind w:left="1440"/>
          </w:pPr>
          <w:r>
            <w:t xml:space="preserve">Token Configuration for SNB Bonds</w:t>
            <w:rPr>
              <w:sz w:val="22"/>
              <w:rFonts w:ascii="Figtree" w:hAnsi="Figtree"/>
            </w:rPr>
          </w:r>
        </w:p>
        <w:p>
          <w:pPr>
            <w:ind w:left="1440"/>
          </w:pPr>
          <w:r>
            <w:t xml:space="preserve">Investor Servicing</w:t>
            <w:rPr>
              <w:sz w:val="22"/>
              <w:rFonts w:ascii="Figtree" w:hAnsi="Figtree"/>
            </w:rPr>
          </w:r>
        </w:p>
        <w:p>
          <w:pPr>
            <w:ind w:left="1440"/>
          </w:pPr>
          <w:r>
            <w:t xml:space="preserve">Compliance Enforcement</w:t>
            <w:rPr>
              <w:sz w:val="22"/>
              <w:rFonts w:ascii="Figtree" w:hAnsi="Figtree"/>
            </w:rPr>
          </w:r>
        </w:p>
        <w:p>
          <w:pPr>
            <w:ind w:left="1440"/>
          </w:pPr>
          <w:r>
            <w:t xml:space="preserve">Settlement Architecture</w:t>
            <w:rPr>
              <w:sz w:val="22"/>
              <w:rFonts w:ascii="Figtree" w:hAnsi="Figtree"/>
            </w:rPr>
          </w:r>
        </w:p>
        <w:p>
          <w:pPr>
            <w:ind w:left="1440"/>
          </w:pPr>
          <w:r>
            <w:t xml:space="preserve">Functional Fit Matrix</w:t>
            <w:rPr>
              <w:sz w:val="22"/>
              <w:rFonts w:ascii="Figtree" w:hAnsi="Figtree"/>
            </w:rPr>
          </w:r>
        </w:p>
        <w:p>
          <w:pPr>
            <w:ind w:left="720"/>
          </w:pPr>
          <w:r>
            <w:t xml:space="preserve">Technical Architecture</w:t>
            <w:rPr>
              <w:sz w:val="22"/>
              <w:rFonts w:ascii="Figtree" w:hAnsi="Figtree"/>
            </w:rPr>
          </w:r>
        </w:p>
        <w:p>
          <w:pPr>
            <w:ind w:left="1440"/>
          </w:pPr>
          <w:r>
            <w:t xml:space="preserve">Four-Layer Stack</w:t>
            <w:rPr>
              <w:sz w:val="22"/>
              <w:rFonts w:ascii="Figtree" w:hAnsi="Figtree"/>
            </w:rPr>
          </w:r>
        </w:p>
        <w:p>
          <w:pPr>
            <w:ind w:left="1440"/>
          </w:pPr>
          <w:r>
            <w:t xml:space="preserve">Network: Permissioned Hyperledger Besu</w:t>
            <w:rPr>
              <w:sz w:val="22"/>
              <w:rFonts w:ascii="Figtree" w:hAnsi="Figtree"/>
            </w:rPr>
          </w:r>
        </w:p>
        <w:p>
          <w:pPr>
            <w:ind w:left="1440"/>
          </w:pPr>
          <w:r>
            <w:t xml:space="preserve">Security: 5-Layer Defense-in-Depth</w:t>
            <w:rPr>
              <w:sz w:val="22"/>
              <w:rFonts w:ascii="Figtree" w:hAnsi="Figtree"/>
            </w:rPr>
          </w:r>
        </w:p>
        <w:p>
          <w:pPr>
            <w:ind w:left="720"/>
          </w:pPr>
          <w:r>
            <w:t xml:space="preserve">Implementation (19 Weeks)</w:t>
            <w:rPr>
              <w:sz w:val="22"/>
              <w:rFonts w:ascii="Figtree" w:hAnsi="Figtree"/>
            </w:rPr>
          </w:r>
        </w:p>
        <w:p>
          <w:pPr>
            <w:ind w:left="720"/>
          </w:pPr>
          <w:r>
            <w:t xml:space="preserve">Deployment</w:t>
            <w:rPr>
              <w:sz w:val="22"/>
              <w:rFonts w:ascii="Figtree" w:hAnsi="Figtree"/>
            </w:rPr>
          </w:r>
        </w:p>
        <w:p>
          <w:pPr>
            <w:ind w:left="720"/>
          </w:pPr>
          <w:r>
            <w:t xml:space="preserve">Support: Premium</w:t>
            <w:rPr>
              <w:sz w:val="22"/>
              <w:rFonts w:ascii="Figtree" w:hAnsi="Figtree"/>
            </w:rPr>
          </w:r>
        </w:p>
        <w:p>
          <w:pPr>
            <w:ind w:left="720"/>
          </w:pPr>
          <w:r>
            <w:t xml:space="preserve">Risk Register</w:t>
            <w:rPr>
              <w:sz w:val="22"/>
              <w:rFonts w:ascii="Figtree" w:hAnsi="Figtree"/>
            </w:rPr>
          </w:r>
        </w:p>
        <w:p>
          <w:pPr>
            <w:ind w:left="720"/>
          </w:pPr>
          <w:r>
            <w:t xml:space="preserve">Gaps</w:t>
            <w:rPr>
              <w:sz w:val="22"/>
              <w:rFonts w:ascii="Figtree" w:hAnsi="Figtree"/>
            </w:rPr>
          </w:r>
        </w:p>
        <w:p>
          <w:pPr>
            <w:ind w:left="720"/>
          </w:pPr>
          <w:r>
            <w:t xml:space="preserve">Appendices</w:t>
            <w:rPr>
              <w:sz w:val="22"/>
              <w:rFonts w:ascii="Figtree" w:hAnsi="Figtree"/>
            </w:rPr>
          </w:r>
        </w:p>
        <w:p>
          <w:pPr>
            <w:ind w:left="1440"/>
          </w:pPr>
          <w:r>
            <w:t xml:space="preserve">Glossary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Tokenized Fixed Income Origination and Investor Servicing</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Saudi National Bank</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SAUDI-NATIONAL-BANK-RFP-TOKENIZED-FIXED-INCOME-202603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SNB's Programme Objectives</w:t>
      </w:r>
    </w:p>
    <w:p>
      <w:pPr>
        <w:pStyle w:val="ListParagraph"/>
        <w:numPr>
          <w:ilvl w:val="0"/>
          <w:numId w:val="4"/>
        </w:numPr>
      </w:pPr>
      <w:r>
        <w:rPr>
          <w:rFonts w:ascii="Figtree" w:hAnsi="Figtree"/>
          <w:b w:val="0"/>
          <w:i w:val="0"/>
          <w:sz w:val="22"/>
        </w:rPr>
        <w:t>Customer References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Smart Contract Architecture for Fixed Income</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Deployment Model</w:t>
      </w:r>
    </w:p>
    <w:p>
      <w:pPr>
        <w:pStyle w:val="ListParagraph"/>
        <w:numPr>
          <w:ilvl w:val="0"/>
          <w:numId w:val="4"/>
        </w:numPr>
      </w:pPr>
      <w:r>
        <w:rPr>
          <w:rFonts w:ascii="Figtree" w:hAnsi="Figtree"/>
          <w:b w:val="0"/>
          <w:i w:val="0"/>
          <w:sz w:val="22"/>
        </w:rPr>
        <w:t>Training and Knowledge Transfer</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Risk Management</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Compliance Matrix</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Saudi National Bank has identified tokenized fixed income origination and investor servicing as a business-critical capability requiring production-grade discipline. This is a procurement to assess whether the market can supply a dependable platform for designing, issuing, servicing, and distributing tokenized bonds and sukuk within SAMA regulatory expectations, CMA capital markets rules, and the bank's internal control environment.</w:t>
      </w:r>
    </w:p>
    <w:p>
      <w:r>
        <w:rPr>
          <w:rFonts w:ascii="Figtree" w:hAnsi="Figtree"/>
          <w:b w:val="0"/>
          <w:i w:val="0"/>
          <w:sz w:val="22"/>
        </w:rPr>
        <w:t>SettleMint's Digital Asset Lifecycle Platform (DALP) addresses this requirement directly. DALP provides production-ready infrastructure for the full fixed income lifecycle — from instrument design and issuance through coupon distribution, corporate actions, maturity processing, and retirement — with compliance enforcement, identity verification, and governance controls embedded at the smart contract level.</w:t>
      </w:r>
    </w:p>
    <w:p>
      <w:r>
        <w:rPr>
          <w:rFonts w:ascii="Figtree" w:hAnsi="Figtree"/>
          <w:b/>
          <w:i w:val="0"/>
          <w:sz w:val="22"/>
        </w:rPr>
        <w:t>Why DALP fits Saudi National Bank's requirements:</w:t>
      </w:r>
    </w:p>
    <w:p>
      <w:pPr>
        <w:pStyle w:val="ListParagraph"/>
        <w:numPr>
          <w:ilvl w:val="0"/>
          <w:numId w:val="4"/>
        </w:numPr>
      </w:pPr>
      <w:r>
        <w:rPr>
          <w:rFonts w:ascii="Figtree" w:hAnsi="Figtree"/>
          <w:b/>
          <w:i w:val="0"/>
          <w:sz w:val="22"/>
        </w:rPr>
        <w:t>Native fixed income architecture.</w:t>
      </w:r>
      <w:r>
        <w:rPr>
          <w:rFonts w:ascii="Figtree" w:hAnsi="Figtree"/>
          <w:b w:val="0"/>
          <w:i w:val="0"/>
          <w:sz w:val="22"/>
        </w:rPr>
        <w:t xml:space="preserve"> DALP's Asset Designer supports bonds as a primary asset class with configurable parameters: ISIN, maturity date, face value, denomination asset linking, coupon structure, and compliance rules. The fixed treasury yield feature automates interest accrual and distribution. The maturity and redemption feature handles automated processing at maturity. XvP settlement provides atomic delivery-versus-payment for primary issuance and secondary trading.</w:t>
      </w:r>
    </w:p>
    <w:p>
      <w:pPr>
        <w:pStyle w:val="ListParagraph"/>
        <w:numPr>
          <w:ilvl w:val="0"/>
          <w:numId w:val="4"/>
        </w:numPr>
      </w:pPr>
      <w:r>
        <w:rPr>
          <w:rFonts w:ascii="Figtree" w:hAnsi="Figtree"/>
          <w:b/>
          <w:i w:val="0"/>
          <w:sz w:val="22"/>
        </w:rPr>
        <w:t>Saudi Arabia market presence.</w:t>
      </w:r>
      <w:r>
        <w:rPr>
          <w:rFonts w:ascii="Figtree" w:hAnsi="Figtree"/>
          <w:b w:val="0"/>
          <w:i w:val="0"/>
          <w:sz w:val="22"/>
        </w:rPr>
        <w:t xml:space="preserve"> SettleMint's deepest Gulf engagement is the Saudi Arabia Real Estate Registry (RER) — the first country in the world to deploy a national-scale property blockchain under REGA and Vision 2030. This sovereign-scale program demonstrates DALP's ability to operate within KSA's regulatory framework, integrate with national infrastructure (Yakeen identity, Sadad payments), and meet the governance expectations of Saudi government institutions.</w:t>
      </w:r>
    </w:p>
    <w:p>
      <w:pPr>
        <w:pStyle w:val="ListParagraph"/>
        <w:numPr>
          <w:ilvl w:val="0"/>
          <w:numId w:val="4"/>
        </w:numPr>
      </w:pPr>
      <w:r>
        <w:rPr>
          <w:rFonts w:ascii="Figtree" w:hAnsi="Figtree"/>
          <w:b/>
          <w:i w:val="0"/>
          <w:sz w:val="22"/>
        </w:rPr>
        <w:t>Institutional-scale production track record.</w:t>
      </w:r>
      <w:r>
        <w:rPr>
          <w:rFonts w:ascii="Figtree" w:hAnsi="Figtree"/>
          <w:b w:val="0"/>
          <w:i w:val="0"/>
          <w:sz w:val="22"/>
        </w:rPr>
        <w:t xml:space="preserve"> Production deployments include Commerzbank (exchange-traded products with settlement under 10 seconds, projected EUR 7M/year savings), Standard Chartered Bank (Digital Virtual Exchange), OCBC Bank (security token engine), State Bank of India (CBDC infrastructure), and the Islamic Development Bank (Sharia-compliant subsidy distribution across 57 countries serving 1.7 billion people).</w:t>
      </w:r>
    </w:p>
    <w:p>
      <w:pPr>
        <w:pStyle w:val="ListParagraph"/>
        <w:numPr>
          <w:ilvl w:val="0"/>
          <w:numId w:val="4"/>
        </w:numPr>
      </w:pPr>
      <w:r>
        <w:rPr>
          <w:rFonts w:ascii="Figtree" w:hAnsi="Figtree"/>
          <w:b/>
          <w:i w:val="0"/>
          <w:sz w:val="22"/>
        </w:rPr>
        <w:t>Enterprise integration.</w:t>
      </w:r>
      <w:r>
        <w:rPr>
          <w:rFonts w:ascii="Figtree" w:hAnsi="Figtree"/>
          <w:b w:val="0"/>
          <w:i w:val="0"/>
          <w:sz w:val="22"/>
        </w:rPr>
        <w:t xml:space="preserve"> DALP connects to core banking, treasury systems, investor registry, regulatory reporting, and market infrastructure through REST API v2 (OpenAPI 3.1), GraphQL, webhooks, TypeScript SDK, and CLI (301 commands across 26 command groups).</w:t>
      </w:r>
    </w:p>
    <w:p>
      <w:pPr>
        <w:pStyle w:val="ListParagraph"/>
        <w:numPr>
          <w:ilvl w:val="0"/>
          <w:numId w:val="4"/>
        </w:numPr>
      </w:pPr>
      <w:r>
        <w:rPr>
          <w:rFonts w:ascii="Figtree" w:hAnsi="Figtree"/>
          <w:b/>
          <w:i w:val="0"/>
          <w:sz w:val="22"/>
        </w:rPr>
        <w:t>Control integrity.</w:t>
      </w:r>
      <w:r>
        <w:rPr>
          <w:rFonts w:ascii="Figtree" w:hAnsi="Figtree"/>
          <w:b w:val="0"/>
          <w:i w:val="0"/>
          <w:sz w:val="22"/>
        </w:rPr>
        <w:t xml:space="preserve"> Every operation produces a complete audit trail. Role-based access control with 26 roles, maker-checker workflows, wallet verification step-up authentication, and on-chain compliance enforcement with 18 module types.</w:t>
      </w:r>
    </w:p>
    <w:p>
      <w:r>
        <w:rPr>
          <w:rFonts w:ascii="Figtree" w:hAnsi="Figtree"/>
          <w:b w:val="0"/>
          <w:i w:val="0"/>
          <w:sz w:val="22"/>
        </w:rPr>
        <w:t>The proposed implementation follows a 19-week phase-gated methodology. The first fixed income product can be live within 13 weeks of kickoff.</w:t>
      </w:r>
    </w:p>
    <w:p>
      <w:pPr>
        <w:jc w:val="center"/>
      </w:pPr>
      <w:r>
        <w:drawing>
          <wp:inline xmlns:a="http://schemas.openxmlformats.org/drawingml/2006/main" xmlns:pic="http://schemas.openxmlformats.org/drawingml/2006/picture">
            <wp:extent cx="5486400" cy="171450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714500"/>
                    </a:xfrm>
                    <a:prstGeom prst="rect"/>
                  </pic:spPr>
                </pic:pic>
              </a:graphicData>
            </a:graphic>
          </wp:inline>
        </w:drawing>
      </w:r>
    </w:p>
    <w:p>
      <w:r>
        <w:br w:type="page"/>
      </w:r>
    </w:p>
    <w:p>
      <w:pPr>
        <w:pStyle w:val="H2"/>
        <w:numPr>
          <w:ilvl w:val="1"/>
          <w:numId w:val="1"/>
        </w:numPr>
      </w:pPr>
      <w:r>
        <w:t>About SettleMint</w:t>
      </w:r>
    </w:p>
    <w:p>
      <w:pPr>
        <w:pStyle w:val="H3"/>
        <w:numPr>
          <w:ilvl w:val="2"/>
          <w:numId w:val="1"/>
        </w:numPr>
      </w:pPr>
      <w:r>
        <w:t>Company Overview and KSA Credentials</w:t>
      </w:r>
    </w:p>
    <w:p>
      <w:r>
        <w:rPr>
          <w:rFonts w:ascii="Figtree" w:hAnsi="Figtree"/>
          <w:b w:val="0"/>
          <w:i w:val="0"/>
          <w:sz w:val="22"/>
        </w:rPr>
        <w:t>SettleMint is the production-grade digital asset lifecycle management company for regulated financial markets. Founded 2016, headquartered in Leuven, Belgium. 10 years of continuous operation, 7+ years of production deployments at regulated banks.</w:t>
      </w:r>
    </w:p>
    <w:p>
      <w:r>
        <w:rPr>
          <w:rFonts w:ascii="Figtree" w:hAnsi="Figtree"/>
          <w:b/>
          <w:i w:val="0"/>
          <w:sz w:val="22"/>
        </w:rPr>
        <w:t>KSA-specific credentials: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Credential</w:t>
            </w:r>
          </w:p>
        </w:tc>
        <w:tc>
          <w:tcPr>
            <w:tcW w:type="dxa" w:w="4873"/>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4873"/>
            <w:vAlign w:val="center"/>
          </w:tcPr>
          <w:p>
            <w:r/>
            <w:r>
              <w:rPr>
                <w:rFonts w:ascii="Figtree" w:hAnsi="Figtree"/>
                <w:b w:val="0"/>
                <w:i w:val="0"/>
                <w:sz w:val="22"/>
              </w:rPr>
              <w:t>Saudi RER</w:t>
            </w:r>
          </w:p>
        </w:tc>
        <w:tc>
          <w:tcPr>
            <w:tcW w:type="dxa" w:w="4873"/>
            <w:vAlign w:val="center"/>
          </w:tcPr>
          <w:p>
            <w:r/>
            <w:r>
              <w:rPr>
                <w:rFonts w:ascii="Figtree" w:hAnsi="Figtree"/>
                <w:b w:val="0"/>
                <w:i w:val="0"/>
                <w:sz w:val="22"/>
              </w:rPr>
              <w:t>Country-scale real estate blockchain under REGA/Vision 2030</w:t>
            </w:r>
          </w:p>
        </w:tc>
      </w:tr>
      <w:tr>
        <w:trPr>
          <w:trHeight w:val="454" w:hRule="atLeast"/>
        </w:trPr>
        <w:tc>
          <w:tcPr>
            <w:tcW w:type="dxa" w:w="4873"/>
            <w:vAlign w:val="center"/>
          </w:tcPr>
          <w:p>
            <w:r/>
            <w:r>
              <w:rPr>
                <w:rFonts w:ascii="Figtree" w:hAnsi="Figtree"/>
                <w:b w:val="0"/>
                <w:i w:val="0"/>
                <w:sz w:val="22"/>
              </w:rPr>
              <w:t>Islamic Development Bank</w:t>
            </w:r>
          </w:p>
        </w:tc>
        <w:tc>
          <w:tcPr>
            <w:tcW w:type="dxa" w:w="4873"/>
            <w:vAlign w:val="center"/>
          </w:tcPr>
          <w:p>
            <w:r/>
            <w:r>
              <w:rPr>
                <w:rFonts w:ascii="Figtree" w:hAnsi="Figtree"/>
                <w:b w:val="0"/>
                <w:i w:val="0"/>
                <w:sz w:val="22"/>
              </w:rPr>
              <w:t>Sharia-compliant subsidy distribution, 57 countries</w:t>
            </w:r>
          </w:p>
        </w:tc>
      </w:tr>
      <w:tr>
        <w:trPr>
          <w:trHeight w:val="454" w:hRule="atLeast"/>
        </w:trPr>
        <w:tc>
          <w:tcPr>
            <w:tcW w:type="dxa" w:w="4873"/>
            <w:vAlign w:val="center"/>
          </w:tcPr>
          <w:p>
            <w:r/>
            <w:r>
              <w:rPr>
                <w:rFonts w:ascii="Figtree" w:hAnsi="Figtree"/>
                <w:b w:val="0"/>
                <w:i w:val="0"/>
                <w:sz w:val="22"/>
              </w:rPr>
              <w:t>Al Rajhi Bank engagement</w:t>
            </w:r>
          </w:p>
        </w:tc>
        <w:tc>
          <w:tcPr>
            <w:tcW w:type="dxa" w:w="4873"/>
            <w:vAlign w:val="center"/>
          </w:tcPr>
          <w:p>
            <w:r/>
            <w:r>
              <w:rPr>
                <w:rFonts w:ascii="Figtree" w:hAnsi="Figtree"/>
                <w:b w:val="0"/>
                <w:i w:val="0"/>
                <w:sz w:val="22"/>
              </w:rPr>
              <w:t>DALP proposal for Sharia-compliant tokenized products</w:t>
            </w:r>
          </w:p>
        </w:tc>
      </w:tr>
      <w:tr>
        <w:trPr>
          <w:trHeight w:val="454" w:hRule="atLeast"/>
        </w:trPr>
        <w:tc>
          <w:tcPr>
            <w:tcW w:type="dxa" w:w="4873"/>
            <w:vAlign w:val="center"/>
          </w:tcPr>
          <w:p>
            <w:r/>
            <w:r>
              <w:rPr>
                <w:rFonts w:ascii="Figtree" w:hAnsi="Figtree"/>
                <w:b w:val="0"/>
                <w:i w:val="0"/>
                <w:sz w:val="22"/>
              </w:rPr>
              <w:t>Regional office</w:t>
            </w:r>
          </w:p>
        </w:tc>
        <w:tc>
          <w:tcPr>
            <w:tcW w:type="dxa" w:w="4873"/>
            <w:vAlign w:val="center"/>
          </w:tcPr>
          <w:p>
            <w:r/>
            <w:r>
              <w:rPr>
                <w:rFonts w:ascii="Figtree" w:hAnsi="Figtree"/>
                <w:b w:val="0"/>
                <w:i w:val="0"/>
                <w:sz w:val="22"/>
              </w:rPr>
              <w:t>Active Middle East operations</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bl>
    <w:p>
      <w:r>
        <w:br w:type="page"/>
      </w:r>
    </w:p>
    <w:p>
      <w:pPr>
        <w:pStyle w:val="H2"/>
        <w:numPr>
          <w:ilvl w:val="1"/>
          <w:numId w:val="1"/>
        </w:numPr>
      </w:pPr>
      <w:r>
        <w:t>About DALP</w:t>
      </w:r>
    </w:p>
    <w:p>
      <w:pPr>
        <w:pStyle w:val="H3"/>
        <w:numPr>
          <w:ilvl w:val="2"/>
          <w:numId w:val="1"/>
        </w:numPr>
      </w:pPr>
      <w:r>
        <w:t>Fixed Income Lifecycle</w:t>
      </w:r>
    </w:p>
    <w:p>
      <w:pPr>
        <w:jc w:val="center"/>
      </w:pPr>
      <w:r>
        <w:drawing>
          <wp:inline xmlns:a="http://schemas.openxmlformats.org/drawingml/2006/main" xmlns:pic="http://schemas.openxmlformats.org/drawingml/2006/picture">
            <wp:extent cx="5486400" cy="3429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42900"/>
                    </a:xfrm>
                    <a:prstGeom prst="rect"/>
                  </pic:spPr>
                </pic:pic>
              </a:graphicData>
            </a:graphic>
          </wp:inline>
        </w:drawing>
      </w:r>
    </w:p>
    <w:p>
      <w:r>
        <w:rPr>
          <w:rFonts w:ascii="Figtree" w:hAnsi="Figtree"/>
          <w:b w:val="0"/>
          <w:i w:val="0"/>
          <w:sz w:val="22"/>
        </w:rPr>
        <w:t>DALP covers every stage of the fixed income lifecycle:</w:t>
      </w:r>
    </w:p>
    <w:p>
      <w:r>
        <w:rPr>
          <w:rFonts w:ascii="Figtree" w:hAnsi="Figtree"/>
          <w:b/>
          <w:i w:val="0"/>
          <w:sz w:val="22"/>
        </w:rPr>
        <w:t>Design:</w:t>
      </w:r>
      <w:r>
        <w:rPr>
          <w:rFonts w:ascii="Figtree" w:hAnsi="Figtree"/>
          <w:b w:val="0"/>
          <w:i w:val="0"/>
          <w:sz w:val="22"/>
        </w:rPr>
        <w:t xml:space="preserve"> Asset Designer wizard captures bond-specific parameters — ISIN, maturity date, face value, denomination asset, coupon frequency, compliance modules. No custom smart contract development required.</w:t>
      </w:r>
    </w:p>
    <w:p>
      <w:r>
        <w:rPr>
          <w:rFonts w:ascii="Figtree" w:hAnsi="Figtree"/>
          <w:b/>
          <w:i w:val="0"/>
          <w:sz w:val="22"/>
        </w:rPr>
        <w:t>Issuance:</w:t>
      </w:r>
      <w:r>
        <w:rPr>
          <w:rFonts w:ascii="Figtree" w:hAnsi="Figtree"/>
          <w:b w:val="0"/>
          <w:i w:val="0"/>
          <w:sz w:val="22"/>
        </w:rPr>
        <w:t xml:space="preserve"> Factory pattern deployment with CREATE2 deterministic addressing. Atomic deployment: identity registration, compliance binding, and role assignment in a single transaction.</w:t>
      </w:r>
    </w:p>
    <w:p>
      <w:r>
        <w:rPr>
          <w:rFonts w:ascii="Figtree" w:hAnsi="Figtree"/>
          <w:b/>
          <w:i w:val="0"/>
          <w:sz w:val="22"/>
        </w:rPr>
        <w:t>Primary Distribution:</w:t>
      </w:r>
      <w:r>
        <w:rPr>
          <w:rFonts w:ascii="Figtree" w:hAnsi="Figtree"/>
          <w:b w:val="0"/>
          <w:i w:val="0"/>
          <w:sz w:val="22"/>
        </w:rPr>
        <w:t xml:space="preserve"> XvP settlement addon provides atomic DvP for primary market placement. Both legs — bond token delivery and payment — execute in a single atomic transaction.</w:t>
      </w:r>
    </w:p>
    <w:p>
      <w:r>
        <w:rPr>
          <w:rFonts w:ascii="Figtree" w:hAnsi="Figtree"/>
          <w:b/>
          <w:i w:val="0"/>
          <w:sz w:val="22"/>
        </w:rPr>
        <w:t>Secondary Trading:</w:t>
      </w:r>
      <w:r>
        <w:rPr>
          <w:rFonts w:ascii="Figtree" w:hAnsi="Figtree"/>
          <w:b w:val="0"/>
          <w:i w:val="0"/>
          <w:sz w:val="22"/>
        </w:rPr>
        <w:t xml:space="preserve"> Compliance engine enforces eligibility on every transfer. Transfer approval module enables maker-checker for secondary trades. Timelock module enforces holding period restrictions where applicable.</w:t>
      </w:r>
    </w:p>
    <w:p>
      <w:r>
        <w:rPr>
          <w:rFonts w:ascii="Figtree" w:hAnsi="Figtree"/>
          <w:b/>
          <w:i w:val="0"/>
          <w:sz w:val="22"/>
        </w:rPr>
        <w:t>Servicing:</w:t>
      </w:r>
      <w:r>
        <w:rPr>
          <w:rFonts w:ascii="Figtree" w:hAnsi="Figtree"/>
          <w:b w:val="0"/>
          <w:i w:val="0"/>
          <w:sz w:val="22"/>
        </w:rPr>
        <w:t xml:space="preserve"> Fixed treasury yield automates coupon distribution. Historical balances feature enables ex-date/record-date snapshot capability. Corporate actions via SMART Protocol governance.</w:t>
      </w:r>
    </w:p>
    <w:p>
      <w:r>
        <w:rPr>
          <w:rFonts w:ascii="Figtree" w:hAnsi="Figtree"/>
          <w:b/>
          <w:i w:val="0"/>
          <w:sz w:val="22"/>
        </w:rPr>
        <w:t>Maturity:</w:t>
      </w:r>
      <w:r>
        <w:rPr>
          <w:rFonts w:ascii="Figtree" w:hAnsi="Figtree"/>
          <w:b w:val="0"/>
          <w:i w:val="0"/>
          <w:sz w:val="22"/>
        </w:rPr>
        <w:t xml:space="preserve"> Maturity and redemption feature triggers automatic processing at maturity date. Redemption via atomic DvP (bond tokens burned, denomination tokens transferred).</w:t>
      </w:r>
    </w:p>
    <w:p>
      <w:r>
        <w:rPr>
          <w:rFonts w:ascii="Figtree" w:hAnsi="Figtree"/>
          <w:b/>
          <w:i w:val="0"/>
          <w:sz w:val="22"/>
        </w:rPr>
        <w:t>Retirement:</w:t>
      </w:r>
      <w:r>
        <w:rPr>
          <w:rFonts w:ascii="Figtree" w:hAnsi="Figtree"/>
          <w:b w:val="0"/>
          <w:i w:val="0"/>
          <w:sz w:val="22"/>
        </w:rPr>
        <w:t xml:space="preserve"> Token burn after redemption with full lifecycle evidence preserved on-chain.</w:t>
      </w:r>
    </w:p>
    <w:p>
      <w:r>
        <w:br w:type="page"/>
      </w:r>
    </w:p>
    <w:p>
      <w:pPr>
        <w:pStyle w:val="H2"/>
        <w:numPr>
          <w:ilvl w:val="1"/>
          <w:numId w:val="1"/>
        </w:numPr>
      </w:pPr>
      <w:r>
        <w:t>Understanding SNB's Programme Objectives</w:t>
      </w:r>
    </w:p>
    <w:p>
      <w:pPr>
        <w:pStyle w:val="H3"/>
        <w:numPr>
          <w:ilvl w:val="2"/>
          <w:numId w:val="1"/>
        </w:numPr>
      </w:pPr>
      <w:r>
        <w:t>Client Context</w:t>
      </w:r>
    </w:p>
    <w:p>
      <w:r>
        <w:rPr>
          <w:rFonts w:ascii="Figtree" w:hAnsi="Figtree"/>
          <w:b w:val="0"/>
          <w:i w:val="0"/>
          <w:sz w:val="22"/>
        </w:rPr>
        <w:t>Saudi National Bank's procurement addresses three challenges:</w:t>
      </w:r>
    </w:p>
    <w:p>
      <w:r>
        <w:rPr>
          <w:rFonts w:ascii="Figtree" w:hAnsi="Figtree"/>
          <w:b/>
          <w:i w:val="0"/>
          <w:sz w:val="22"/>
        </w:rPr>
        <w:t>First, fixed income origination efficiency.</w:t>
      </w:r>
      <w:r>
        <w:rPr>
          <w:rFonts w:ascii="Figtree" w:hAnsi="Figtree"/>
          <w:b w:val="0"/>
          <w:i w:val="0"/>
          <w:sz w:val="22"/>
        </w:rPr>
        <w:t xml:space="preserve"> Traditional bond issuance involves multiple intermediaries, manual processes, and settlement cycles measured in days. SNB requires a platform that enables configuration-driven origination with same-day settlement.</w:t>
      </w:r>
    </w:p>
    <w:p>
      <w:r>
        <w:rPr>
          <w:rFonts w:ascii="Figtree" w:hAnsi="Figtree"/>
          <w:b/>
          <w:i w:val="0"/>
          <w:sz w:val="22"/>
        </w:rPr>
        <w:t>Second, investor servicing automation.</w:t>
      </w:r>
      <w:r>
        <w:rPr>
          <w:rFonts w:ascii="Figtree" w:hAnsi="Figtree"/>
          <w:b w:val="0"/>
          <w:i w:val="0"/>
          <w:sz w:val="22"/>
        </w:rPr>
        <w:t xml:space="preserve"> Coupon distribution, corporate actions, and maturity processing must be automated with full audit trails — not dependent on manual operational processes.</w:t>
      </w:r>
    </w:p>
    <w:p>
      <w:r>
        <w:rPr>
          <w:rFonts w:ascii="Figtree" w:hAnsi="Figtree"/>
          <w:b/>
          <w:i w:val="0"/>
          <w:sz w:val="22"/>
        </w:rPr>
        <w:t>Third, regulatory compliance.</w:t>
      </w:r>
      <w:r>
        <w:rPr>
          <w:rFonts w:ascii="Figtree" w:hAnsi="Figtree"/>
          <w:b w:val="0"/>
          <w:i w:val="0"/>
          <w:sz w:val="22"/>
        </w:rPr>
        <w:t xml:space="preserve"> SAMA expectations, CMA capital markets rules, and Saudi cybersecurity controls (NCA) must be addressed natively by the platform.</w:t>
      </w:r>
    </w:p>
    <w:p>
      <w:pPr>
        <w:pStyle w:val="H3"/>
        <w:numPr>
          <w:ilvl w:val="2"/>
          <w:numId w:val="1"/>
        </w:numPr>
      </w:pPr>
      <w:r>
        <w:t>Regulatory Context: KSA</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Regulator</w:t>
            </w:r>
          </w:p>
        </w:tc>
        <w:tc>
          <w:tcPr>
            <w:tcW w:type="dxa" w:w="3249"/>
            <w:vAlign w:val="center"/>
            <w:shd w:fill="000099" w:val="clear"/>
          </w:tcPr>
          <w:p>
            <w:r>
              <w:rPr>
                <w:b/>
                <w:color w:val="FFFFFF"/>
              </w:rPr>
            </w:r>
            <w:r>
              <w:rPr>
                <w:rFonts w:ascii="Figtree" w:hAnsi="Figtree"/>
                <w:b/>
                <w:i w:val="0"/>
                <w:color w:val="FFFFFF"/>
                <w:sz w:val="22"/>
              </w:rPr>
              <w:t>Relevant Requirements</w:t>
            </w:r>
          </w:p>
        </w:tc>
        <w:tc>
          <w:tcPr>
            <w:tcW w:type="dxa" w:w="3249"/>
            <w:vAlign w:val="center"/>
            <w:shd w:fill="000099" w:val="clear"/>
          </w:tcPr>
          <w:p>
            <w:r>
              <w:rPr>
                <w:b/>
                <w:color w:val="FFFFFF"/>
              </w:rPr>
            </w:r>
            <w:r>
              <w:rPr>
                <w:rFonts w:ascii="Figtree" w:hAnsi="Figtree"/>
                <w:b/>
                <w:i w:val="0"/>
                <w:color w:val="FFFFFF"/>
                <w:sz w:val="22"/>
              </w:rPr>
              <w:t>DALP Coverage</w:t>
            </w:r>
          </w:p>
        </w:tc>
      </w:tr>
      <w:tr>
        <w:trPr>
          <w:trHeight w:val="454" w:hRule="atLeast"/>
        </w:trPr>
        <w:tc>
          <w:tcPr>
            <w:tcW w:type="dxa" w:w="3249"/>
            <w:vAlign w:val="center"/>
          </w:tcPr>
          <w:p>
            <w:r/>
            <w:r>
              <w:rPr>
                <w:rFonts w:ascii="Figtree" w:hAnsi="Figtree"/>
                <w:b w:val="0"/>
                <w:i w:val="0"/>
                <w:sz w:val="22"/>
              </w:rPr>
              <w:t>SAMA</w:t>
            </w:r>
          </w:p>
        </w:tc>
        <w:tc>
          <w:tcPr>
            <w:tcW w:type="dxa" w:w="3249"/>
            <w:vAlign w:val="center"/>
          </w:tcPr>
          <w:p>
            <w:r/>
            <w:r>
              <w:rPr>
                <w:rFonts w:ascii="Figtree" w:hAnsi="Figtree"/>
                <w:b w:val="0"/>
                <w:i w:val="0"/>
                <w:sz w:val="22"/>
              </w:rPr>
              <w:t>Prudential controls, operational resilience</w:t>
            </w:r>
          </w:p>
        </w:tc>
        <w:tc>
          <w:tcPr>
            <w:tcW w:type="dxa" w:w="3249"/>
            <w:vAlign w:val="center"/>
          </w:tcPr>
          <w:p>
            <w:r/>
            <w:r>
              <w:rPr>
                <w:rFonts w:ascii="Figtree" w:hAnsi="Figtree"/>
                <w:b w:val="0"/>
                <w:i w:val="0"/>
                <w:sz w:val="22"/>
              </w:rPr>
              <w:t>Multi-AZ deployment, defense-in-depth</w:t>
            </w:r>
          </w:p>
        </w:tc>
      </w:tr>
      <w:tr>
        <w:trPr>
          <w:trHeight w:val="454" w:hRule="atLeast"/>
        </w:trPr>
        <w:tc>
          <w:tcPr>
            <w:tcW w:type="dxa" w:w="3249"/>
            <w:vAlign w:val="center"/>
          </w:tcPr>
          <w:p>
            <w:r/>
            <w:r>
              <w:rPr>
                <w:rFonts w:ascii="Figtree" w:hAnsi="Figtree"/>
                <w:b w:val="0"/>
                <w:i w:val="0"/>
                <w:sz w:val="22"/>
              </w:rPr>
              <w:t>CMA</w:t>
            </w:r>
          </w:p>
        </w:tc>
        <w:tc>
          <w:tcPr>
            <w:tcW w:type="dxa" w:w="3249"/>
            <w:vAlign w:val="center"/>
          </w:tcPr>
          <w:p>
            <w:r/>
            <w:r>
              <w:rPr>
                <w:rFonts w:ascii="Figtree" w:hAnsi="Figtree"/>
                <w:b w:val="0"/>
                <w:i w:val="0"/>
                <w:sz w:val="22"/>
              </w:rPr>
              <w:t>Capital markets, investor eligibility</w:t>
            </w:r>
          </w:p>
        </w:tc>
        <w:tc>
          <w:tcPr>
            <w:tcW w:type="dxa" w:w="3249"/>
            <w:vAlign w:val="center"/>
          </w:tcPr>
          <w:p>
            <w:r/>
            <w:r>
              <w:rPr>
                <w:rFonts w:ascii="Figtree" w:hAnsi="Figtree"/>
                <w:b w:val="0"/>
                <w:i w:val="0"/>
                <w:sz w:val="22"/>
              </w:rPr>
              <w:t>Compliance modules, OnchainID claims</w:t>
            </w:r>
          </w:p>
        </w:tc>
      </w:tr>
      <w:tr>
        <w:trPr>
          <w:trHeight w:val="454" w:hRule="atLeast"/>
        </w:trPr>
        <w:tc>
          <w:tcPr>
            <w:tcW w:type="dxa" w:w="3249"/>
            <w:vAlign w:val="center"/>
          </w:tcPr>
          <w:p>
            <w:r/>
            <w:r>
              <w:rPr>
                <w:rFonts w:ascii="Figtree" w:hAnsi="Figtree"/>
                <w:b w:val="0"/>
                <w:i w:val="0"/>
                <w:sz w:val="22"/>
              </w:rPr>
              <w:t>NCA</w:t>
            </w:r>
          </w:p>
        </w:tc>
        <w:tc>
          <w:tcPr>
            <w:tcW w:type="dxa" w:w="3249"/>
            <w:vAlign w:val="center"/>
          </w:tcPr>
          <w:p>
            <w:r/>
            <w:r>
              <w:rPr>
                <w:rFonts w:ascii="Figtree" w:hAnsi="Figtree"/>
                <w:b w:val="0"/>
                <w:i w:val="0"/>
                <w:sz w:val="22"/>
              </w:rPr>
              <w:t>Cybersecurity, critical infrastructure</w:t>
            </w:r>
          </w:p>
        </w:tc>
        <w:tc>
          <w:tcPr>
            <w:tcW w:type="dxa" w:w="3249"/>
            <w:vAlign w:val="center"/>
          </w:tcPr>
          <w:p>
            <w:r/>
            <w:r>
              <w:rPr>
                <w:rFonts w:ascii="Figtree" w:hAnsi="Figtree"/>
                <w:b w:val="0"/>
                <w:i w:val="0"/>
                <w:sz w:val="22"/>
              </w:rPr>
              <w:t>ISO 27001, SOC 2 Type II, encryption</w:t>
            </w:r>
          </w:p>
        </w:tc>
      </w:tr>
      <w:tr>
        <w:trPr>
          <w:trHeight w:val="454" w:hRule="atLeast"/>
        </w:trPr>
        <w:tc>
          <w:tcPr>
            <w:tcW w:type="dxa" w:w="3249"/>
            <w:vAlign w:val="center"/>
          </w:tcPr>
          <w:p>
            <w:r/>
            <w:r>
              <w:rPr>
                <w:rFonts w:ascii="Figtree" w:hAnsi="Figtree"/>
                <w:b w:val="0"/>
                <w:i w:val="0"/>
                <w:sz w:val="22"/>
              </w:rPr>
              <w:t>Tadawul</w:t>
            </w:r>
          </w:p>
        </w:tc>
        <w:tc>
          <w:tcPr>
            <w:tcW w:type="dxa" w:w="3249"/>
            <w:vAlign w:val="center"/>
          </w:tcPr>
          <w:p>
            <w:r/>
            <w:r>
              <w:rPr>
                <w:rFonts w:ascii="Figtree" w:hAnsi="Figtree"/>
                <w:b w:val="0"/>
                <w:i w:val="0"/>
                <w:sz w:val="22"/>
              </w:rPr>
              <w:t>Market infrastructure integration</w:t>
            </w:r>
          </w:p>
        </w:tc>
        <w:tc>
          <w:tcPr>
            <w:tcW w:type="dxa" w:w="3249"/>
            <w:vAlign w:val="center"/>
          </w:tcPr>
          <w:p>
            <w:r/>
            <w:r>
              <w:rPr>
                <w:rFonts w:ascii="Figtree" w:hAnsi="Figtree"/>
                <w:b w:val="0"/>
                <w:i w:val="0"/>
                <w:sz w:val="22"/>
              </w:rPr>
              <w:t>API integration capability</w:t>
            </w:r>
          </w:p>
        </w:tc>
      </w:tr>
      <w:tr>
        <w:trPr>
          <w:trHeight w:val="454" w:hRule="atLeast"/>
        </w:trPr>
        <w:tc>
          <w:tcPr>
            <w:tcW w:type="dxa" w:w="3249"/>
            <w:vAlign w:val="center"/>
          </w:tcPr>
          <w:p>
            <w:r/>
            <w:r>
              <w:rPr>
                <w:rFonts w:ascii="Figtree" w:hAnsi="Figtree"/>
                <w:b w:val="0"/>
                <w:i w:val="0"/>
                <w:sz w:val="22"/>
              </w:rPr>
              <w:t>Vision 2030</w:t>
            </w:r>
          </w:p>
        </w:tc>
        <w:tc>
          <w:tcPr>
            <w:tcW w:type="dxa" w:w="3249"/>
            <w:vAlign w:val="center"/>
          </w:tcPr>
          <w:p>
            <w:r/>
            <w:r>
              <w:rPr>
                <w:rFonts w:ascii="Figtree" w:hAnsi="Figtree"/>
                <w:b w:val="0"/>
                <w:i w:val="0"/>
                <w:sz w:val="22"/>
              </w:rPr>
              <w:t>Digital transformation objectives</w:t>
            </w:r>
          </w:p>
        </w:tc>
        <w:tc>
          <w:tcPr>
            <w:tcW w:type="dxa" w:w="3249"/>
            <w:vAlign w:val="center"/>
          </w:tcPr>
          <w:p>
            <w:r/>
            <w:r>
              <w:rPr>
                <w:rFonts w:ascii="Figtree" w:hAnsi="Figtree"/>
                <w:b w:val="0"/>
                <w:i w:val="0"/>
                <w:sz w:val="22"/>
              </w:rPr>
              <w:t>Saudi RER demonstrates alignment</w:t>
            </w:r>
          </w:p>
        </w:tc>
      </w:tr>
    </w:tbl>
    <w:p>
      <w:r>
        <w:br w:type="page"/>
      </w:r>
    </w:p>
    <w:p>
      <w:pPr>
        <w:pStyle w:val="H2"/>
        <w:numPr>
          <w:ilvl w:val="1"/>
          <w:numId w:val="1"/>
        </w:numPr>
      </w:pPr>
      <w:r>
        <w:t>Customer References</w:t>
      </w:r>
    </w:p>
    <w:p>
      <w:pPr>
        <w:pStyle w:val="H3"/>
        <w:numPr>
          <w:ilvl w:val="2"/>
          <w:numId w:val="1"/>
        </w:numPr>
      </w:pPr>
      <w:r>
        <w:t>Fixed Income Reference Fit</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Client</w:t>
            </w:r>
          </w:p>
        </w:tc>
        <w:tc>
          <w:tcPr>
            <w:tcW w:type="dxa" w:w="3249"/>
            <w:vAlign w:val="center"/>
            <w:shd w:fill="000099" w:val="clear"/>
          </w:tcPr>
          <w:p>
            <w:r>
              <w:rPr>
                <w:b/>
                <w:color w:val="FFFFFF"/>
              </w:rPr>
            </w:r>
            <w:r>
              <w:rPr>
                <w:rFonts w:ascii="Figtree" w:hAnsi="Figtree"/>
                <w:b/>
                <w:i w:val="0"/>
                <w:color w:val="FFFFFF"/>
                <w:sz w:val="22"/>
              </w:rPr>
              <w:t>Fixed Income Relevance</w:t>
            </w:r>
          </w:p>
        </w:tc>
        <w:tc>
          <w:tcPr>
            <w:tcW w:type="dxa" w:w="3249"/>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3249"/>
            <w:vAlign w:val="center"/>
          </w:tcPr>
          <w:p>
            <w:r/>
            <w:r>
              <w:rPr>
                <w:rFonts w:ascii="Figtree" w:hAnsi="Figtree"/>
                <w:b w:val="0"/>
                <w:i w:val="0"/>
                <w:sz w:val="22"/>
              </w:rPr>
              <w:t>Commerzbank</w:t>
            </w:r>
          </w:p>
        </w:tc>
        <w:tc>
          <w:tcPr>
            <w:tcW w:type="dxa" w:w="3249"/>
            <w:vAlign w:val="center"/>
          </w:tcPr>
          <w:p>
            <w:r/>
            <w:r>
              <w:rPr>
                <w:rFonts w:ascii="Figtree" w:hAnsi="Figtree"/>
                <w:b w:val="0"/>
                <w:i w:val="0"/>
                <w:sz w:val="22"/>
              </w:rPr>
              <w:t>ETP issuance on Boerse Stuttgart</w:t>
            </w:r>
          </w:p>
        </w:tc>
        <w:tc>
          <w:tcPr>
            <w:tcW w:type="dxa" w:w="3249"/>
            <w:vAlign w:val="center"/>
          </w:tcPr>
          <w:p>
            <w:r/>
            <w:r>
              <w:rPr>
                <w:rFonts w:ascii="Figtree" w:hAnsi="Figtree"/>
                <w:b w:val="0"/>
                <w:i w:val="0"/>
                <w:sz w:val="22"/>
              </w:rPr>
              <w:t>Settlement &lt;10s, EUR 7M/year savings</w:t>
            </w:r>
          </w:p>
        </w:tc>
      </w:tr>
      <w:tr>
        <w:trPr>
          <w:trHeight w:val="454" w:hRule="atLeast"/>
        </w:trPr>
        <w:tc>
          <w:tcPr>
            <w:tcW w:type="dxa" w:w="3249"/>
            <w:vAlign w:val="center"/>
          </w:tcPr>
          <w:p>
            <w:r/>
            <w:r>
              <w:rPr>
                <w:rFonts w:ascii="Figtree" w:hAnsi="Figtree"/>
                <w:b w:val="0"/>
                <w:i w:val="0"/>
                <w:sz w:val="22"/>
              </w:rPr>
              <w:t>KBC Securities</w:t>
            </w:r>
          </w:p>
        </w:tc>
        <w:tc>
          <w:tcPr>
            <w:tcW w:type="dxa" w:w="3249"/>
            <w:vAlign w:val="center"/>
          </w:tcPr>
          <w:p>
            <w:r/>
            <w:r>
              <w:rPr>
                <w:rFonts w:ascii="Figtree" w:hAnsi="Figtree"/>
                <w:b w:val="0"/>
                <w:i w:val="0"/>
                <w:sz w:val="22"/>
              </w:rPr>
              <w:t>Equity/SME loan crowdfunding with fiat stable token</w:t>
            </w:r>
          </w:p>
        </w:tc>
        <w:tc>
          <w:tcPr>
            <w:tcW w:type="dxa" w:w="3249"/>
            <w:vAlign w:val="center"/>
          </w:tcPr>
          <w:p>
            <w:r/>
            <w:r>
              <w:rPr>
                <w:rFonts w:ascii="Figtree" w:hAnsi="Figtree"/>
                <w:b w:val="0"/>
                <w:i w:val="0"/>
                <w:sz w:val="22"/>
              </w:rPr>
              <w:t>Bond-adjacent lifecycle</w:t>
            </w:r>
          </w:p>
        </w:tc>
      </w:tr>
      <w:tr>
        <w:trPr>
          <w:trHeight w:val="454" w:hRule="atLeast"/>
        </w:trPr>
        <w:tc>
          <w:tcPr>
            <w:tcW w:type="dxa" w:w="3249"/>
            <w:vAlign w:val="center"/>
          </w:tcPr>
          <w:p>
            <w:r/>
            <w:r>
              <w:rPr>
                <w:rFonts w:ascii="Figtree" w:hAnsi="Figtree"/>
                <w:b w:val="0"/>
                <w:i w:val="0"/>
                <w:sz w:val="22"/>
              </w:rPr>
              <w:t>OCBC Bank</w:t>
            </w:r>
          </w:p>
        </w:tc>
        <w:tc>
          <w:tcPr>
            <w:tcW w:type="dxa" w:w="3249"/>
            <w:vAlign w:val="center"/>
          </w:tcPr>
          <w:p>
            <w:r/>
            <w:r>
              <w:rPr>
                <w:rFonts w:ascii="Figtree" w:hAnsi="Figtree"/>
                <w:b w:val="0"/>
                <w:i w:val="0"/>
                <w:sz w:val="22"/>
              </w:rPr>
              <w:t>Security token securitization</w:t>
            </w:r>
          </w:p>
        </w:tc>
        <w:tc>
          <w:tcPr>
            <w:tcW w:type="dxa" w:w="3249"/>
            <w:vAlign w:val="center"/>
          </w:tcPr>
          <w:p>
            <w:r/>
            <w:r>
              <w:rPr>
                <w:rFonts w:ascii="Figtree" w:hAnsi="Figtree"/>
                <w:b w:val="0"/>
                <w:i w:val="0"/>
                <w:sz w:val="22"/>
              </w:rPr>
              <w:t>Multi-asset tokenization</w:t>
            </w:r>
          </w:p>
        </w:tc>
      </w:tr>
      <w:tr>
        <w:trPr>
          <w:trHeight w:val="454" w:hRule="atLeast"/>
        </w:trPr>
        <w:tc>
          <w:tcPr>
            <w:tcW w:type="dxa" w:w="3249"/>
            <w:vAlign w:val="center"/>
          </w:tcPr>
          <w:p>
            <w:r/>
            <w:r>
              <w:rPr>
                <w:rFonts w:ascii="Figtree" w:hAnsi="Figtree"/>
                <w:b w:val="0"/>
                <w:i w:val="0"/>
                <w:sz w:val="22"/>
              </w:rPr>
              <w:t>Saudi RER</w:t>
            </w:r>
          </w:p>
        </w:tc>
        <w:tc>
          <w:tcPr>
            <w:tcW w:type="dxa" w:w="3249"/>
            <w:vAlign w:val="center"/>
          </w:tcPr>
          <w:p>
            <w:r/>
            <w:r>
              <w:rPr>
                <w:rFonts w:ascii="Figtree" w:hAnsi="Figtree"/>
                <w:b w:val="0"/>
                <w:i w:val="0"/>
                <w:sz w:val="22"/>
              </w:rPr>
              <w:t>KSA sovereign-scale deployment</w:t>
            </w:r>
          </w:p>
        </w:tc>
        <w:tc>
          <w:tcPr>
            <w:tcW w:type="dxa" w:w="3249"/>
            <w:vAlign w:val="center"/>
          </w:tcPr>
          <w:p>
            <w:r/>
            <w:r>
              <w:rPr>
                <w:rFonts w:ascii="Figtree" w:hAnsi="Figtree"/>
                <w:b w:val="0"/>
                <w:i w:val="0"/>
                <w:sz w:val="22"/>
              </w:rPr>
              <w:t>Same jurisdiction, same governance</w:t>
            </w:r>
          </w:p>
        </w:tc>
      </w:tr>
      <w:tr>
        <w:trPr>
          <w:trHeight w:val="454" w:hRule="atLeast"/>
        </w:trPr>
        <w:tc>
          <w:tcPr>
            <w:tcW w:type="dxa" w:w="3249"/>
            <w:vAlign w:val="center"/>
          </w:tcPr>
          <w:p>
            <w:r/>
            <w:r>
              <w:rPr>
                <w:rFonts w:ascii="Figtree" w:hAnsi="Figtree"/>
                <w:b w:val="0"/>
                <w:i w:val="0"/>
                <w:sz w:val="22"/>
              </w:rPr>
              <w:t>Mizuho Bank</w:t>
            </w:r>
          </w:p>
        </w:tc>
        <w:tc>
          <w:tcPr>
            <w:tcW w:type="dxa" w:w="3249"/>
            <w:vAlign w:val="center"/>
          </w:tcPr>
          <w:p>
            <w:r/>
            <w:r>
              <w:rPr>
                <w:rFonts w:ascii="Figtree" w:hAnsi="Figtree"/>
                <w:b w:val="0"/>
                <w:i w:val="0"/>
                <w:sz w:val="22"/>
              </w:rPr>
              <w:t>Bond tokenization PoC (Japan/Singapore)</w:t>
            </w:r>
          </w:p>
        </w:tc>
        <w:tc>
          <w:tcPr>
            <w:tcW w:type="dxa" w:w="3249"/>
            <w:vAlign w:val="center"/>
          </w:tcPr>
          <w:p>
            <w:r/>
            <w:r>
              <w:rPr>
                <w:rFonts w:ascii="Figtree" w:hAnsi="Figtree"/>
                <w:b w:val="0"/>
                <w:i w:val="0"/>
                <w:sz w:val="22"/>
              </w:rPr>
              <w:t>Direct bond use case</w:t>
            </w:r>
          </w:p>
        </w:tc>
      </w:tr>
      <w:tr>
        <w:trPr>
          <w:trHeight w:val="454" w:hRule="atLeast"/>
        </w:trPr>
        <w:tc>
          <w:tcPr>
            <w:tcW w:type="dxa" w:w="3249"/>
            <w:vAlign w:val="center"/>
          </w:tcPr>
          <w:p>
            <w:r/>
            <w:r>
              <w:rPr>
                <w:rFonts w:ascii="Figtree" w:hAnsi="Figtree"/>
                <w:b w:val="0"/>
                <w:i w:val="0"/>
                <w:sz w:val="22"/>
              </w:rPr>
              <w:t>Islamic Development Bank</w:t>
            </w:r>
          </w:p>
        </w:tc>
        <w:tc>
          <w:tcPr>
            <w:tcW w:type="dxa" w:w="3249"/>
            <w:vAlign w:val="center"/>
          </w:tcPr>
          <w:p>
            <w:r/>
            <w:r>
              <w:rPr>
                <w:rFonts w:ascii="Figtree" w:hAnsi="Figtree"/>
                <w:b w:val="0"/>
                <w:i w:val="0"/>
                <w:sz w:val="22"/>
              </w:rPr>
              <w:t>Sharia-compliant instrument distribution</w:t>
            </w:r>
          </w:p>
        </w:tc>
        <w:tc>
          <w:tcPr>
            <w:tcW w:type="dxa" w:w="3249"/>
            <w:vAlign w:val="center"/>
          </w:tcPr>
          <w:p>
            <w:r/>
            <w:r>
              <w:rPr>
                <w:rFonts w:ascii="Figtree" w:hAnsi="Figtree"/>
                <w:b w:val="0"/>
                <w:i w:val="0"/>
                <w:sz w:val="22"/>
              </w:rPr>
              <w:t>Islamic finance fixed income</w:t>
            </w:r>
          </w:p>
        </w:tc>
      </w:tr>
    </w:tbl>
    <w:p>
      <w:pPr>
        <w:pStyle w:val="H3"/>
        <w:numPr>
          <w:ilvl w:val="2"/>
          <w:numId w:val="1"/>
        </w:numPr>
      </w:pPr>
      <w:r>
        <w:t>Expanded Reference: Commerzbank ETP</w:t>
      </w:r>
    </w:p>
    <w:p>
      <w:r>
        <w:rPr>
          <w:rFonts w:ascii="Figtree" w:hAnsi="Figtree"/>
          <w:b/>
          <w:i w:val="0"/>
          <w:sz w:val="22"/>
        </w:rPr>
        <w:t>Context.</w:t>
      </w:r>
      <w:r>
        <w:rPr>
          <w:rFonts w:ascii="Figtree" w:hAnsi="Figtree"/>
          <w:b w:val="0"/>
          <w:i w:val="0"/>
          <w:sz w:val="22"/>
        </w:rPr>
        <w:t xml:space="preserve"> Commerzbank needed exchange-traded product issuance with listing on Boerse Stuttgart, requiring settlement meeting exchange-grade performance.</w:t>
      </w:r>
    </w:p>
    <w:p>
      <w:r>
        <w:rPr>
          <w:rFonts w:ascii="Figtree" w:hAnsi="Figtree"/>
          <w:b/>
          <w:i w:val="0"/>
          <w:sz w:val="22"/>
        </w:rPr>
        <w:t>Solution.</w:t>
      </w:r>
      <w:r>
        <w:rPr>
          <w:rFonts w:ascii="Figtree" w:hAnsi="Figtree"/>
          <w:b w:val="0"/>
          <w:i w:val="0"/>
          <w:sz w:val="22"/>
        </w:rPr>
        <w:t xml:space="preserve"> DALP provides hybrid on/off-chain ETP issuance. Settlement under 10 seconds. Full regulatory compliance for German financial market requirements (BaFin oversight).</w:t>
      </w:r>
    </w:p>
    <w:p>
      <w:r>
        <w:rPr>
          <w:rFonts w:ascii="Figtree" w:hAnsi="Figtree"/>
          <w:b/>
          <w:i w:val="0"/>
          <w:sz w:val="22"/>
        </w:rPr>
        <w:t>Outcomes.</w:t>
      </w:r>
      <w:r>
        <w:rPr>
          <w:rFonts w:ascii="Figtree" w:hAnsi="Figtree"/>
          <w:b w:val="0"/>
          <w:i w:val="0"/>
          <w:sz w:val="22"/>
        </w:rPr>
        <w:t xml:space="preserve"> Settlement under 10 seconds. Boerse Stuttgart listing. Projected EUR 7M/year savings.</w:t>
      </w:r>
    </w:p>
    <w:p>
      <w:r>
        <w:rPr>
          <w:rFonts w:ascii="Figtree" w:hAnsi="Figtree"/>
          <w:b/>
          <w:i w:val="0"/>
          <w:sz w:val="22"/>
        </w:rPr>
        <w:t>Transferability.</w:t>
      </w:r>
      <w:r>
        <w:rPr>
          <w:rFonts w:ascii="Figtree" w:hAnsi="Figtree"/>
          <w:b w:val="0"/>
          <w:i w:val="0"/>
          <w:sz w:val="22"/>
        </w:rPr>
        <w:t xml:space="preserve"> Demonstrates DALP's fitness for regulated fixed income issuance with measurable cost savings. The settlement performance and regulatory compliance pattern transfers directly to SNB's requirements.</w:t>
      </w:r>
    </w:p>
    <w:p>
      <w:r>
        <w:br w:type="page"/>
      </w:r>
    </w:p>
    <w:p>
      <w:pPr>
        <w:pStyle w:val="H2"/>
        <w:numPr>
          <w:ilvl w:val="1"/>
          <w:numId w:val="1"/>
        </w:numPr>
      </w:pPr>
      <w:r>
        <w:t>Proposed Solution and Functional Capabilities</w:t>
      </w:r>
    </w:p>
    <w:p>
      <w:pPr>
        <w:pStyle w:val="H3"/>
        <w:numPr>
          <w:ilvl w:val="2"/>
          <w:numId w:val="1"/>
        </w:numPr>
      </w:pPr>
      <w:r>
        <w:t>Bond Configuration</w:t>
      </w:r>
    </w:p>
    <w:p>
      <w:r>
        <w:rPr>
          <w:rFonts w:ascii="Figtree" w:hAnsi="Figtree"/>
          <w:b w:val="0"/>
          <w:i w:val="0"/>
          <w:sz w:val="22"/>
        </w:rPr>
        <w:t>DALP's Asset Designer configures fixed income instruments:</w:t>
      </w:r>
    </w:p>
    <w:p>
      <w:pPr>
        <w:jc w:val="center"/>
      </w:pPr>
      <w:r>
        <w:drawing>
          <wp:inline xmlns:a="http://schemas.openxmlformats.org/drawingml/2006/main" xmlns:pic="http://schemas.openxmlformats.org/drawingml/2006/picture">
            <wp:extent cx="5486400" cy="396784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967843"/>
                    </a:xfrm>
                    <a:prstGeom prst="rect"/>
                  </pic:spPr>
                </pic:pic>
              </a:graphicData>
            </a:graphic>
          </wp:inline>
        </w:drawing>
      </w:r>
    </w:p>
    <w:p>
      <w:pPr>
        <w:pStyle w:val="H3"/>
        <w:numPr>
          <w:ilvl w:val="2"/>
          <w:numId w:val="1"/>
        </w:numPr>
      </w:pPr>
      <w:r>
        <w:t>Token Configuration for SNB Bonds</w:t>
      </w:r>
    </w:p>
    <w:p>
      <w:r>
        <w:rPr>
          <w:rFonts w:ascii="Figtree" w:hAnsi="Figtree"/>
          <w:b/>
          <w:i w:val="0"/>
          <w:sz w:val="22"/>
        </w:rPr>
        <w:t>Features:</w:t>
      </w:r>
    </w:p>
    <w:p>
      <w:pPr>
        <w:pStyle w:val="ListParagraph"/>
        <w:numPr>
          <w:ilvl w:val="0"/>
          <w:numId w:val="6"/>
        </w:numPr>
      </w:pPr>
      <w:r>
        <w:rPr>
          <w:rFonts w:ascii="Figtree" w:hAnsi="Figtree"/>
          <w:b w:val="0"/>
          <w:i w:val="0"/>
          <w:sz w:val="22"/>
        </w:rPr>
        <w:t>Historical balances — ex-date/record-date snapshots</w:t>
      </w:r>
    </w:p>
    <w:p>
      <w:pPr>
        <w:pStyle w:val="ListParagraph"/>
        <w:numPr>
          <w:ilvl w:val="0"/>
          <w:numId w:val="6"/>
        </w:numPr>
      </w:pPr>
      <w:r>
        <w:rPr>
          <w:rFonts w:ascii="Figtree" w:hAnsi="Figtree"/>
          <w:b w:val="0"/>
          <w:i w:val="0"/>
          <w:sz w:val="22"/>
        </w:rPr>
        <w:t>Fixed treasury yield — automated coupon distribution</w:t>
      </w:r>
    </w:p>
    <w:p>
      <w:pPr>
        <w:pStyle w:val="ListParagraph"/>
        <w:numPr>
          <w:ilvl w:val="0"/>
          <w:numId w:val="6"/>
        </w:numPr>
      </w:pPr>
      <w:r>
        <w:rPr>
          <w:rFonts w:ascii="Figtree" w:hAnsi="Figtree"/>
          <w:b w:val="0"/>
          <w:i w:val="0"/>
          <w:sz w:val="22"/>
        </w:rPr>
        <w:t>Maturity and redemption — automated maturity processing</w:t>
      </w:r>
    </w:p>
    <w:p>
      <w:pPr>
        <w:pStyle w:val="ListParagraph"/>
        <w:numPr>
          <w:ilvl w:val="0"/>
          <w:numId w:val="6"/>
        </w:numPr>
      </w:pPr>
      <w:r>
        <w:rPr>
          <w:rFonts w:ascii="Figtree" w:hAnsi="Figtree"/>
          <w:b w:val="0"/>
          <w:i w:val="0"/>
          <w:sz w:val="22"/>
        </w:rPr>
        <w:t>Transaction fee accounting — fee tracking</w:t>
      </w:r>
    </w:p>
    <w:p>
      <w:pPr>
        <w:pStyle w:val="ListParagraph"/>
        <w:numPr>
          <w:ilvl w:val="0"/>
          <w:numId w:val="6"/>
        </w:numPr>
      </w:pPr>
      <w:r>
        <w:rPr>
          <w:rFonts w:ascii="Figtree" w:hAnsi="Figtree"/>
          <w:b w:val="0"/>
          <w:i w:val="0"/>
          <w:sz w:val="22"/>
        </w:rPr>
        <w:t>Permit (EIP-2612) — gasless approvals</w:t>
      </w:r>
    </w:p>
    <w:p>
      <w:r>
        <w:rPr>
          <w:rFonts w:ascii="Figtree" w:hAnsi="Figtree"/>
          <w:b/>
          <w:i w:val="0"/>
          <w:sz w:val="22"/>
        </w:rPr>
        <w:t>Compliance modules:</w:t>
      </w:r>
    </w:p>
    <w:p>
      <w:pPr>
        <w:pStyle w:val="ListParagraph"/>
        <w:numPr>
          <w:ilvl w:val="0"/>
          <w:numId w:val="7"/>
        </w:numPr>
      </w:pPr>
      <w:r>
        <w:rPr>
          <w:rFonts w:ascii="Figtree" w:hAnsi="Figtree"/>
          <w:b w:val="0"/>
          <w:i w:val="0"/>
          <w:sz w:val="22"/>
        </w:rPr>
        <w:t>Identity verification — mandatory</w:t>
      </w:r>
    </w:p>
    <w:p>
      <w:pPr>
        <w:pStyle w:val="ListParagraph"/>
        <w:numPr>
          <w:ilvl w:val="0"/>
          <w:numId w:val="7"/>
        </w:numPr>
      </w:pPr>
      <w:r>
        <w:rPr>
          <w:rFonts w:ascii="Figtree" w:hAnsi="Figtree"/>
          <w:b w:val="0"/>
          <w:i w:val="0"/>
          <w:sz w:val="22"/>
        </w:rPr>
        <w:t>Country allow list — KSA and approved jurisdictions</w:t>
      </w:r>
    </w:p>
    <w:p>
      <w:pPr>
        <w:pStyle w:val="ListParagraph"/>
        <w:numPr>
          <w:ilvl w:val="0"/>
          <w:numId w:val="7"/>
        </w:numPr>
      </w:pPr>
      <w:r>
        <w:rPr>
          <w:rFonts w:ascii="Figtree" w:hAnsi="Figtree"/>
          <w:b w:val="0"/>
          <w:i w:val="0"/>
          <w:sz w:val="22"/>
        </w:rPr>
        <w:t>Investor count limit — regulatory cap</w:t>
      </w:r>
    </w:p>
    <w:p>
      <w:pPr>
        <w:pStyle w:val="ListParagraph"/>
        <w:numPr>
          <w:ilvl w:val="0"/>
          <w:numId w:val="7"/>
        </w:numPr>
      </w:pPr>
      <w:r>
        <w:rPr>
          <w:rFonts w:ascii="Figtree" w:hAnsi="Figtree"/>
          <w:b w:val="0"/>
          <w:i w:val="0"/>
          <w:sz w:val="22"/>
        </w:rPr>
        <w:t>Transfer approval — maker-checker for secondary trades</w:t>
      </w:r>
    </w:p>
    <w:p>
      <w:pPr>
        <w:pStyle w:val="H3"/>
        <w:numPr>
          <w:ilvl w:val="2"/>
          <w:numId w:val="1"/>
        </w:numPr>
      </w:pPr>
      <w:r>
        <w:t>Investor Servicing</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Event</w:t>
            </w:r>
          </w:p>
        </w:tc>
        <w:tc>
          <w:tcPr>
            <w:tcW w:type="dxa" w:w="3249"/>
            <w:vAlign w:val="center"/>
            <w:shd w:fill="000099" w:val="clear"/>
          </w:tcPr>
          <w:p>
            <w:r>
              <w:rPr>
                <w:b/>
                <w:color w:val="FFFFFF"/>
              </w:rPr>
            </w:r>
            <w:r>
              <w:rPr>
                <w:rFonts w:ascii="Figtree" w:hAnsi="Figtree"/>
                <w:b/>
                <w:i w:val="0"/>
                <w:color w:val="FFFFFF"/>
                <w:sz w:val="22"/>
              </w:rPr>
              <w:t>DALP Component</w:t>
            </w:r>
          </w:p>
        </w:tc>
        <w:tc>
          <w:tcPr>
            <w:tcW w:type="dxa" w:w="3249"/>
            <w:vAlign w:val="center"/>
            <w:shd w:fill="000099" w:val="clear"/>
          </w:tcPr>
          <w:p>
            <w:r>
              <w:rPr>
                <w:b/>
                <w:color w:val="FFFFFF"/>
              </w:rPr>
            </w:r>
            <w:r>
              <w:rPr>
                <w:rFonts w:ascii="Figtree" w:hAnsi="Figtree"/>
                <w:b/>
                <w:i w:val="0"/>
                <w:color w:val="FFFFFF"/>
                <w:sz w:val="22"/>
              </w:rPr>
              <w:t>Automation</w:t>
            </w:r>
          </w:p>
        </w:tc>
      </w:tr>
      <w:tr>
        <w:trPr>
          <w:trHeight w:val="454" w:hRule="atLeast"/>
        </w:trPr>
        <w:tc>
          <w:tcPr>
            <w:tcW w:type="dxa" w:w="3249"/>
            <w:vAlign w:val="center"/>
          </w:tcPr>
          <w:p>
            <w:r/>
            <w:r>
              <w:rPr>
                <w:rFonts w:ascii="Figtree" w:hAnsi="Figtree"/>
                <w:b w:val="0"/>
                <w:i w:val="0"/>
                <w:sz w:val="22"/>
              </w:rPr>
              <w:t>Coupon distribution</w:t>
            </w:r>
          </w:p>
        </w:tc>
        <w:tc>
          <w:tcPr>
            <w:tcW w:type="dxa" w:w="3249"/>
            <w:vAlign w:val="center"/>
          </w:tcPr>
          <w:p>
            <w:r/>
            <w:r>
              <w:rPr>
                <w:rFonts w:ascii="Figtree" w:hAnsi="Figtree"/>
                <w:b w:val="0"/>
                <w:i w:val="0"/>
                <w:sz w:val="22"/>
              </w:rPr>
              <w:t>Fixed treasury yield + yield addon</w:t>
            </w:r>
          </w:p>
        </w:tc>
        <w:tc>
          <w:tcPr>
            <w:tcW w:type="dxa" w:w="3249"/>
            <w:vAlign w:val="center"/>
          </w:tcPr>
          <w:p>
            <w:r/>
            <w:r>
              <w:rPr>
                <w:rFonts w:ascii="Figtree" w:hAnsi="Figtree"/>
                <w:b w:val="0"/>
                <w:i w:val="0"/>
                <w:sz w:val="22"/>
              </w:rPr>
              <w:t>Automated, configurable frequency</w:t>
            </w:r>
          </w:p>
        </w:tc>
      </w:tr>
      <w:tr>
        <w:trPr>
          <w:trHeight w:val="454" w:hRule="atLeast"/>
        </w:trPr>
        <w:tc>
          <w:tcPr>
            <w:tcW w:type="dxa" w:w="3249"/>
            <w:vAlign w:val="center"/>
          </w:tcPr>
          <w:p>
            <w:r/>
            <w:r>
              <w:rPr>
                <w:rFonts w:ascii="Figtree" w:hAnsi="Figtree"/>
                <w:b w:val="0"/>
                <w:i w:val="0"/>
                <w:sz w:val="22"/>
              </w:rPr>
              <w:t>Ex-date snapshot</w:t>
            </w:r>
          </w:p>
        </w:tc>
        <w:tc>
          <w:tcPr>
            <w:tcW w:type="dxa" w:w="3249"/>
            <w:vAlign w:val="center"/>
          </w:tcPr>
          <w:p>
            <w:r/>
            <w:r>
              <w:rPr>
                <w:rFonts w:ascii="Figtree" w:hAnsi="Figtree"/>
                <w:b w:val="0"/>
                <w:i w:val="0"/>
                <w:sz w:val="22"/>
              </w:rPr>
              <w:t>Historical balances feature</w:t>
            </w:r>
          </w:p>
        </w:tc>
        <w:tc>
          <w:tcPr>
            <w:tcW w:type="dxa" w:w="3249"/>
            <w:vAlign w:val="center"/>
          </w:tcPr>
          <w:p>
            <w:r/>
            <w:r>
              <w:rPr>
                <w:rFonts w:ascii="Figtree" w:hAnsi="Figtree"/>
                <w:b w:val="0"/>
                <w:i w:val="0"/>
                <w:sz w:val="22"/>
              </w:rPr>
              <w:t>Automatic at configured date</w:t>
            </w:r>
          </w:p>
        </w:tc>
      </w:tr>
      <w:tr>
        <w:trPr>
          <w:trHeight w:val="454" w:hRule="atLeast"/>
        </w:trPr>
        <w:tc>
          <w:tcPr>
            <w:tcW w:type="dxa" w:w="3249"/>
            <w:vAlign w:val="center"/>
          </w:tcPr>
          <w:p>
            <w:r/>
            <w:r>
              <w:rPr>
                <w:rFonts w:ascii="Figtree" w:hAnsi="Figtree"/>
                <w:b w:val="0"/>
                <w:i w:val="0"/>
                <w:sz w:val="22"/>
              </w:rPr>
              <w:t>Record date capture</w:t>
            </w:r>
          </w:p>
        </w:tc>
        <w:tc>
          <w:tcPr>
            <w:tcW w:type="dxa" w:w="3249"/>
            <w:vAlign w:val="center"/>
          </w:tcPr>
          <w:p>
            <w:r/>
            <w:r>
              <w:rPr>
                <w:rFonts w:ascii="Figtree" w:hAnsi="Figtree"/>
                <w:b w:val="0"/>
                <w:i w:val="0"/>
                <w:sz w:val="22"/>
              </w:rPr>
              <w:t>On-chain balance query</w:t>
            </w:r>
          </w:p>
        </w:tc>
        <w:tc>
          <w:tcPr>
            <w:tcW w:type="dxa" w:w="3249"/>
            <w:vAlign w:val="center"/>
          </w:tcPr>
          <w:p>
            <w:r/>
            <w:r>
              <w:rPr>
                <w:rFonts w:ascii="Figtree" w:hAnsi="Figtree"/>
                <w:b w:val="0"/>
                <w:i w:val="0"/>
                <w:sz w:val="22"/>
              </w:rPr>
              <w:t>Real-time</w:t>
            </w:r>
          </w:p>
        </w:tc>
      </w:tr>
      <w:tr>
        <w:trPr>
          <w:trHeight w:val="454" w:hRule="atLeast"/>
        </w:trPr>
        <w:tc>
          <w:tcPr>
            <w:tcW w:type="dxa" w:w="3249"/>
            <w:vAlign w:val="center"/>
          </w:tcPr>
          <w:p>
            <w:r/>
            <w:r>
              <w:rPr>
                <w:rFonts w:ascii="Figtree" w:hAnsi="Figtree"/>
                <w:b w:val="0"/>
                <w:i w:val="0"/>
                <w:sz w:val="22"/>
              </w:rPr>
              <w:t>Payment processing</w:t>
            </w:r>
          </w:p>
        </w:tc>
        <w:tc>
          <w:tcPr>
            <w:tcW w:type="dxa" w:w="3249"/>
            <w:vAlign w:val="center"/>
          </w:tcPr>
          <w:p>
            <w:r/>
            <w:r>
              <w:rPr>
                <w:rFonts w:ascii="Figtree" w:hAnsi="Figtree"/>
                <w:b w:val="0"/>
                <w:i w:val="0"/>
                <w:sz w:val="22"/>
              </w:rPr>
              <w:t>XvP settlement</w:t>
            </w:r>
          </w:p>
        </w:tc>
        <w:tc>
          <w:tcPr>
            <w:tcW w:type="dxa" w:w="3249"/>
            <w:vAlign w:val="center"/>
          </w:tcPr>
          <w:p>
            <w:r/>
            <w:r>
              <w:rPr>
                <w:rFonts w:ascii="Figtree" w:hAnsi="Figtree"/>
                <w:b w:val="0"/>
                <w:i w:val="0"/>
                <w:sz w:val="22"/>
              </w:rPr>
              <w:t>Atomic DvP</w:t>
            </w:r>
          </w:p>
        </w:tc>
      </w:tr>
      <w:tr>
        <w:trPr>
          <w:trHeight w:val="454" w:hRule="atLeast"/>
        </w:trPr>
        <w:tc>
          <w:tcPr>
            <w:tcW w:type="dxa" w:w="3249"/>
            <w:vAlign w:val="center"/>
          </w:tcPr>
          <w:p>
            <w:r/>
            <w:r>
              <w:rPr>
                <w:rFonts w:ascii="Figtree" w:hAnsi="Figtree"/>
                <w:b w:val="0"/>
                <w:i w:val="0"/>
                <w:sz w:val="22"/>
              </w:rPr>
              <w:t>Corporate actions</w:t>
            </w:r>
          </w:p>
        </w:tc>
        <w:tc>
          <w:tcPr>
            <w:tcW w:type="dxa" w:w="3249"/>
            <w:vAlign w:val="center"/>
          </w:tcPr>
          <w:p>
            <w:r/>
            <w:r>
              <w:rPr>
                <w:rFonts w:ascii="Figtree" w:hAnsi="Figtree"/>
                <w:b w:val="0"/>
                <w:i w:val="0"/>
                <w:sz w:val="22"/>
              </w:rPr>
              <w:t>SMART Protocol governance</w:t>
            </w:r>
          </w:p>
        </w:tc>
        <w:tc>
          <w:tcPr>
            <w:tcW w:type="dxa" w:w="3249"/>
            <w:vAlign w:val="center"/>
          </w:tcPr>
          <w:p>
            <w:r/>
            <w:r>
              <w:rPr>
                <w:rFonts w:ascii="Figtree" w:hAnsi="Figtree"/>
                <w:b w:val="0"/>
                <w:i w:val="0"/>
                <w:sz w:val="22"/>
              </w:rPr>
              <w:t>Configurable</w:t>
            </w:r>
          </w:p>
        </w:tc>
      </w:tr>
      <w:tr>
        <w:trPr>
          <w:trHeight w:val="454" w:hRule="atLeast"/>
        </w:trPr>
        <w:tc>
          <w:tcPr>
            <w:tcW w:type="dxa" w:w="3249"/>
            <w:vAlign w:val="center"/>
          </w:tcPr>
          <w:p>
            <w:r/>
            <w:r>
              <w:rPr>
                <w:rFonts w:ascii="Figtree" w:hAnsi="Figtree"/>
                <w:b w:val="0"/>
                <w:i w:val="0"/>
                <w:sz w:val="22"/>
              </w:rPr>
              <w:t>Maturity redemption</w:t>
            </w:r>
          </w:p>
        </w:tc>
        <w:tc>
          <w:tcPr>
            <w:tcW w:type="dxa" w:w="3249"/>
            <w:vAlign w:val="center"/>
          </w:tcPr>
          <w:p>
            <w:r/>
            <w:r>
              <w:rPr>
                <w:rFonts w:ascii="Figtree" w:hAnsi="Figtree"/>
                <w:b w:val="0"/>
                <w:i w:val="0"/>
                <w:sz w:val="22"/>
              </w:rPr>
              <w:t>Maturity feature</w:t>
            </w:r>
          </w:p>
        </w:tc>
        <w:tc>
          <w:tcPr>
            <w:tcW w:type="dxa" w:w="3249"/>
            <w:vAlign w:val="center"/>
          </w:tcPr>
          <w:p>
            <w:r/>
            <w:r>
              <w:rPr>
                <w:rFonts w:ascii="Figtree" w:hAnsi="Figtree"/>
                <w:b w:val="0"/>
                <w:i w:val="0"/>
                <w:sz w:val="22"/>
              </w:rPr>
              <w:t>Automated at date</w:t>
            </w:r>
          </w:p>
        </w:tc>
      </w:tr>
      <w:tr>
        <w:trPr>
          <w:trHeight w:val="454" w:hRule="atLeast"/>
        </w:trPr>
        <w:tc>
          <w:tcPr>
            <w:tcW w:type="dxa" w:w="3249"/>
            <w:vAlign w:val="center"/>
          </w:tcPr>
          <w:p>
            <w:r/>
            <w:r>
              <w:rPr>
                <w:rFonts w:ascii="Figtree" w:hAnsi="Figtree"/>
                <w:b w:val="0"/>
                <w:i w:val="0"/>
                <w:sz w:val="22"/>
              </w:rPr>
              <w:t>Early redemption</w:t>
            </w:r>
          </w:p>
        </w:tc>
        <w:tc>
          <w:tcPr>
            <w:tcW w:type="dxa" w:w="3249"/>
            <w:vAlign w:val="center"/>
          </w:tcPr>
          <w:p>
            <w:r/>
            <w:r>
              <w:rPr>
                <w:rFonts w:ascii="Figtree" w:hAnsi="Figtree"/>
                <w:b w:val="0"/>
                <w:i w:val="0"/>
                <w:sz w:val="22"/>
              </w:rPr>
              <w:t>Burn + compliance + approval</w:t>
            </w:r>
          </w:p>
        </w:tc>
        <w:tc>
          <w:tcPr>
            <w:tcW w:type="dxa" w:w="3249"/>
            <w:vAlign w:val="center"/>
          </w:tcPr>
          <w:p>
            <w:r/>
            <w:r>
              <w:rPr>
                <w:rFonts w:ascii="Figtree" w:hAnsi="Figtree"/>
                <w:b w:val="0"/>
                <w:i w:val="0"/>
                <w:sz w:val="22"/>
              </w:rPr>
              <w:t>Semi-automated</w:t>
            </w:r>
          </w:p>
        </w:tc>
      </w:tr>
    </w:tbl>
    <w:p>
      <w:pPr>
        <w:pStyle w:val="H3"/>
        <w:numPr>
          <w:ilvl w:val="2"/>
          <w:numId w:val="1"/>
        </w:numPr>
      </w:pPr>
      <w:r>
        <w:t>Compliance Enforcement</w:t>
      </w:r>
    </w:p>
    <w:p>
      <w:r>
        <w:rPr>
          <w:rFonts w:ascii="Figtree" w:hAnsi="Figtree"/>
          <w:b w:val="0"/>
          <w:i w:val="0"/>
          <w:sz w:val="22"/>
        </w:rPr>
        <w:t>The compliance engine evaluates transfer rules before execution:</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Module</w:t>
            </w:r>
          </w:p>
        </w:tc>
        <w:tc>
          <w:tcPr>
            <w:tcW w:type="dxa" w:w="3249"/>
            <w:vAlign w:val="center"/>
            <w:shd w:fill="000099" w:val="clear"/>
          </w:tcPr>
          <w:p>
            <w:r>
              <w:rPr>
                <w:b/>
                <w:color w:val="FFFFFF"/>
              </w:rPr>
            </w:r>
            <w:r>
              <w:rPr>
                <w:rFonts w:ascii="Figtree" w:hAnsi="Figtree"/>
                <w:b/>
                <w:i w:val="0"/>
                <w:color w:val="FFFFFF"/>
                <w:sz w:val="22"/>
              </w:rPr>
              <w:t>Purpose</w:t>
            </w:r>
          </w:p>
        </w:tc>
        <w:tc>
          <w:tcPr>
            <w:tcW w:type="dxa" w:w="3249"/>
            <w:vAlign w:val="center"/>
            <w:shd w:fill="000099" w:val="clear"/>
          </w:tcPr>
          <w:p>
            <w:r>
              <w:rPr>
                <w:b/>
                <w:color w:val="FFFFFF"/>
              </w:rPr>
            </w:r>
            <w:r>
              <w:rPr>
                <w:rFonts w:ascii="Figtree" w:hAnsi="Figtree"/>
                <w:b/>
                <w:i w:val="0"/>
                <w:color w:val="FFFFFF"/>
                <w:sz w:val="22"/>
              </w:rPr>
              <w:t>Bond Application</w:t>
            </w:r>
          </w:p>
        </w:tc>
      </w:tr>
      <w:tr>
        <w:trPr>
          <w:trHeight w:val="454" w:hRule="atLeast"/>
        </w:trPr>
        <w:tc>
          <w:tcPr>
            <w:tcW w:type="dxa" w:w="3249"/>
            <w:vAlign w:val="center"/>
          </w:tcPr>
          <w:p>
            <w:r/>
            <w:r>
              <w:rPr>
                <w:rFonts w:ascii="Figtree" w:hAnsi="Figtree"/>
                <w:b w:val="0"/>
                <w:i w:val="0"/>
                <w:sz w:val="22"/>
              </w:rPr>
              <w:t>Identity verification</w:t>
            </w:r>
          </w:p>
        </w:tc>
        <w:tc>
          <w:tcPr>
            <w:tcW w:type="dxa" w:w="3249"/>
            <w:vAlign w:val="center"/>
          </w:tcPr>
          <w:p>
            <w:r/>
            <w:r>
              <w:rPr>
                <w:rFonts w:ascii="Figtree" w:hAnsi="Figtree"/>
                <w:b w:val="0"/>
                <w:i w:val="0"/>
                <w:sz w:val="22"/>
              </w:rPr>
              <w:t>Verified OnchainID required</w:t>
            </w:r>
          </w:p>
        </w:tc>
        <w:tc>
          <w:tcPr>
            <w:tcW w:type="dxa" w:w="3249"/>
            <w:vAlign w:val="center"/>
          </w:tcPr>
          <w:p>
            <w:r/>
            <w:r>
              <w:rPr>
                <w:rFonts w:ascii="Figtree" w:hAnsi="Figtree"/>
                <w:b w:val="0"/>
                <w:i w:val="0"/>
                <w:sz w:val="22"/>
              </w:rPr>
              <w:t>All transfers</w:t>
            </w:r>
          </w:p>
        </w:tc>
      </w:tr>
      <w:tr>
        <w:trPr>
          <w:trHeight w:val="454" w:hRule="atLeast"/>
        </w:trPr>
        <w:tc>
          <w:tcPr>
            <w:tcW w:type="dxa" w:w="3249"/>
            <w:vAlign w:val="center"/>
          </w:tcPr>
          <w:p>
            <w:r/>
            <w:r>
              <w:rPr>
                <w:rFonts w:ascii="Figtree" w:hAnsi="Figtree"/>
                <w:b w:val="0"/>
                <w:i w:val="0"/>
                <w:sz w:val="22"/>
              </w:rPr>
              <w:t>Country allow list</w:t>
            </w:r>
          </w:p>
        </w:tc>
        <w:tc>
          <w:tcPr>
            <w:tcW w:type="dxa" w:w="3249"/>
            <w:vAlign w:val="center"/>
          </w:tcPr>
          <w:p>
            <w:r/>
            <w:r>
              <w:rPr>
                <w:rFonts w:ascii="Figtree" w:hAnsi="Figtree"/>
                <w:b w:val="0"/>
                <w:i w:val="0"/>
                <w:sz w:val="22"/>
              </w:rPr>
              <w:t>Jurisdiction restriction</w:t>
            </w:r>
          </w:p>
        </w:tc>
        <w:tc>
          <w:tcPr>
            <w:tcW w:type="dxa" w:w="3249"/>
            <w:vAlign w:val="center"/>
          </w:tcPr>
          <w:p>
            <w:r/>
            <w:r>
              <w:rPr>
                <w:rFonts w:ascii="Figtree" w:hAnsi="Figtree"/>
                <w:b w:val="0"/>
                <w:i w:val="0"/>
                <w:sz w:val="22"/>
              </w:rPr>
              <w:t>KSA + approved</w:t>
            </w:r>
          </w:p>
        </w:tc>
      </w:tr>
      <w:tr>
        <w:trPr>
          <w:trHeight w:val="454" w:hRule="atLeast"/>
        </w:trPr>
        <w:tc>
          <w:tcPr>
            <w:tcW w:type="dxa" w:w="3249"/>
            <w:vAlign w:val="center"/>
          </w:tcPr>
          <w:p>
            <w:r/>
            <w:r>
              <w:rPr>
                <w:rFonts w:ascii="Figtree" w:hAnsi="Figtree"/>
                <w:b w:val="0"/>
                <w:i w:val="0"/>
                <w:sz w:val="22"/>
              </w:rPr>
              <w:t>Investor count limit</w:t>
            </w:r>
          </w:p>
        </w:tc>
        <w:tc>
          <w:tcPr>
            <w:tcW w:type="dxa" w:w="3249"/>
            <w:vAlign w:val="center"/>
          </w:tcPr>
          <w:p>
            <w:r/>
            <w:r>
              <w:rPr>
                <w:rFonts w:ascii="Figtree" w:hAnsi="Figtree"/>
                <w:b w:val="0"/>
                <w:i w:val="0"/>
                <w:sz w:val="22"/>
              </w:rPr>
              <w:t>Holder cap</w:t>
            </w:r>
          </w:p>
        </w:tc>
        <w:tc>
          <w:tcPr>
            <w:tcW w:type="dxa" w:w="3249"/>
            <w:vAlign w:val="center"/>
          </w:tcPr>
          <w:p>
            <w:r/>
            <w:r>
              <w:rPr>
                <w:rFonts w:ascii="Figtree" w:hAnsi="Figtree"/>
                <w:b w:val="0"/>
                <w:i w:val="0"/>
                <w:sz w:val="22"/>
              </w:rPr>
              <w:t>Regulatory compliance</w:t>
            </w:r>
          </w:p>
        </w:tc>
      </w:tr>
      <w:tr>
        <w:trPr>
          <w:trHeight w:val="454" w:hRule="atLeast"/>
        </w:trPr>
        <w:tc>
          <w:tcPr>
            <w:tcW w:type="dxa" w:w="3249"/>
            <w:vAlign w:val="center"/>
          </w:tcPr>
          <w:p>
            <w:r/>
            <w:r>
              <w:rPr>
                <w:rFonts w:ascii="Figtree" w:hAnsi="Figtree"/>
                <w:b w:val="0"/>
                <w:i w:val="0"/>
                <w:sz w:val="22"/>
              </w:rPr>
              <w:t>Transfer approval</w:t>
            </w:r>
          </w:p>
        </w:tc>
        <w:tc>
          <w:tcPr>
            <w:tcW w:type="dxa" w:w="3249"/>
            <w:vAlign w:val="center"/>
          </w:tcPr>
          <w:p>
            <w:r/>
            <w:r>
              <w:rPr>
                <w:rFonts w:ascii="Figtree" w:hAnsi="Figtree"/>
                <w:b w:val="0"/>
                <w:i w:val="0"/>
                <w:sz w:val="22"/>
              </w:rPr>
              <w:t>Maker-checker</w:t>
            </w:r>
          </w:p>
        </w:tc>
        <w:tc>
          <w:tcPr>
            <w:tcW w:type="dxa" w:w="3249"/>
            <w:vAlign w:val="center"/>
          </w:tcPr>
          <w:p>
            <w:r/>
            <w:r>
              <w:rPr>
                <w:rFonts w:ascii="Figtree" w:hAnsi="Figtree"/>
                <w:b w:val="0"/>
                <w:i w:val="0"/>
                <w:sz w:val="22"/>
              </w:rPr>
              <w:t>Secondary trades above threshold</w:t>
            </w:r>
          </w:p>
        </w:tc>
      </w:tr>
      <w:tr>
        <w:trPr>
          <w:trHeight w:val="454" w:hRule="atLeast"/>
        </w:trPr>
        <w:tc>
          <w:tcPr>
            <w:tcW w:type="dxa" w:w="3249"/>
            <w:vAlign w:val="center"/>
          </w:tcPr>
          <w:p>
            <w:r/>
            <w:r>
              <w:rPr>
                <w:rFonts w:ascii="Figtree" w:hAnsi="Figtree"/>
                <w:b w:val="0"/>
                <w:i w:val="0"/>
                <w:sz w:val="22"/>
              </w:rPr>
              <w:t>Timelock</w:t>
            </w:r>
          </w:p>
        </w:tc>
        <w:tc>
          <w:tcPr>
            <w:tcW w:type="dxa" w:w="3249"/>
            <w:vAlign w:val="center"/>
          </w:tcPr>
          <w:p>
            <w:r/>
            <w:r>
              <w:rPr>
                <w:rFonts w:ascii="Figtree" w:hAnsi="Figtree"/>
                <w:b w:val="0"/>
                <w:i w:val="0"/>
                <w:sz w:val="22"/>
              </w:rPr>
              <w:t>Holding period</w:t>
            </w:r>
          </w:p>
        </w:tc>
        <w:tc>
          <w:tcPr>
            <w:tcW w:type="dxa" w:w="3249"/>
            <w:vAlign w:val="center"/>
          </w:tcPr>
          <w:p>
            <w:r/>
            <w:r>
              <w:rPr>
                <w:rFonts w:ascii="Figtree" w:hAnsi="Figtree"/>
                <w:b w:val="0"/>
                <w:i w:val="0"/>
                <w:sz w:val="22"/>
              </w:rPr>
              <w:t>Where regulatory required</w:t>
            </w:r>
          </w:p>
        </w:tc>
      </w:tr>
    </w:tbl>
    <w:p>
      <w:pPr>
        <w:pStyle w:val="H3"/>
        <w:numPr>
          <w:ilvl w:val="2"/>
          <w:numId w:val="1"/>
        </w:numPr>
      </w:pPr>
      <w:r>
        <w:t>Settlement Architecture</w:t>
      </w:r>
    </w:p>
    <w:p>
      <w:r>
        <w:rPr>
          <w:rFonts w:ascii="Figtree" w:hAnsi="Figtree"/>
          <w:b w:val="0"/>
          <w:i w:val="0"/>
          <w:sz w:val="22"/>
        </w:rPr>
        <w:t>XvP atomic DvP for both primary distribution and secondary trading:</w:t>
      </w:r>
    </w:p>
    <w:p>
      <w:pPr>
        <w:pStyle w:val="ListParagraph"/>
        <w:numPr>
          <w:ilvl w:val="0"/>
          <w:numId w:val="4"/>
        </w:numPr>
      </w:pPr>
      <w:r>
        <w:rPr>
          <w:rFonts w:ascii="Figtree" w:hAnsi="Figtree"/>
          <w:b w:val="0"/>
          <w:i w:val="0"/>
          <w:sz w:val="22"/>
        </w:rPr>
        <w:t>Both legs (bond delivery + payment) in single atomic transaction</w:t>
      </w:r>
    </w:p>
    <w:p>
      <w:pPr>
        <w:pStyle w:val="ListParagraph"/>
        <w:numPr>
          <w:ilvl w:val="0"/>
          <w:numId w:val="4"/>
        </w:numPr>
      </w:pPr>
      <w:r>
        <w:rPr>
          <w:rFonts w:ascii="Figtree" w:hAnsi="Figtree"/>
          <w:b w:val="0"/>
          <w:i w:val="0"/>
          <w:sz w:val="22"/>
        </w:rPr>
        <w:t>Deterministic finality under IBFT 2.0 (median 2.3s, P99 4.1s)</w:t>
      </w:r>
    </w:p>
    <w:p>
      <w:pPr>
        <w:pStyle w:val="ListParagraph"/>
        <w:numPr>
          <w:ilvl w:val="0"/>
          <w:numId w:val="4"/>
        </w:numPr>
      </w:pPr>
      <w:r>
        <w:rPr>
          <w:rFonts w:ascii="Figtree" w:hAnsi="Figtree"/>
          <w:b w:val="0"/>
          <w:i w:val="0"/>
          <w:sz w:val="22"/>
        </w:rPr>
        <w:t>Zero counterparty exposure window</w:t>
      </w:r>
    </w:p>
    <w:p>
      <w:pPr>
        <w:pStyle w:val="ListParagraph"/>
        <w:numPr>
          <w:ilvl w:val="0"/>
          <w:numId w:val="4"/>
        </w:numPr>
      </w:pPr>
      <w:r>
        <w:rPr>
          <w:rFonts w:ascii="Figtree" w:hAnsi="Figtree"/>
          <w:b w:val="0"/>
          <w:i w:val="0"/>
          <w:sz w:val="22"/>
        </w:rPr>
        <w:t>Failed settlements revert completely with diagnostic logging</w:t>
      </w:r>
    </w:p>
    <w:p>
      <w:pPr>
        <w:pStyle w:val="H3"/>
        <w:numPr>
          <w:ilvl w:val="2"/>
          <w:numId w:val="1"/>
        </w:numPr>
      </w:pPr>
      <w:r>
        <w:t>Functional Fit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Req</w:t>
            </w:r>
          </w:p>
        </w:tc>
        <w:tc>
          <w:tcPr>
            <w:tcW w:type="dxa" w:w="2436"/>
            <w:vAlign w:val="center"/>
            <w:shd w:fill="000099" w:val="clear"/>
          </w:tcPr>
          <w:p>
            <w:r>
              <w:rPr>
                <w:b/>
                <w:color w:val="FFFFFF"/>
              </w:rPr>
            </w:r>
            <w:r>
              <w:rPr>
                <w:rFonts w:ascii="Figtree" w:hAnsi="Figtree"/>
                <w:b/>
                <w:i w:val="0"/>
                <w:color w:val="FFFFFF"/>
                <w:sz w:val="22"/>
              </w:rPr>
              <w:t>Summary</w:t>
            </w:r>
          </w:p>
        </w:tc>
        <w:tc>
          <w:tcPr>
            <w:tcW w:type="dxa" w:w="2436"/>
            <w:vAlign w:val="center"/>
            <w:shd w:fill="000099" w:val="clear"/>
          </w:tcPr>
          <w:p>
            <w:r>
              <w:rPr>
                <w:b/>
                <w:color w:val="FFFFFF"/>
              </w:rPr>
            </w:r>
            <w:r>
              <w:rPr>
                <w:rFonts w:ascii="Figtree" w:hAnsi="Figtree"/>
                <w:b/>
                <w:i w:val="0"/>
                <w:color w:val="FFFFFF"/>
                <w:sz w:val="22"/>
              </w:rPr>
              <w:t>Status</w:t>
            </w:r>
          </w:p>
        </w:tc>
        <w:tc>
          <w:tcPr>
            <w:tcW w:type="dxa" w:w="2436"/>
            <w:vAlign w:val="center"/>
            <w:shd w:fill="000099" w:val="clear"/>
          </w:tcPr>
          <w:p>
            <w:r>
              <w:rPr>
                <w:b/>
                <w:color w:val="FFFFFF"/>
              </w:rPr>
            </w:r>
            <w:r>
              <w:rPr>
                <w:rFonts w:ascii="Figtree" w:hAnsi="Figtree"/>
                <w:b/>
                <w:i w:val="0"/>
                <w:color w:val="FFFFFF"/>
                <w:sz w:val="22"/>
              </w:rPr>
              <w:t>Response</w:t>
            </w:r>
          </w:p>
        </w:tc>
      </w:tr>
      <w:tr>
        <w:trPr>
          <w:trHeight w:val="454" w:hRule="atLeast"/>
        </w:trPr>
        <w:tc>
          <w:tcPr>
            <w:tcW w:type="dxa" w:w="2436"/>
            <w:vAlign w:val="center"/>
          </w:tcPr>
          <w:p>
            <w:r/>
            <w:r>
              <w:rPr>
                <w:rFonts w:ascii="Figtree" w:hAnsi="Figtree"/>
                <w:b w:val="0"/>
                <w:i w:val="0"/>
                <w:sz w:val="22"/>
              </w:rPr>
              <w:t>REQ-01</w:t>
            </w:r>
          </w:p>
        </w:tc>
        <w:tc>
          <w:tcPr>
            <w:tcW w:type="dxa" w:w="2436"/>
            <w:vAlign w:val="center"/>
          </w:tcPr>
          <w:p>
            <w:r/>
            <w:r>
              <w:rPr>
                <w:rFonts w:ascii="Figtree" w:hAnsi="Figtree"/>
                <w:b w:val="0"/>
                <w:i w:val="0"/>
                <w:sz w:val="22"/>
              </w:rPr>
              <w:t>Segregated environments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Independent instances</w:t>
            </w:r>
          </w:p>
        </w:tc>
      </w:tr>
      <w:tr>
        <w:trPr>
          <w:trHeight w:val="454" w:hRule="atLeast"/>
        </w:trPr>
        <w:tc>
          <w:tcPr>
            <w:tcW w:type="dxa" w:w="2436"/>
            <w:vAlign w:val="center"/>
          </w:tcPr>
          <w:p>
            <w:r/>
            <w:r>
              <w:rPr>
                <w:rFonts w:ascii="Figtree" w:hAnsi="Figtree"/>
                <w:b w:val="0"/>
                <w:i w:val="0"/>
                <w:sz w:val="22"/>
              </w:rPr>
              <w:t>REQ-02</w:t>
            </w:r>
          </w:p>
        </w:tc>
        <w:tc>
          <w:tcPr>
            <w:tcW w:type="dxa" w:w="2436"/>
            <w:vAlign w:val="center"/>
          </w:tcPr>
          <w:p>
            <w:r/>
            <w:r>
              <w:rPr>
                <w:rFonts w:ascii="Figtree" w:hAnsi="Figtree"/>
                <w:b w:val="0"/>
                <w:i w:val="0"/>
                <w:sz w:val="22"/>
              </w:rPr>
              <w:t>API-first interfaces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DAPI, SDK, CLI, webhooks</w:t>
            </w:r>
          </w:p>
        </w:tc>
      </w:tr>
      <w:tr>
        <w:trPr>
          <w:trHeight w:val="454" w:hRule="atLeast"/>
        </w:trPr>
        <w:tc>
          <w:tcPr>
            <w:tcW w:type="dxa" w:w="2436"/>
            <w:vAlign w:val="center"/>
          </w:tcPr>
          <w:p>
            <w:r/>
            <w:r>
              <w:rPr>
                <w:rFonts w:ascii="Figtree" w:hAnsi="Figtree"/>
                <w:b w:val="0"/>
                <w:i w:val="0"/>
                <w:sz w:val="22"/>
              </w:rPr>
              <w:t>REQ-03</w:t>
            </w:r>
          </w:p>
        </w:tc>
        <w:tc>
          <w:tcPr>
            <w:tcW w:type="dxa" w:w="2436"/>
            <w:vAlign w:val="center"/>
          </w:tcPr>
          <w:p>
            <w:r/>
            <w:r>
              <w:rPr>
                <w:rFonts w:ascii="Figtree" w:hAnsi="Figtree"/>
                <w:b w:val="0"/>
                <w:i w:val="0"/>
                <w:sz w:val="22"/>
              </w:rPr>
              <w:t>RBAC, maker-checker, audit</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26 roles, wallet verification</w:t>
            </w:r>
          </w:p>
        </w:tc>
      </w:tr>
      <w:tr>
        <w:trPr>
          <w:trHeight w:val="454" w:hRule="atLeast"/>
        </w:trPr>
        <w:tc>
          <w:tcPr>
            <w:tcW w:type="dxa" w:w="2436"/>
            <w:vAlign w:val="center"/>
          </w:tcPr>
          <w:p>
            <w:r/>
            <w:r>
              <w:rPr>
                <w:rFonts w:ascii="Figtree" w:hAnsi="Figtree"/>
                <w:b w:val="0"/>
                <w:i w:val="0"/>
                <w:sz w:val="22"/>
              </w:rPr>
              <w:t>REQ-04</w:t>
            </w:r>
          </w:p>
        </w:tc>
        <w:tc>
          <w:tcPr>
            <w:tcW w:type="dxa" w:w="2436"/>
            <w:vAlign w:val="center"/>
          </w:tcPr>
          <w:p>
            <w:r/>
            <w:r>
              <w:rPr>
                <w:rFonts w:ascii="Figtree" w:hAnsi="Figtree"/>
                <w:b w:val="0"/>
                <w:i w:val="0"/>
                <w:sz w:val="22"/>
              </w:rPr>
              <w:t>Configurable lifecycle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DALPAsset runtime config</w:t>
            </w:r>
          </w:p>
        </w:tc>
      </w:tr>
      <w:tr>
        <w:trPr>
          <w:trHeight w:val="454" w:hRule="atLeast"/>
        </w:trPr>
        <w:tc>
          <w:tcPr>
            <w:tcW w:type="dxa" w:w="2436"/>
            <w:vAlign w:val="center"/>
          </w:tcPr>
          <w:p>
            <w:r/>
            <w:r>
              <w:rPr>
                <w:rFonts w:ascii="Figtree" w:hAnsi="Figtree"/>
                <w:b w:val="0"/>
                <w:i w:val="0"/>
                <w:sz w:val="22"/>
              </w:rPr>
              <w:t>REQ-05</w:t>
            </w:r>
          </w:p>
        </w:tc>
        <w:tc>
          <w:tcPr>
            <w:tcW w:type="dxa" w:w="2436"/>
            <w:vAlign w:val="center"/>
          </w:tcPr>
          <w:p>
            <w:r/>
            <w:r>
              <w:rPr>
                <w:rFonts w:ascii="Figtree" w:hAnsi="Figtree"/>
                <w:b w:val="0"/>
                <w:i w:val="0"/>
                <w:sz w:val="22"/>
              </w:rPr>
              <w:t>Dependency disclosure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Register provided</w:t>
            </w:r>
          </w:p>
        </w:tc>
      </w:tr>
      <w:tr>
        <w:trPr>
          <w:trHeight w:val="454" w:hRule="atLeast"/>
        </w:trPr>
        <w:tc>
          <w:tcPr>
            <w:tcW w:type="dxa" w:w="2436"/>
            <w:vAlign w:val="center"/>
          </w:tcPr>
          <w:p>
            <w:r/>
            <w:r>
              <w:rPr>
                <w:rFonts w:ascii="Figtree" w:hAnsi="Figtree"/>
                <w:b w:val="0"/>
                <w:i w:val="0"/>
                <w:sz w:val="22"/>
              </w:rPr>
              <w:t>REQ-06</w:t>
            </w:r>
          </w:p>
        </w:tc>
        <w:tc>
          <w:tcPr>
            <w:tcW w:type="dxa" w:w="2436"/>
            <w:vAlign w:val="center"/>
          </w:tcPr>
          <w:p>
            <w:r/>
            <w:r>
              <w:rPr>
                <w:rFonts w:ascii="Figtree" w:hAnsi="Figtree"/>
                <w:b w:val="0"/>
                <w:i w:val="0"/>
                <w:sz w:val="22"/>
              </w:rPr>
              <w:t>Resilience, monitoring</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Multi-AZ, Grafana</w:t>
            </w:r>
          </w:p>
        </w:tc>
      </w:tr>
      <w:tr>
        <w:trPr>
          <w:trHeight w:val="454" w:hRule="atLeast"/>
        </w:trPr>
        <w:tc>
          <w:tcPr>
            <w:tcW w:type="dxa" w:w="2436"/>
            <w:vAlign w:val="center"/>
          </w:tcPr>
          <w:p>
            <w:r/>
            <w:r>
              <w:rPr>
                <w:rFonts w:ascii="Figtree" w:hAnsi="Figtree"/>
                <w:b w:val="0"/>
                <w:i w:val="0"/>
                <w:sz w:val="22"/>
              </w:rPr>
              <w:t>REQ-07</w:t>
            </w:r>
          </w:p>
        </w:tc>
        <w:tc>
          <w:tcPr>
            <w:tcW w:type="dxa" w:w="2436"/>
            <w:vAlign w:val="center"/>
          </w:tcPr>
          <w:p>
            <w:r/>
            <w:r>
              <w:rPr>
                <w:rFonts w:ascii="Figtree" w:hAnsi="Figtree"/>
                <w:b w:val="0"/>
                <w:i w:val="0"/>
                <w:sz w:val="22"/>
              </w:rPr>
              <w:t>Phased implementation</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19-week methodology</w:t>
            </w:r>
          </w:p>
        </w:tc>
      </w:tr>
      <w:tr>
        <w:trPr>
          <w:trHeight w:val="454" w:hRule="atLeast"/>
        </w:trPr>
        <w:tc>
          <w:tcPr>
            <w:tcW w:type="dxa" w:w="2436"/>
            <w:vAlign w:val="center"/>
          </w:tcPr>
          <w:p>
            <w:r/>
            <w:r>
              <w:rPr>
                <w:rFonts w:ascii="Figtree" w:hAnsi="Figtree"/>
                <w:b w:val="0"/>
                <w:i w:val="0"/>
                <w:sz w:val="22"/>
              </w:rPr>
              <w:t>REQ-08</w:t>
            </w:r>
          </w:p>
        </w:tc>
        <w:tc>
          <w:tcPr>
            <w:tcW w:type="dxa" w:w="2436"/>
            <w:vAlign w:val="center"/>
          </w:tcPr>
          <w:p>
            <w:r/>
            <w:r>
              <w:rPr>
                <w:rFonts w:ascii="Figtree" w:hAnsi="Figtree"/>
                <w:b w:val="0"/>
                <w:i w:val="0"/>
                <w:sz w:val="22"/>
              </w:rPr>
              <w:t>Audit evidence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On-chain + off-chain</w:t>
            </w:r>
          </w:p>
        </w:tc>
      </w:tr>
      <w:tr>
        <w:trPr>
          <w:trHeight w:val="454" w:hRule="atLeast"/>
        </w:trPr>
        <w:tc>
          <w:tcPr>
            <w:tcW w:type="dxa" w:w="2436"/>
            <w:vAlign w:val="center"/>
          </w:tcPr>
          <w:p>
            <w:r/>
            <w:r>
              <w:rPr>
                <w:rFonts w:ascii="Figtree" w:hAnsi="Figtree"/>
                <w:b w:val="0"/>
                <w:i w:val="0"/>
                <w:sz w:val="22"/>
              </w:rPr>
              <w:t>REQ-09</w:t>
            </w:r>
          </w:p>
        </w:tc>
        <w:tc>
          <w:tcPr>
            <w:tcW w:type="dxa" w:w="2436"/>
            <w:vAlign w:val="center"/>
          </w:tcPr>
          <w:p>
            <w:r/>
            <w:r>
              <w:rPr>
                <w:rFonts w:ascii="Figtree" w:hAnsi="Figtree"/>
                <w:b w:val="0"/>
                <w:i w:val="0"/>
                <w:sz w:val="22"/>
              </w:rPr>
              <w:t>Bond origination workflow</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Asset Designer + factory</w:t>
            </w:r>
          </w:p>
        </w:tc>
      </w:tr>
      <w:tr>
        <w:trPr>
          <w:trHeight w:val="454" w:hRule="atLeast"/>
        </w:trPr>
        <w:tc>
          <w:tcPr>
            <w:tcW w:type="dxa" w:w="2436"/>
            <w:vAlign w:val="center"/>
          </w:tcPr>
          <w:p>
            <w:r/>
            <w:r>
              <w:rPr>
                <w:rFonts w:ascii="Figtree" w:hAnsi="Figtree"/>
                <w:b w:val="0"/>
                <w:i w:val="0"/>
                <w:sz w:val="22"/>
              </w:rPr>
              <w:t>REQ-10</w:t>
            </w:r>
          </w:p>
        </w:tc>
        <w:tc>
          <w:tcPr>
            <w:tcW w:type="dxa" w:w="2436"/>
            <w:vAlign w:val="center"/>
          </w:tcPr>
          <w:p>
            <w:r/>
            <w:r>
              <w:rPr>
                <w:rFonts w:ascii="Figtree" w:hAnsi="Figtree"/>
                <w:b w:val="0"/>
                <w:i w:val="0"/>
                <w:sz w:val="22"/>
              </w:rPr>
              <w:t>Coupon distribution</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Fixed treasury yield</w:t>
            </w:r>
          </w:p>
        </w:tc>
      </w:tr>
      <w:tr>
        <w:trPr>
          <w:trHeight w:val="454" w:hRule="atLeast"/>
        </w:trPr>
        <w:tc>
          <w:tcPr>
            <w:tcW w:type="dxa" w:w="2436"/>
            <w:vAlign w:val="center"/>
          </w:tcPr>
          <w:p>
            <w:r/>
            <w:r>
              <w:rPr>
                <w:rFonts w:ascii="Figtree" w:hAnsi="Figtree"/>
                <w:b w:val="0"/>
                <w:i w:val="0"/>
                <w:sz w:val="22"/>
              </w:rPr>
              <w:t>REQ-11</w:t>
            </w:r>
          </w:p>
        </w:tc>
        <w:tc>
          <w:tcPr>
            <w:tcW w:type="dxa" w:w="2436"/>
            <w:vAlign w:val="center"/>
          </w:tcPr>
          <w:p>
            <w:r/>
            <w:r>
              <w:rPr>
                <w:rFonts w:ascii="Figtree" w:hAnsi="Figtree"/>
                <w:b w:val="0"/>
                <w:i w:val="0"/>
                <w:sz w:val="22"/>
              </w:rPr>
              <w:t>Maturity processing</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Maturity/redemption feature</w:t>
            </w:r>
          </w:p>
        </w:tc>
      </w:tr>
    </w:tbl>
    <w:p>
      <w:r>
        <w:br w:type="page"/>
      </w:r>
    </w:p>
    <w:p>
      <w:pPr>
        <w:pStyle w:val="H2"/>
        <w:numPr>
          <w:ilvl w:val="1"/>
          <w:numId w:val="1"/>
        </w:numPr>
      </w:pPr>
      <w:r>
        <w:t>Technical Architecture</w:t>
      </w:r>
    </w:p>
    <w:p>
      <w:pPr>
        <w:pStyle w:val="H3"/>
        <w:numPr>
          <w:ilvl w:val="2"/>
          <w:numId w:val="1"/>
        </w:numPr>
      </w:pPr>
      <w:r>
        <w:t>Four-Layer Stack</w:t>
      </w:r>
    </w:p>
    <w:p>
      <w:pPr>
        <w:jc w:val="center"/>
      </w:pPr>
      <w:r>
        <w:drawing>
          <wp:inline xmlns:a="http://schemas.openxmlformats.org/drawingml/2006/main" xmlns:pic="http://schemas.openxmlformats.org/drawingml/2006/picture">
            <wp:extent cx="5486400" cy="2323323"/>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323323"/>
                    </a:xfrm>
                    <a:prstGeom prst="rect"/>
                  </pic:spPr>
                </pic:pic>
              </a:graphicData>
            </a:graphic>
          </wp:inline>
        </w:drawing>
      </w:r>
    </w:p>
    <w:p>
      <w:pPr>
        <w:pStyle w:val="H3"/>
        <w:numPr>
          <w:ilvl w:val="2"/>
          <w:numId w:val="1"/>
        </w:numPr>
      </w:pPr>
      <w:r>
        <w:t>Network: Permissioned Hyperledger Besu</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Consensus</w:t>
            </w:r>
          </w:p>
        </w:tc>
        <w:tc>
          <w:tcPr>
            <w:tcW w:type="dxa" w:w="4873"/>
            <w:vAlign w:val="center"/>
          </w:tcPr>
          <w:p>
            <w:r/>
            <w:r>
              <w:rPr>
                <w:rFonts w:ascii="Figtree" w:hAnsi="Figtree"/>
                <w:b w:val="0"/>
                <w:i w:val="0"/>
                <w:sz w:val="22"/>
              </w:rPr>
              <w:t>IBFT 2.0</w:t>
            </w:r>
          </w:p>
        </w:tc>
      </w:tr>
      <w:tr>
        <w:trPr>
          <w:trHeight w:val="454" w:hRule="atLeast"/>
        </w:trPr>
        <w:tc>
          <w:tcPr>
            <w:tcW w:type="dxa" w:w="4873"/>
            <w:vAlign w:val="center"/>
          </w:tcPr>
          <w:p>
            <w:r/>
            <w:r>
              <w:rPr>
                <w:rFonts w:ascii="Figtree" w:hAnsi="Figtree"/>
                <w:b w:val="0"/>
                <w:i w:val="0"/>
                <w:sz w:val="22"/>
              </w:rPr>
              <w:t>Validators</w:t>
            </w:r>
          </w:p>
        </w:tc>
        <w:tc>
          <w:tcPr>
            <w:tcW w:type="dxa" w:w="4873"/>
            <w:vAlign w:val="center"/>
          </w:tcPr>
          <w:p>
            <w:r/>
            <w:r>
              <w:rPr>
                <w:rFonts w:ascii="Figtree" w:hAnsi="Figtree"/>
                <w:b w:val="0"/>
                <w:i w:val="0"/>
                <w:sz w:val="22"/>
              </w:rPr>
              <w:t>4 nodes</w:t>
            </w:r>
          </w:p>
        </w:tc>
      </w:tr>
      <w:tr>
        <w:trPr>
          <w:trHeight w:val="454" w:hRule="atLeast"/>
        </w:trPr>
        <w:tc>
          <w:tcPr>
            <w:tcW w:type="dxa" w:w="4873"/>
            <w:vAlign w:val="center"/>
          </w:tcPr>
          <w:p>
            <w:r/>
            <w:r>
              <w:rPr>
                <w:rFonts w:ascii="Figtree" w:hAnsi="Figtree"/>
                <w:b w:val="0"/>
                <w:i w:val="0"/>
                <w:sz w:val="22"/>
              </w:rPr>
              <w:t>Block time</w:t>
            </w:r>
          </w:p>
        </w:tc>
        <w:tc>
          <w:tcPr>
            <w:tcW w:type="dxa" w:w="4873"/>
            <w:vAlign w:val="center"/>
          </w:tcPr>
          <w:p>
            <w:r/>
            <w:r>
              <w:rPr>
                <w:rFonts w:ascii="Figtree" w:hAnsi="Figtree"/>
                <w:b w:val="0"/>
                <w:i w:val="0"/>
                <w:sz w:val="22"/>
              </w:rPr>
              <w:t>2 seconds</w:t>
            </w:r>
          </w:p>
        </w:tc>
      </w:tr>
      <w:tr>
        <w:trPr>
          <w:trHeight w:val="454" w:hRule="atLeast"/>
        </w:trPr>
        <w:tc>
          <w:tcPr>
            <w:tcW w:type="dxa" w:w="4873"/>
            <w:vAlign w:val="center"/>
          </w:tcPr>
          <w:p>
            <w:r/>
            <w:r>
              <w:rPr>
                <w:rFonts w:ascii="Figtree" w:hAnsi="Figtree"/>
                <w:b w:val="0"/>
                <w:i w:val="0"/>
                <w:sz w:val="22"/>
              </w:rPr>
              <w:t>Finality</w:t>
            </w:r>
          </w:p>
        </w:tc>
        <w:tc>
          <w:tcPr>
            <w:tcW w:type="dxa" w:w="4873"/>
            <w:vAlign w:val="center"/>
          </w:tcPr>
          <w:p>
            <w:r/>
            <w:r>
              <w:rPr>
                <w:rFonts w:ascii="Figtree" w:hAnsi="Figtree"/>
                <w:b w:val="0"/>
                <w:i w:val="0"/>
                <w:sz w:val="22"/>
              </w:rPr>
              <w:t>Deterministic</w:t>
            </w:r>
          </w:p>
        </w:tc>
      </w:tr>
      <w:tr>
        <w:trPr>
          <w:trHeight w:val="454" w:hRule="atLeast"/>
        </w:trPr>
        <w:tc>
          <w:tcPr>
            <w:tcW w:type="dxa" w:w="4873"/>
            <w:vAlign w:val="center"/>
          </w:tcPr>
          <w:p>
            <w:r/>
            <w:r>
              <w:rPr>
                <w:rFonts w:ascii="Figtree" w:hAnsi="Figtree"/>
                <w:b w:val="0"/>
                <w:i w:val="0"/>
                <w:sz w:val="22"/>
              </w:rPr>
              <w:t>Privacy</w:t>
            </w:r>
          </w:p>
        </w:tc>
        <w:tc>
          <w:tcPr>
            <w:tcW w:type="dxa" w:w="4873"/>
            <w:vAlign w:val="center"/>
          </w:tcPr>
          <w:p>
            <w:r/>
            <w:r>
              <w:rPr>
                <w:rFonts w:ascii="Figtree" w:hAnsi="Figtree"/>
                <w:b w:val="0"/>
                <w:i w:val="0"/>
                <w:sz w:val="22"/>
              </w:rPr>
              <w:t>Permissioned (SNB-controlled)</w:t>
            </w:r>
          </w:p>
        </w:tc>
      </w:tr>
    </w:tbl>
    <w:p>
      <w:pPr>
        <w:pStyle w:val="H3"/>
        <w:numPr>
          <w:ilvl w:val="2"/>
          <w:numId w:val="1"/>
        </w:numPr>
      </w:pPr>
      <w:r>
        <w:t>Security: 5-Layer Defense-in-Depth</w:t>
      </w:r>
    </w:p>
    <w:p>
      <w:pPr>
        <w:pStyle w:val="ListParagraph"/>
        <w:numPr>
          <w:ilvl w:val="0"/>
          <w:numId w:val="8"/>
        </w:numPr>
      </w:pPr>
      <w:r>
        <w:rPr>
          <w:rFonts w:ascii="Figtree" w:hAnsi="Figtree"/>
          <w:b w:val="0"/>
          <w:i w:val="0"/>
          <w:sz w:val="22"/>
        </w:rPr>
        <w:t>Authentication (email/password, passkeys, LDAP, OAuth, SAML)</w:t>
      </w:r>
    </w:p>
    <w:p>
      <w:pPr>
        <w:pStyle w:val="ListParagraph"/>
        <w:numPr>
          <w:ilvl w:val="0"/>
          <w:numId w:val="8"/>
        </w:numPr>
      </w:pPr>
      <w:r>
        <w:rPr>
          <w:rFonts w:ascii="Figtree" w:hAnsi="Figtree"/>
          <w:b w:val="0"/>
          <w:i w:val="0"/>
          <w:sz w:val="22"/>
        </w:rPr>
        <w:t>Authorization (26 roles, 4 layers, RBAC)</w:t>
      </w:r>
    </w:p>
    <w:p>
      <w:pPr>
        <w:pStyle w:val="ListParagraph"/>
        <w:numPr>
          <w:ilvl w:val="0"/>
          <w:numId w:val="8"/>
        </w:numPr>
      </w:pPr>
      <w:r>
        <w:rPr>
          <w:rFonts w:ascii="Figtree" w:hAnsi="Figtree"/>
          <w:b w:val="0"/>
          <w:i w:val="0"/>
          <w:sz w:val="22"/>
        </w:rPr>
        <w:t>Wallet verification (PIN, TOTP, passkey, backup codes)</w:t>
      </w:r>
    </w:p>
    <w:p>
      <w:pPr>
        <w:pStyle w:val="ListParagraph"/>
        <w:numPr>
          <w:ilvl w:val="0"/>
          <w:numId w:val="8"/>
        </w:numPr>
      </w:pPr>
      <w:r>
        <w:rPr>
          <w:rFonts w:ascii="Figtree" w:hAnsi="Figtree"/>
          <w:b w:val="0"/>
          <w:i w:val="0"/>
          <w:sz w:val="22"/>
        </w:rPr>
        <w:t>Compliance (18 modules, fail-closed)</w:t>
      </w:r>
    </w:p>
    <w:p>
      <w:pPr>
        <w:pStyle w:val="ListParagraph"/>
        <w:numPr>
          <w:ilvl w:val="0"/>
          <w:numId w:val="8"/>
        </w:numPr>
      </w:pPr>
      <w:r>
        <w:rPr>
          <w:rFonts w:ascii="Figtree" w:hAnsi="Figtree"/>
          <w:b w:val="0"/>
          <w:i w:val="0"/>
          <w:sz w:val="22"/>
        </w:rPr>
        <w:t>Custody policy (DFNS/Fireblocks TAP)</w:t>
      </w:r>
    </w:p>
    <w:p>
      <w:r>
        <w:rPr>
          <w:rFonts w:ascii="Figtree" w:hAnsi="Figtree"/>
          <w:b w:val="0"/>
          <w:i w:val="0"/>
          <w:sz w:val="22"/>
        </w:rPr>
        <w:t>Certifications: ISO 27001, SOC 2 Type II</w:t>
      </w:r>
    </w:p>
    <w:p>
      <w:r>
        <w:br w:type="page"/>
      </w:r>
    </w:p>
    <w:p>
      <w:pPr>
        <w:pStyle w:val="H2"/>
        <w:numPr>
          <w:ilvl w:val="1"/>
          <w:numId w:val="1"/>
        </w:numPr>
      </w:pPr>
      <w:r>
        <w:t>Implementation (19 Weeks)</w:t>
      </w:r>
    </w:p>
    <w:p>
      <w:pPr>
        <w:jc w:val="center"/>
      </w:pPr>
      <w:r>
        <w:drawing>
          <wp:inline xmlns:a="http://schemas.openxmlformats.org/drawingml/2006/main" xmlns:pic="http://schemas.openxmlformats.org/drawingml/2006/picture">
            <wp:extent cx="5486400" cy="153955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539551"/>
                    </a:xfrm>
                    <a:prstGeom prst="rect"/>
                  </pic:spPr>
                </pic:pic>
              </a:graphicData>
            </a:graphic>
          </wp:inline>
        </w:drawing>
      </w:r>
    </w:p>
    <w:p>
      <w:r>
        <w:rPr>
          <w:rFonts w:ascii="Figtree" w:hAnsi="Figtree"/>
          <w:b/>
          <w:i w:val="0"/>
          <w:sz w:val="22"/>
        </w:rPr>
        <w:t>Estimated SNB effort: 75 person-days</w:t>
      </w:r>
    </w:p>
    <w:p>
      <w:r>
        <w:br w:type="page"/>
      </w:r>
    </w:p>
    <w:p>
      <w:pPr>
        <w:pStyle w:val="H2"/>
        <w:numPr>
          <w:ilvl w:val="1"/>
          <w:numId w:val="1"/>
        </w:numPr>
      </w:pPr>
      <w:r>
        <w:t>Deployment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Model</w:t>
            </w:r>
          </w:p>
        </w:tc>
        <w:tc>
          <w:tcPr>
            <w:tcW w:type="dxa" w:w="4873"/>
            <w:vAlign w:val="center"/>
          </w:tcPr>
          <w:p>
            <w:r/>
            <w:r>
              <w:rPr>
                <w:rFonts w:ascii="Figtree" w:hAnsi="Figtree"/>
                <w:b w:val="0"/>
                <w:i w:val="0"/>
                <w:sz w:val="22"/>
              </w:rPr>
              <w:t>Dedicated cloud</w:t>
            </w:r>
          </w:p>
        </w:tc>
      </w:tr>
      <w:tr>
        <w:trPr>
          <w:trHeight w:val="454" w:hRule="atLeast"/>
        </w:trPr>
        <w:tc>
          <w:tcPr>
            <w:tcW w:type="dxa" w:w="4873"/>
            <w:vAlign w:val="center"/>
          </w:tcPr>
          <w:p>
            <w:r/>
            <w:r>
              <w:rPr>
                <w:rFonts w:ascii="Figtree" w:hAnsi="Figtree"/>
                <w:b w:val="0"/>
                <w:i w:val="0"/>
                <w:sz w:val="22"/>
              </w:rPr>
              <w:t>Region</w:t>
            </w:r>
          </w:p>
        </w:tc>
        <w:tc>
          <w:tcPr>
            <w:tcW w:type="dxa" w:w="4873"/>
            <w:vAlign w:val="center"/>
          </w:tcPr>
          <w:p>
            <w:r/>
            <w:r>
              <w:rPr>
                <w:rFonts w:ascii="Figtree" w:hAnsi="Figtree"/>
                <w:b w:val="0"/>
                <w:i w:val="0"/>
                <w:sz w:val="22"/>
              </w:rPr>
              <w:t>AWS Bahrain / Azure</w:t>
            </w:r>
          </w:p>
        </w:tc>
      </w:tr>
      <w:tr>
        <w:trPr>
          <w:trHeight w:val="454" w:hRule="atLeast"/>
        </w:trPr>
        <w:tc>
          <w:tcPr>
            <w:tcW w:type="dxa" w:w="4873"/>
            <w:vAlign w:val="center"/>
          </w:tcPr>
          <w:p>
            <w:r/>
            <w:r>
              <w:rPr>
                <w:rFonts w:ascii="Figtree" w:hAnsi="Figtree"/>
                <w:b w:val="0"/>
                <w:i w:val="0"/>
                <w:sz w:val="22"/>
              </w:rPr>
              <w:t>Data residency</w:t>
            </w:r>
          </w:p>
        </w:tc>
        <w:tc>
          <w:tcPr>
            <w:tcW w:type="dxa" w:w="4873"/>
            <w:vAlign w:val="center"/>
          </w:tcPr>
          <w:p>
            <w:r/>
            <w:r>
              <w:rPr>
                <w:rFonts w:ascii="Figtree" w:hAnsi="Figtree"/>
                <w:b w:val="0"/>
                <w:i w:val="0"/>
                <w:sz w:val="22"/>
              </w:rPr>
              <w:t>KSA / GCC compliant</w:t>
            </w:r>
          </w:p>
        </w:tc>
      </w:tr>
      <w:tr>
        <w:trPr>
          <w:trHeight w:val="454" w:hRule="atLeast"/>
        </w:trPr>
        <w:tc>
          <w:tcPr>
            <w:tcW w:type="dxa" w:w="4873"/>
            <w:vAlign w:val="center"/>
          </w:tcPr>
          <w:p>
            <w:r/>
            <w:r>
              <w:rPr>
                <w:rFonts w:ascii="Figtree" w:hAnsi="Figtree"/>
                <w:b w:val="0"/>
                <w:i w:val="0"/>
                <w:sz w:val="22"/>
              </w:rPr>
              <w:t>Blockchain</w:t>
            </w:r>
          </w:p>
        </w:tc>
        <w:tc>
          <w:tcPr>
            <w:tcW w:type="dxa" w:w="4873"/>
            <w:vAlign w:val="center"/>
          </w:tcPr>
          <w:p>
            <w:r/>
            <w:r>
              <w:rPr>
                <w:rFonts w:ascii="Figtree" w:hAnsi="Figtree"/>
                <w:b w:val="0"/>
                <w:i w:val="0"/>
                <w:sz w:val="22"/>
              </w:rPr>
              <w:t>4-node Besu (IBFT 2.0)</w:t>
            </w:r>
          </w:p>
        </w:tc>
      </w:tr>
      <w:tr>
        <w:trPr>
          <w:trHeight w:val="454" w:hRule="atLeast"/>
        </w:trPr>
        <w:tc>
          <w:tcPr>
            <w:tcW w:type="dxa" w:w="4873"/>
            <w:vAlign w:val="center"/>
          </w:tcPr>
          <w:p>
            <w:r/>
            <w:r>
              <w:rPr>
                <w:rFonts w:ascii="Figtree" w:hAnsi="Figtree"/>
                <w:b w:val="0"/>
                <w:i w:val="0"/>
                <w:sz w:val="22"/>
              </w:rPr>
              <w:t>Custody</w:t>
            </w:r>
          </w:p>
        </w:tc>
        <w:tc>
          <w:tcPr>
            <w:tcW w:type="dxa" w:w="4873"/>
            <w:vAlign w:val="center"/>
          </w:tcPr>
          <w:p>
            <w:r/>
            <w:r>
              <w:rPr>
                <w:rFonts w:ascii="Figtree" w:hAnsi="Figtree"/>
                <w:b w:val="0"/>
                <w:i w:val="0"/>
                <w:sz w:val="22"/>
              </w:rPr>
              <w:t>DFNS or Fireblocks</w:t>
            </w:r>
          </w:p>
        </w:tc>
      </w:tr>
    </w:tbl>
    <w:p>
      <w:r>
        <w:br w:type="page"/>
      </w:r>
    </w:p>
    <w:p>
      <w:pPr>
        <w:pStyle w:val="H2"/>
        <w:numPr>
          <w:ilvl w:val="1"/>
          <w:numId w:val="1"/>
        </w:numPr>
      </w:pPr>
      <w:r>
        <w:t>Support: Premium</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Coverage</w:t>
            </w:r>
          </w:p>
        </w:tc>
        <w:tc>
          <w:tcPr>
            <w:tcW w:type="dxa" w:w="4873"/>
            <w:vAlign w:val="center"/>
          </w:tcPr>
          <w:p>
            <w:r/>
            <w:r>
              <w:rPr>
                <w:rFonts w:ascii="Figtree" w:hAnsi="Figtree"/>
                <w:b w:val="0"/>
                <w:i w:val="0"/>
                <w:sz w:val="22"/>
              </w:rPr>
              <w:t>16×5 (Sunday–Thursday)</w:t>
            </w:r>
          </w:p>
        </w:tc>
      </w:tr>
      <w:tr>
        <w:trPr>
          <w:trHeight w:val="454" w:hRule="atLeast"/>
        </w:trPr>
        <w:tc>
          <w:tcPr>
            <w:tcW w:type="dxa" w:w="4873"/>
            <w:vAlign w:val="center"/>
          </w:tcPr>
          <w:p>
            <w:r/>
            <w:r>
              <w:rPr>
                <w:rFonts w:ascii="Figtree" w:hAnsi="Figtree"/>
                <w:b w:val="0"/>
                <w:i w:val="0"/>
                <w:sz w:val="22"/>
              </w:rPr>
              <w:t>P1 response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Uptime SLA</w:t>
            </w:r>
          </w:p>
        </w:tc>
        <w:tc>
          <w:tcPr>
            <w:tcW w:type="dxa" w:w="4873"/>
            <w:vAlign w:val="center"/>
          </w:tcPr>
          <w:p>
            <w:r/>
            <w:r>
              <w:rPr>
                <w:rFonts w:ascii="Figtree" w:hAnsi="Figtree"/>
                <w:b w:val="0"/>
                <w:i w:val="0"/>
                <w:sz w:val="22"/>
              </w:rPr>
              <w:t>99.95% monthly</w:t>
            </w:r>
          </w:p>
        </w:tc>
      </w:tr>
      <w:tr>
        <w:trPr>
          <w:trHeight w:val="454" w:hRule="atLeast"/>
        </w:trPr>
        <w:tc>
          <w:tcPr>
            <w:tcW w:type="dxa" w:w="4873"/>
            <w:vAlign w:val="center"/>
          </w:tcPr>
          <w:p>
            <w:r/>
            <w:r>
              <w:rPr>
                <w:rFonts w:ascii="Figtree" w:hAnsi="Figtree"/>
                <w:b w:val="0"/>
                <w:i w:val="0"/>
                <w:sz w:val="22"/>
              </w:rPr>
              <w:t>Dedicated engineer</w:t>
            </w:r>
          </w:p>
        </w:tc>
        <w:tc>
          <w:tcPr>
            <w:tcW w:type="dxa" w:w="4873"/>
            <w:vAlign w:val="center"/>
          </w:tcPr>
          <w:p>
            <w:r/>
            <w:r>
              <w:rPr>
                <w:rFonts w:ascii="Figtree" w:hAnsi="Figtree"/>
                <w:b w:val="0"/>
                <w:i w:val="0"/>
                <w:sz w:val="22"/>
              </w:rPr>
              <w:t>Yes</w:t>
            </w:r>
          </w:p>
        </w:tc>
      </w:tr>
    </w:tbl>
    <w:p>
      <w:r>
        <w:br w:type="page"/>
      </w:r>
    </w:p>
    <w:p>
      <w:pPr>
        <w:pStyle w:val="H2"/>
        <w:numPr>
          <w:ilvl w:val="1"/>
          <w:numId w:val="1"/>
        </w:numPr>
      </w:pPr>
      <w:r>
        <w:t>Risk Register</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ID</w:t>
            </w:r>
          </w:p>
        </w:tc>
        <w:tc>
          <w:tcPr>
            <w:tcW w:type="dxa" w:w="3249"/>
            <w:vAlign w:val="center"/>
            <w:shd w:fill="000099" w:val="clear"/>
          </w:tcPr>
          <w:p>
            <w:r>
              <w:rPr>
                <w:b/>
                <w:color w:val="FFFFFF"/>
              </w:rPr>
            </w:r>
            <w:r>
              <w:rPr>
                <w:rFonts w:ascii="Figtree" w:hAnsi="Figtree"/>
                <w:b/>
                <w:i w:val="0"/>
                <w:color w:val="FFFFFF"/>
                <w:sz w:val="22"/>
              </w:rPr>
              <w:t>Risk</w:t>
            </w:r>
          </w:p>
        </w:tc>
        <w:tc>
          <w:tcPr>
            <w:tcW w:type="dxa" w:w="3249"/>
            <w:vAlign w:val="center"/>
            <w:shd w:fill="000099" w:val="clear"/>
          </w:tcPr>
          <w:p>
            <w:r>
              <w:rPr>
                <w:b/>
                <w:color w:val="FFFFFF"/>
              </w:rPr>
            </w:r>
            <w:r>
              <w:rPr>
                <w:rFonts w:ascii="Figtree" w:hAnsi="Figtree"/>
                <w:b/>
                <w:i w:val="0"/>
                <w:color w:val="FFFFFF"/>
                <w:sz w:val="22"/>
              </w:rPr>
              <w:t>Mitigation</w:t>
            </w:r>
          </w:p>
        </w:tc>
      </w:tr>
      <w:tr>
        <w:trPr>
          <w:trHeight w:val="454" w:hRule="atLeast"/>
        </w:trPr>
        <w:tc>
          <w:tcPr>
            <w:tcW w:type="dxa" w:w="3249"/>
            <w:vAlign w:val="center"/>
          </w:tcPr>
          <w:p>
            <w:r/>
            <w:r>
              <w:rPr>
                <w:rFonts w:ascii="Figtree" w:hAnsi="Figtree"/>
                <w:b w:val="0"/>
                <w:i w:val="0"/>
                <w:sz w:val="22"/>
              </w:rPr>
              <w:t>R1</w:t>
            </w:r>
          </w:p>
        </w:tc>
        <w:tc>
          <w:tcPr>
            <w:tcW w:type="dxa" w:w="3249"/>
            <w:vAlign w:val="center"/>
          </w:tcPr>
          <w:p>
            <w:r/>
            <w:r>
              <w:rPr>
                <w:rFonts w:ascii="Figtree" w:hAnsi="Figtree"/>
                <w:b w:val="0"/>
                <w:i w:val="0"/>
                <w:sz w:val="22"/>
              </w:rPr>
              <w:t>SAMA/CMA regulatory changes</w:t>
            </w:r>
          </w:p>
        </w:tc>
        <w:tc>
          <w:tcPr>
            <w:tcW w:type="dxa" w:w="3249"/>
            <w:vAlign w:val="center"/>
          </w:tcPr>
          <w:p>
            <w:r/>
            <w:r>
              <w:rPr>
                <w:rFonts w:ascii="Figtree" w:hAnsi="Figtree"/>
                <w:b w:val="0"/>
                <w:i w:val="0"/>
                <w:sz w:val="22"/>
              </w:rPr>
              <w:t>Configurable compliance modules</w:t>
            </w:r>
          </w:p>
        </w:tc>
      </w:tr>
      <w:tr>
        <w:trPr>
          <w:trHeight w:val="454" w:hRule="atLeast"/>
        </w:trPr>
        <w:tc>
          <w:tcPr>
            <w:tcW w:type="dxa" w:w="3249"/>
            <w:vAlign w:val="center"/>
          </w:tcPr>
          <w:p>
            <w:r/>
            <w:r>
              <w:rPr>
                <w:rFonts w:ascii="Figtree" w:hAnsi="Figtree"/>
                <w:b w:val="0"/>
                <w:i w:val="0"/>
                <w:sz w:val="22"/>
              </w:rPr>
              <w:t>R2</w:t>
            </w:r>
          </w:p>
        </w:tc>
        <w:tc>
          <w:tcPr>
            <w:tcW w:type="dxa" w:w="3249"/>
            <w:vAlign w:val="center"/>
          </w:tcPr>
          <w:p>
            <w:r/>
            <w:r>
              <w:rPr>
                <w:rFonts w:ascii="Figtree" w:hAnsi="Figtree"/>
                <w:b w:val="0"/>
                <w:i w:val="0"/>
                <w:sz w:val="22"/>
              </w:rPr>
              <w:t>Tadawul integration complexity</w:t>
            </w:r>
          </w:p>
        </w:tc>
        <w:tc>
          <w:tcPr>
            <w:tcW w:type="dxa" w:w="3249"/>
            <w:vAlign w:val="center"/>
          </w:tcPr>
          <w:p>
            <w:r/>
            <w:r>
              <w:rPr>
                <w:rFonts w:ascii="Figtree" w:hAnsi="Figtree"/>
                <w:b w:val="0"/>
                <w:i w:val="0"/>
                <w:sz w:val="22"/>
              </w:rPr>
              <w:t>Phase 1 deep discovery</w:t>
            </w:r>
          </w:p>
        </w:tc>
      </w:tr>
      <w:tr>
        <w:trPr>
          <w:trHeight w:val="454" w:hRule="atLeast"/>
        </w:trPr>
        <w:tc>
          <w:tcPr>
            <w:tcW w:type="dxa" w:w="3249"/>
            <w:vAlign w:val="center"/>
          </w:tcPr>
          <w:p>
            <w:r/>
            <w:r>
              <w:rPr>
                <w:rFonts w:ascii="Figtree" w:hAnsi="Figtree"/>
                <w:b w:val="0"/>
                <w:i w:val="0"/>
                <w:sz w:val="22"/>
              </w:rPr>
              <w:t>R3</w:t>
            </w:r>
          </w:p>
        </w:tc>
        <w:tc>
          <w:tcPr>
            <w:tcW w:type="dxa" w:w="3249"/>
            <w:vAlign w:val="center"/>
          </w:tcPr>
          <w:p>
            <w:r/>
            <w:r>
              <w:rPr>
                <w:rFonts w:ascii="Figtree" w:hAnsi="Figtree"/>
                <w:b w:val="0"/>
                <w:i w:val="0"/>
                <w:sz w:val="22"/>
              </w:rPr>
              <w:t>Treasury system API delays</w:t>
            </w:r>
          </w:p>
        </w:tc>
        <w:tc>
          <w:tcPr>
            <w:tcW w:type="dxa" w:w="3249"/>
            <w:vAlign w:val="center"/>
          </w:tcPr>
          <w:p>
            <w:r/>
            <w:r>
              <w:rPr>
                <w:rFonts w:ascii="Figtree" w:hAnsi="Figtree"/>
                <w:b w:val="0"/>
                <w:i w:val="0"/>
                <w:sz w:val="22"/>
              </w:rPr>
              <w:t>Early engagement, mock APIs</w:t>
            </w:r>
          </w:p>
        </w:tc>
      </w:tr>
      <w:tr>
        <w:trPr>
          <w:trHeight w:val="454" w:hRule="atLeast"/>
        </w:trPr>
        <w:tc>
          <w:tcPr>
            <w:tcW w:type="dxa" w:w="3249"/>
            <w:vAlign w:val="center"/>
          </w:tcPr>
          <w:p>
            <w:r/>
            <w:r>
              <w:rPr>
                <w:rFonts w:ascii="Figtree" w:hAnsi="Figtree"/>
                <w:b w:val="0"/>
                <w:i w:val="0"/>
                <w:sz w:val="22"/>
              </w:rPr>
              <w:t>R4</w:t>
            </w:r>
          </w:p>
        </w:tc>
        <w:tc>
          <w:tcPr>
            <w:tcW w:type="dxa" w:w="3249"/>
            <w:vAlign w:val="center"/>
          </w:tcPr>
          <w:p>
            <w:r/>
            <w:r>
              <w:rPr>
                <w:rFonts w:ascii="Figtree" w:hAnsi="Figtree"/>
                <w:b w:val="0"/>
                <w:i w:val="0"/>
                <w:sz w:val="22"/>
              </w:rPr>
              <w:t>Security review timeline</w:t>
            </w:r>
          </w:p>
        </w:tc>
        <w:tc>
          <w:tcPr>
            <w:tcW w:type="dxa" w:w="3249"/>
            <w:vAlign w:val="center"/>
          </w:tcPr>
          <w:p>
            <w:r/>
            <w:r>
              <w:rPr>
                <w:rFonts w:ascii="Figtree" w:hAnsi="Figtree"/>
                <w:b w:val="0"/>
                <w:i w:val="0"/>
                <w:sz w:val="22"/>
              </w:rPr>
              <w:t>Pre-share certifications</w:t>
            </w:r>
          </w:p>
        </w:tc>
      </w:tr>
      <w:tr>
        <w:trPr>
          <w:trHeight w:val="454" w:hRule="atLeast"/>
        </w:trPr>
        <w:tc>
          <w:tcPr>
            <w:tcW w:type="dxa" w:w="3249"/>
            <w:vAlign w:val="center"/>
          </w:tcPr>
          <w:p>
            <w:r/>
            <w:r>
              <w:rPr>
                <w:rFonts w:ascii="Figtree" w:hAnsi="Figtree"/>
                <w:b w:val="0"/>
                <w:i w:val="0"/>
                <w:sz w:val="22"/>
              </w:rPr>
              <w:t>R5</w:t>
            </w:r>
          </w:p>
        </w:tc>
        <w:tc>
          <w:tcPr>
            <w:tcW w:type="dxa" w:w="3249"/>
            <w:vAlign w:val="center"/>
          </w:tcPr>
          <w:p>
            <w:r/>
            <w:r>
              <w:rPr>
                <w:rFonts w:ascii="Figtree" w:hAnsi="Figtree"/>
                <w:b w:val="0"/>
                <w:i w:val="0"/>
                <w:sz w:val="22"/>
              </w:rPr>
              <w:t>Custody provider onboarding</w:t>
            </w:r>
          </w:p>
        </w:tc>
        <w:tc>
          <w:tcPr>
            <w:tcW w:type="dxa" w:w="3249"/>
            <w:vAlign w:val="center"/>
          </w:tcPr>
          <w:p>
            <w:r/>
            <w:r>
              <w:rPr>
                <w:rFonts w:ascii="Figtree" w:hAnsi="Figtree"/>
                <w:b w:val="0"/>
                <w:i w:val="0"/>
                <w:sz w:val="22"/>
              </w:rPr>
              <w:t>Platform signer fallback</w:t>
            </w:r>
          </w:p>
        </w:tc>
      </w:tr>
    </w:tbl>
    <w:p>
      <w:r>
        <w:br w:type="page"/>
      </w:r>
    </w:p>
    <w:p>
      <w:pPr>
        <w:pStyle w:val="H2"/>
        <w:numPr>
          <w:ilvl w:val="1"/>
          <w:numId w:val="1"/>
        </w:numPr>
      </w:pPr>
      <w:r>
        <w:t>Gaps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Gap</w:t>
            </w:r>
          </w:p>
        </w:tc>
        <w:tc>
          <w:tcPr>
            <w:tcW w:type="dxa" w:w="2436"/>
            <w:vAlign w:val="center"/>
            <w:shd w:fill="000099" w:val="clear"/>
          </w:tcPr>
          <w:p>
            <w:r>
              <w:rPr>
                <w:b/>
                <w:color w:val="FFFFFF"/>
              </w:rPr>
            </w:r>
            <w:r>
              <w:rPr>
                <w:rFonts w:ascii="Figtree" w:hAnsi="Figtree"/>
                <w:b/>
                <w:i w:val="0"/>
                <w:color w:val="FFFFFF"/>
                <w:sz w:val="22"/>
              </w:rPr>
              <w:t>State</w:t>
            </w:r>
          </w:p>
        </w:tc>
        <w:tc>
          <w:tcPr>
            <w:tcW w:type="dxa" w:w="2436"/>
            <w:vAlign w:val="center"/>
            <w:shd w:fill="000099" w:val="clear"/>
          </w:tcPr>
          <w:p>
            <w:r>
              <w:rPr>
                <w:b/>
                <w:color w:val="FFFFFF"/>
              </w:rPr>
            </w:r>
            <w:r>
              <w:rPr>
                <w:rFonts w:ascii="Figtree" w:hAnsi="Figtree"/>
                <w:b/>
                <w:i w:val="0"/>
                <w:color w:val="FFFFFF"/>
                <w:sz w:val="22"/>
              </w:rPr>
              <w:t>Mitigation</w:t>
            </w:r>
          </w:p>
        </w:tc>
        <w:tc>
          <w:tcPr>
            <w:tcW w:type="dxa" w:w="2436"/>
            <w:vAlign w:val="center"/>
            <w:shd w:fill="000099" w:val="clear"/>
          </w:tcPr>
          <w:p>
            <w:r>
              <w:rPr>
                <w:b/>
                <w:color w:val="FFFFFF"/>
              </w:rPr>
            </w:r>
            <w:r>
              <w:rPr>
                <w:rFonts w:ascii="Figtree" w:hAnsi="Figtree"/>
                <w:b/>
                <w:i w:val="0"/>
                <w:color w:val="FFFFFF"/>
                <w:sz w:val="22"/>
              </w:rPr>
              <w:t>Timeline</w:t>
            </w:r>
          </w:p>
        </w:tc>
      </w:tr>
      <w:tr>
        <w:trPr>
          <w:trHeight w:val="454" w:hRule="atLeast"/>
        </w:trPr>
        <w:tc>
          <w:tcPr>
            <w:tcW w:type="dxa" w:w="2436"/>
            <w:vAlign w:val="center"/>
          </w:tcPr>
          <w:p>
            <w:r/>
            <w:r>
              <w:rPr>
                <w:rFonts w:ascii="Figtree" w:hAnsi="Figtree"/>
                <w:b w:val="0"/>
                <w:i w:val="0"/>
                <w:sz w:val="22"/>
              </w:rPr>
              <w:t>SWIFT ISO 20022</w:t>
            </w:r>
          </w:p>
        </w:tc>
        <w:tc>
          <w:tcPr>
            <w:tcW w:type="dxa" w:w="2436"/>
            <w:vAlign w:val="center"/>
          </w:tcPr>
          <w:p>
            <w:r/>
            <w:r>
              <w:rPr>
                <w:rFonts w:ascii="Figtree" w:hAnsi="Figtree"/>
                <w:b w:val="0"/>
                <w:i w:val="0"/>
                <w:sz w:val="22"/>
              </w:rPr>
              <w:t>Middleware available</w:t>
            </w:r>
          </w:p>
        </w:tc>
        <w:tc>
          <w:tcPr>
            <w:tcW w:type="dxa" w:w="2436"/>
            <w:vAlign w:val="center"/>
          </w:tcPr>
          <w:p>
            <w:r/>
            <w:r>
              <w:rPr>
                <w:rFonts w:ascii="Figtree" w:hAnsi="Figtree"/>
                <w:b w:val="0"/>
                <w:i w:val="0"/>
                <w:sz w:val="22"/>
              </w:rPr>
              <w:t>Two clients deployed</w:t>
            </w:r>
          </w:p>
        </w:tc>
        <w:tc>
          <w:tcPr>
            <w:tcW w:type="dxa" w:w="2436"/>
            <w:vAlign w:val="center"/>
          </w:tcPr>
          <w:p>
            <w:r/>
            <w:r>
              <w:rPr>
                <w:rFonts w:ascii="Figtree" w:hAnsi="Figtree"/>
                <w:b w:val="0"/>
                <w:i w:val="0"/>
                <w:sz w:val="22"/>
              </w:rPr>
              <w:t>Native Q3 2026</w:t>
            </w:r>
          </w:p>
        </w:tc>
      </w:tr>
      <w:tr>
        <w:trPr>
          <w:trHeight w:val="454" w:hRule="atLeast"/>
        </w:trPr>
        <w:tc>
          <w:tcPr>
            <w:tcW w:type="dxa" w:w="2436"/>
            <w:vAlign w:val="center"/>
          </w:tcPr>
          <w:p>
            <w:r/>
            <w:r>
              <w:rPr>
                <w:rFonts w:ascii="Figtree" w:hAnsi="Figtree"/>
                <w:b w:val="0"/>
                <w:i w:val="0"/>
                <w:sz w:val="22"/>
              </w:rPr>
              <w:t>Tadawul-specific integration</w:t>
            </w:r>
          </w:p>
        </w:tc>
        <w:tc>
          <w:tcPr>
            <w:tcW w:type="dxa" w:w="2436"/>
            <w:vAlign w:val="center"/>
          </w:tcPr>
          <w:p>
            <w:r/>
            <w:r>
              <w:rPr>
                <w:rFonts w:ascii="Figtree" w:hAnsi="Figtree"/>
                <w:b w:val="0"/>
                <w:i w:val="0"/>
                <w:sz w:val="22"/>
              </w:rPr>
              <w:t>API available</w:t>
            </w:r>
          </w:p>
        </w:tc>
        <w:tc>
          <w:tcPr>
            <w:tcW w:type="dxa" w:w="2436"/>
            <w:vAlign w:val="center"/>
          </w:tcPr>
          <w:p>
            <w:r/>
            <w:r>
              <w:rPr>
                <w:rFonts w:ascii="Figtree" w:hAnsi="Figtree"/>
                <w:b w:val="0"/>
                <w:i w:val="0"/>
                <w:sz w:val="22"/>
              </w:rPr>
              <w:t>Phase 4 integration</w:t>
            </w:r>
          </w:p>
        </w:tc>
        <w:tc>
          <w:tcPr>
            <w:tcW w:type="dxa" w:w="2436"/>
            <w:vAlign w:val="center"/>
          </w:tcPr>
          <w:p>
            <w:r/>
            <w:r>
              <w:rPr>
                <w:rFonts w:ascii="Figtree" w:hAnsi="Figtree"/>
                <w:b w:val="0"/>
                <w:i w:val="0"/>
                <w:sz w:val="22"/>
              </w:rPr>
              <w:t>Implementation</w:t>
            </w:r>
          </w:p>
        </w:tc>
      </w:tr>
      <w:tr>
        <w:trPr>
          <w:trHeight w:val="454" w:hRule="atLeast"/>
        </w:trPr>
        <w:tc>
          <w:tcPr>
            <w:tcW w:type="dxa" w:w="2436"/>
            <w:vAlign w:val="center"/>
          </w:tcPr>
          <w:p>
            <w:r/>
            <w:r>
              <w:rPr>
                <w:rFonts w:ascii="Figtree" w:hAnsi="Figtree"/>
                <w:b w:val="0"/>
                <w:i w:val="0"/>
                <w:sz w:val="22"/>
              </w:rPr>
              <w:t>CMA reporting templates</w:t>
            </w:r>
          </w:p>
        </w:tc>
        <w:tc>
          <w:tcPr>
            <w:tcW w:type="dxa" w:w="2436"/>
            <w:vAlign w:val="center"/>
          </w:tcPr>
          <w:p>
            <w:r/>
            <w:r>
              <w:rPr>
                <w:rFonts w:ascii="Figtree" w:hAnsi="Figtree"/>
                <w:b w:val="0"/>
                <w:i w:val="0"/>
                <w:sz w:val="22"/>
              </w:rPr>
              <w:t>Configurable engine</w:t>
            </w:r>
          </w:p>
        </w:tc>
        <w:tc>
          <w:tcPr>
            <w:tcW w:type="dxa" w:w="2436"/>
            <w:vAlign w:val="center"/>
          </w:tcPr>
          <w:p>
            <w:r/>
            <w:r>
              <w:rPr>
                <w:rFonts w:ascii="Figtree" w:hAnsi="Figtree"/>
                <w:b w:val="0"/>
                <w:i w:val="0"/>
                <w:sz w:val="22"/>
              </w:rPr>
              <w:t>Created Phase 3</w:t>
            </w:r>
          </w:p>
        </w:tc>
        <w:tc>
          <w:tcPr>
            <w:tcW w:type="dxa" w:w="2436"/>
            <w:vAlign w:val="center"/>
          </w:tcPr>
          <w:p>
            <w:r/>
            <w:r>
              <w:rPr>
                <w:rFonts w:ascii="Figtree" w:hAnsi="Figtree"/>
                <w:b w:val="0"/>
                <w:i w:val="0"/>
                <w:sz w:val="22"/>
              </w:rPr>
              <w:t>Implementation</w:t>
            </w:r>
          </w:p>
        </w:tc>
      </w:tr>
    </w:tbl>
    <w:p>
      <w:r>
        <w:br w:type="page"/>
      </w:r>
    </w:p>
    <w:p>
      <w:pPr>
        <w:pStyle w:val="H2"/>
        <w:numPr>
          <w:ilvl w:val="1"/>
          <w:numId w:val="1"/>
        </w:numPr>
      </w:pPr>
      <w:r>
        <w:t>Appendices</w:t>
      </w:r>
    </w:p>
    <w:p>
      <w:pPr>
        <w:pStyle w:val="H3"/>
        <w:numPr>
          <w:ilvl w:val="2"/>
          <w:numId w:val="1"/>
        </w:numPr>
      </w:pPr>
      <w:r>
        <w:t>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w:t>
            </w:r>
          </w:p>
        </w:tc>
      </w:tr>
      <w:tr>
        <w:trPr>
          <w:trHeight w:val="454" w:hRule="atLeast"/>
        </w:trPr>
        <w:tc>
          <w:tcPr>
            <w:tcW w:type="dxa" w:w="4873"/>
            <w:vAlign w:val="center"/>
          </w:tcPr>
          <w:p>
            <w:r/>
            <w:r>
              <w:rPr>
                <w:rFonts w:ascii="Figtree" w:hAnsi="Figtree"/>
                <w:b w:val="0"/>
                <w:i w:val="0"/>
                <w:sz w:val="22"/>
              </w:rPr>
              <w:t>SMART Protocol</w:t>
            </w:r>
          </w:p>
        </w:tc>
        <w:tc>
          <w:tcPr>
            <w:tcW w:type="dxa" w:w="4873"/>
            <w:vAlign w:val="center"/>
          </w:tcPr>
          <w:p>
            <w:r/>
            <w:r>
              <w:rPr>
                <w:rFonts w:ascii="Figtree" w:hAnsi="Figtree"/>
                <w:b w:val="0"/>
                <w:i w:val="0"/>
                <w:sz w:val="22"/>
              </w:rPr>
              <w:t>ERC-3643 implementation</w:t>
            </w:r>
          </w:p>
        </w:tc>
      </w:tr>
      <w:tr>
        <w:trPr>
          <w:trHeight w:val="454" w:hRule="atLeast"/>
        </w:trPr>
        <w:tc>
          <w:tcPr>
            <w:tcW w:type="dxa" w:w="4873"/>
            <w:vAlign w:val="center"/>
          </w:tcPr>
          <w:p>
            <w:r/>
            <w:r>
              <w:rPr>
                <w:rFonts w:ascii="Figtree" w:hAnsi="Figtree"/>
                <w:b w:val="0"/>
                <w:i w:val="0"/>
                <w:sz w:val="22"/>
              </w:rPr>
              <w:t>DALPAsset</w:t>
            </w:r>
          </w:p>
        </w:tc>
        <w:tc>
          <w:tcPr>
            <w:tcW w:type="dxa" w:w="4873"/>
            <w:vAlign w:val="center"/>
          </w:tcPr>
          <w:p>
            <w:r/>
            <w:r>
              <w:rPr>
                <w:rFonts w:ascii="Figtree" w:hAnsi="Figtree"/>
                <w:b w:val="0"/>
                <w:i w:val="0"/>
                <w:sz w:val="22"/>
              </w:rPr>
              <w:t>Configurable token contract</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(ERC-734/735)</w:t>
            </w:r>
          </w:p>
        </w:tc>
      </w:tr>
      <w:tr>
        <w:trPr>
          <w:trHeight w:val="454" w:hRule="atLeast"/>
        </w:trPr>
        <w:tc>
          <w:tcPr>
            <w:tcW w:type="dxa" w:w="4873"/>
            <w:vAlign w:val="center"/>
          </w:tcPr>
          <w:p>
            <w:r/>
            <w:r>
              <w:rPr>
                <w:rFonts w:ascii="Figtree" w:hAnsi="Figtree"/>
                <w:b w:val="0"/>
                <w:i w:val="0"/>
                <w:sz w:val="22"/>
              </w:rPr>
              <w:t>XvP</w:t>
            </w:r>
          </w:p>
        </w:tc>
        <w:tc>
          <w:tcPr>
            <w:tcW w:type="dxa" w:w="4873"/>
            <w:vAlign w:val="center"/>
          </w:tcPr>
          <w:p>
            <w:r/>
            <w:r>
              <w:rPr>
                <w:rFonts w:ascii="Figtree" w:hAnsi="Figtree"/>
                <w:b w:val="0"/>
                <w:i w:val="0"/>
                <w:sz w:val="22"/>
              </w:rPr>
              <w:t>Atomic settlement addon</w:t>
            </w:r>
          </w:p>
        </w:tc>
      </w:tr>
      <w:tr>
        <w:trPr>
          <w:trHeight w:val="454" w:hRule="atLeast"/>
        </w:trPr>
        <w:tc>
          <w:tcPr>
            <w:tcW w:type="dxa" w:w="4873"/>
            <w:vAlign w:val="center"/>
          </w:tcPr>
          <w:p>
            <w:r/>
            <w:r>
              <w:rPr>
                <w:rFonts w:ascii="Figtree" w:hAnsi="Figtree"/>
                <w:b w:val="0"/>
                <w:i w:val="0"/>
                <w:sz w:val="22"/>
              </w:rPr>
              <w:t>IBFT</w:t>
            </w:r>
          </w:p>
        </w:tc>
        <w:tc>
          <w:tcPr>
            <w:tcW w:type="dxa" w:w="4873"/>
            <w:vAlign w:val="center"/>
          </w:tcPr>
          <w:p>
            <w:r/>
            <w:r>
              <w:rPr>
                <w:rFonts w:ascii="Figtree" w:hAnsi="Figtree"/>
                <w:b w:val="0"/>
                <w:i w:val="0"/>
                <w:sz w:val="22"/>
              </w:rPr>
              <w:t>Istanbul BFT consensus</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