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Stock Exchange of Thailand — Tokenized Securities Programme</w:t>
          </w:r>
          <w:r>
            <w:tab/>
          </w:r>
          <w:r>
            <w:t xml:space="preserve">3</w:t>
          </w:r>
        </w:p>
        <w:p>
          <w:pPr>
            <w:pStyle w:val="TOC1"/>
            <w:tabs>
              <w:tab w:val="right" w:leader="dot" w:pos="9072"/>
            </w:tabs>
          </w:pPr>
          <w:r>
            <w:t xml:space="preserve">1. Executive Summary</w:t>
          </w:r>
          <w:r>
            <w:tab/>
          </w:r>
          <w:r>
            <w:t xml:space="preserve">4</w:t>
          </w:r>
        </w:p>
        <w:p>
          <w:pPr>
            <w:pStyle w:val="TOC2"/>
            <w:tabs>
              <w:tab w:val="right" w:leader="dot" w:pos="9072"/>
            </w:tabs>
          </w:pPr>
          <w:r>
            <w:t xml:space="preserve">1.1 Client Need and Proposed Response</w:t>
          </w:r>
          <w:r>
            <w:tab/>
          </w:r>
          <w:r>
            <w:t xml:space="preserve">5</w:t>
          </w:r>
        </w:p>
        <w:p>
          <w:pPr>
            <w:pStyle w:val="TOC2"/>
            <w:tabs>
              <w:tab w:val="right" w:leader="dot" w:pos="9072"/>
            </w:tabs>
          </w:pPr>
          <w:r>
            <w:t xml:space="preserve">1.2 Why SettleMint / DALP</w:t>
          </w:r>
          <w:r>
            <w:tab/>
          </w:r>
          <w:r>
            <w:t xml:space="preserve">6</w:t>
          </w:r>
        </w:p>
        <w:p>
          <w:pPr>
            <w:pStyle w:val="TOC2"/>
            <w:tabs>
              <w:tab w:val="right" w:leader="dot" w:pos="9072"/>
            </w:tabs>
          </w:pPr>
          <w:r>
            <w:t xml:space="preserve">1.3 Executive Summary Visual</w:t>
          </w:r>
          <w:r>
            <w:tab/>
          </w:r>
          <w:r>
            <w:t xml:space="preserve">7</w:t>
          </w:r>
        </w:p>
        <w:p>
          <w:pPr>
            <w:pStyle w:val="TOC1"/>
            <w:tabs>
              <w:tab w:val="right" w:leader="dot" w:pos="9072"/>
            </w:tabs>
          </w:pPr>
          <w:r>
            <w:t xml:space="preserve">2. About SettleMint</w:t>
          </w:r>
          <w:r>
            <w:tab/>
          </w:r>
          <w:r>
            <w:t xml:space="preserve">8</w:t>
          </w:r>
        </w:p>
        <w:p>
          <w:pPr>
            <w:pStyle w:val="TOC2"/>
            <w:tabs>
              <w:tab w:val="right" w:leader="dot" w:pos="9072"/>
            </w:tabs>
          </w:pPr>
          <w:r>
            <w:t xml:space="preserve">Production Credentials</w:t>
          </w:r>
          <w:r>
            <w:tab/>
          </w:r>
          <w:r>
            <w:t xml:space="preserve">9</w:t>
          </w:r>
        </w:p>
        <w:p>
          <w:pPr>
            <w:pStyle w:val="TOC2"/>
            <w:tabs>
              <w:tab w:val="right" w:leader="dot" w:pos="9072"/>
            </w:tabs>
          </w:pPr>
          <w:r>
            <w:t xml:space="preserve">Regulatory Readiness</w:t>
          </w:r>
          <w:r>
            <w:tab/>
          </w:r>
          <w:r>
            <w:t xml:space="preserve">10</w:t>
          </w:r>
        </w:p>
        <w:p>
          <w:pPr>
            <w:pStyle w:val="TOC1"/>
            <w:tabs>
              <w:tab w:val="right" w:leader="dot" w:pos="9072"/>
            </w:tabs>
          </w:pPr>
          <w:r>
            <w:t xml:space="preserve">3. About DALP — Digital Asset Lifecycle Platform</w:t>
          </w:r>
          <w:r>
            <w:tab/>
          </w:r>
          <w:r>
            <w:t xml:space="preserve">11</w:t>
          </w:r>
        </w:p>
        <w:p>
          <w:pPr>
            <w:pStyle w:val="TOC2"/>
            <w:tabs>
              <w:tab w:val="right" w:leader="dot" w:pos="9072"/>
            </w:tabs>
          </w:pPr>
          <w:r>
            <w:t xml:space="preserve">Core Lifecycle Capabilities</w:t>
          </w:r>
          <w:r>
            <w:tab/>
          </w:r>
          <w:r>
            <w:t xml:space="preserve">12</w:t>
          </w:r>
        </w:p>
        <w:p>
          <w:pPr>
            <w:pStyle w:val="TOC3"/>
            <w:tabs>
              <w:tab w:val="right" w:leader="dot" w:pos="9072"/>
            </w:tabs>
          </w:pPr>
          <w:r>
            <w:t xml:space="preserve">Issuance</w:t>
          </w:r>
          <w:r>
            <w:tab/>
          </w:r>
          <w:r>
            <w:t xml:space="preserve">13</w:t>
          </w:r>
        </w:p>
        <w:p>
          <w:pPr>
            <w:pStyle w:val="TOC3"/>
            <w:tabs>
              <w:tab w:val="right" w:leader="dot" w:pos="9072"/>
            </w:tabs>
          </w:pPr>
          <w:r>
            <w:t xml:space="preserve">Compliance</w:t>
          </w:r>
          <w:r>
            <w:tab/>
          </w:r>
          <w:r>
            <w:t xml:space="preserve">14</w:t>
          </w:r>
        </w:p>
        <w:p>
          <w:pPr>
            <w:pStyle w:val="TOC3"/>
            <w:tabs>
              <w:tab w:val="right" w:leader="dot" w:pos="9072"/>
            </w:tabs>
          </w:pPr>
          <w:r>
            <w:t xml:space="preserve">Custody</w:t>
          </w:r>
          <w:r>
            <w:tab/>
          </w:r>
          <w:r>
            <w:t xml:space="preserve">15</w:t>
          </w:r>
        </w:p>
        <w:p>
          <w:pPr>
            <w:pStyle w:val="TOC3"/>
            <w:tabs>
              <w:tab w:val="right" w:leader="dot" w:pos="9072"/>
            </w:tabs>
          </w:pPr>
          <w:r>
            <w:t xml:space="preserve">Settlement</w:t>
          </w:r>
          <w:r>
            <w:tab/>
          </w:r>
          <w:r>
            <w:t xml:space="preserve">16</w:t>
          </w:r>
        </w:p>
        <w:p>
          <w:pPr>
            <w:pStyle w:val="TOC3"/>
            <w:tabs>
              <w:tab w:val="right" w:leader="dot" w:pos="9072"/>
            </w:tabs>
          </w:pPr>
          <w:r>
            <w:t xml:space="preserve">Servicing</w:t>
          </w:r>
          <w:r>
            <w:tab/>
          </w:r>
          <w:r>
            <w:t xml:space="preserve">17</w:t>
          </w:r>
        </w:p>
        <w:p>
          <w:pPr>
            <w:pStyle w:val="TOC2"/>
            <w:tabs>
              <w:tab w:val="right" w:leader="dot" w:pos="9072"/>
            </w:tabs>
          </w:pPr>
          <w:r>
            <w:t xml:space="preserve">Platform Foundations</w:t>
          </w:r>
          <w:r>
            <w:tab/>
          </w:r>
          <w:r>
            <w:t xml:space="preserve">18</w:t>
          </w:r>
        </w:p>
        <w:p>
          <w:pPr>
            <w:pStyle w:val="TOC1"/>
            <w:tabs>
              <w:tab w:val="right" w:leader="dot" w:pos="9072"/>
            </w:tabs>
          </w:pPr>
          <w:r>
            <w:t xml:space="preserve">4. Customer References</w:t>
          </w:r>
          <w:r>
            <w:tab/>
          </w:r>
          <w:r>
            <w:t xml:space="preserve">19</w:t>
          </w:r>
        </w:p>
        <w:p>
          <w:pPr>
            <w:pStyle w:val="TOC2"/>
            <w:tabs>
              <w:tab w:val="right" w:leader="dot" w:pos="9072"/>
            </w:tabs>
          </w:pPr>
          <w:r>
            <w:t xml:space="preserve">Summary Table</w:t>
          </w:r>
          <w:r>
            <w:tab/>
          </w:r>
          <w:r>
            <w:t xml:space="preserve">20</w:t>
          </w:r>
        </w:p>
        <w:p>
          <w:pPr>
            <w:pStyle w:val="TOC2"/>
            <w:tabs>
              <w:tab w:val="right" w:leader="dot" w:pos="9072"/>
            </w:tabs>
          </w:pPr>
          <w:r>
            <w:t xml:space="preserve">Relevance to SET</w:t>
          </w:r>
          <w:r>
            <w:tab/>
          </w:r>
          <w:r>
            <w:t xml:space="preserve">21</w:t>
          </w:r>
        </w:p>
        <w:p>
          <w:pPr>
            <w:pStyle w:val="TOC1"/>
            <w:tabs>
              <w:tab w:val="right" w:leader="dot" w:pos="9072"/>
            </w:tabs>
          </w:pPr>
          <w:r>
            <w:t xml:space="preserve">5. Solution Overview</w:t>
          </w:r>
          <w:r>
            <w:tab/>
          </w:r>
          <w:r>
            <w:t xml:space="preserve">22</w:t>
          </w:r>
        </w:p>
        <w:p>
          <w:pPr>
            <w:pStyle w:val="TOC2"/>
            <w:tabs>
              <w:tab w:val="right" w:leader="dot" w:pos="9072"/>
            </w:tabs>
          </w:pPr>
          <w:r>
            <w:t xml:space="preserve">Requirement Themes</w:t>
          </w:r>
          <w:r>
            <w:tab/>
          </w:r>
          <w:r>
            <w:t xml:space="preserve">23</w:t>
          </w:r>
        </w:p>
        <w:p>
          <w:pPr>
            <w:pStyle w:val="TOC2"/>
            <w:tabs>
              <w:tab w:val="right" w:leader="dot" w:pos="9072"/>
            </w:tabs>
          </w:pPr>
          <w:r>
            <w:t xml:space="preserve">Proposed Operating Model</w:t>
          </w:r>
          <w:r>
            <w:tab/>
          </w:r>
          <w:r>
            <w:t xml:space="preserve">24</w:t>
          </w:r>
        </w:p>
        <w:p>
          <w:pPr>
            <w:pStyle w:val="TOC3"/>
            <w:tabs>
              <w:tab w:val="right" w:leader="dot" w:pos="9072"/>
            </w:tabs>
          </w:pPr>
          <w:r>
            <w:t xml:space="preserve">Actors</w:t>
          </w:r>
          <w:r>
            <w:tab/>
          </w:r>
          <w:r>
            <w:t xml:space="preserve">25</w:t>
          </w:r>
        </w:p>
        <w:p>
          <w:pPr>
            <w:pStyle w:val="TOC3"/>
            <w:tabs>
              <w:tab w:val="right" w:leader="dot" w:pos="9072"/>
            </w:tabs>
          </w:pPr>
          <w:r>
            <w:t xml:space="preserve">Scope Boundary</w:t>
          </w:r>
          <w:r>
            <w:tab/>
          </w:r>
          <w:r>
            <w:t xml:space="preserve">26</w:t>
          </w:r>
        </w:p>
        <w:p>
          <w:pPr>
            <w:pStyle w:val="TOC3"/>
            <w:tabs>
              <w:tab w:val="right" w:leader="dot" w:pos="9072"/>
            </w:tabs>
          </w:pPr>
          <w:r>
            <w:t xml:space="preserve">Key Systems in Scope</w:t>
          </w:r>
          <w:r>
            <w:tab/>
          </w:r>
          <w:r>
            <w:t xml:space="preserve">27</w:t>
          </w:r>
        </w:p>
        <w:p>
          <w:pPr>
            <w:pStyle w:val="TOC3"/>
            <w:tabs>
              <w:tab w:val="right" w:leader="dot" w:pos="9072"/>
            </w:tabs>
          </w:pPr>
          <w:r>
            <w:t xml:space="preserve">Deployment Assumption</w:t>
          </w:r>
          <w:r>
            <w:tab/>
          </w:r>
          <w:r>
            <w:t xml:space="preserve">28</w:t>
          </w:r>
        </w:p>
        <w:p>
          <w:pPr>
            <w:pStyle w:val="TOC2"/>
            <w:tabs>
              <w:tab w:val="right" w:leader="dot" w:pos="9072"/>
            </w:tabs>
          </w:pPr>
          <w:r>
            <w:t xml:space="preserve">Core Capability Response</w:t>
          </w:r>
          <w:r>
            <w:tab/>
          </w:r>
          <w:r>
            <w:t xml:space="preserve">29</w:t>
          </w:r>
        </w:p>
        <w:p>
          <w:pPr>
            <w:pStyle w:val="TOC3"/>
            <w:tabs>
              <w:tab w:val="right" w:leader="dot" w:pos="9072"/>
            </w:tabs>
          </w:pPr>
          <w:r>
            <w:t xml:space="preserve">Asset and Lifecycle Control</w:t>
          </w:r>
          <w:r>
            <w:tab/>
          </w:r>
          <w:r>
            <w:t xml:space="preserve">30</w:t>
          </w:r>
        </w:p>
        <w:p>
          <w:pPr>
            <w:pStyle w:val="TOC3"/>
            <w:tabs>
              <w:tab w:val="right" w:leader="dot" w:pos="9072"/>
            </w:tabs>
          </w:pPr>
          <w:r>
            <w:t xml:space="preserve">Identity and Compliance</w:t>
          </w:r>
          <w:r>
            <w:tab/>
          </w:r>
          <w:r>
            <w:t xml:space="preserve">31</w:t>
          </w:r>
        </w:p>
        <w:p>
          <w:pPr>
            <w:pStyle w:val="TOC3"/>
            <w:tabs>
              <w:tab w:val="right" w:leader="dot" w:pos="9072"/>
            </w:tabs>
          </w:pPr>
          <w:r>
            <w:t xml:space="preserve">Settlement and Custody</w:t>
          </w:r>
          <w:r>
            <w:tab/>
          </w:r>
          <w:r>
            <w:t xml:space="preserve">32</w:t>
          </w:r>
        </w:p>
        <w:p>
          <w:pPr>
            <w:pStyle w:val="TOC3"/>
            <w:tabs>
              <w:tab w:val="right" w:leader="dot" w:pos="9072"/>
            </w:tabs>
          </w:pPr>
          <w:r>
            <w:t xml:space="preserve">Integration and Reporting</w:t>
          </w:r>
          <w:r>
            <w:tab/>
          </w:r>
          <w:r>
            <w:t xml:space="preserve">33</w:t>
          </w:r>
        </w:p>
        <w:p>
          <w:pPr>
            <w:pStyle w:val="TOC2"/>
            <w:tabs>
              <w:tab w:val="right" w:leader="dot" w:pos="9072"/>
            </w:tabs>
          </w:pPr>
          <w:r>
            <w:t xml:space="preserve">Fit Table</w:t>
          </w:r>
          <w:r>
            <w:tab/>
          </w:r>
          <w:r>
            <w:t xml:space="preserve">34</w:t>
          </w:r>
        </w:p>
        <w:p>
          <w:pPr>
            <w:pStyle w:val="TOC1"/>
            <w:tabs>
              <w:tab w:val="right" w:leader="dot" w:pos="9072"/>
            </w:tabs>
          </w:pPr>
          <w:r>
            <w:t xml:space="preserve">6. Architecture Overview</w:t>
          </w:r>
          <w:r>
            <w:tab/>
          </w:r>
          <w:r>
            <w:t xml:space="preserve">35</w:t>
          </w:r>
        </w:p>
        <w:p>
          <w:pPr>
            <w:pStyle w:val="TOC2"/>
            <w:tabs>
              <w:tab w:val="right" w:leader="dot" w:pos="9072"/>
            </w:tabs>
          </w:pPr>
          <w:r>
            <w:t xml:space="preserve">Architecture Principles</w:t>
          </w:r>
          <w:r>
            <w:tab/>
          </w:r>
          <w:r>
            <w:t xml:space="preserve">36</w:t>
          </w:r>
        </w:p>
        <w:p>
          <w:pPr>
            <w:pStyle w:val="TOC2"/>
            <w:tabs>
              <w:tab w:val="right" w:leader="dot" w:pos="9072"/>
            </w:tabs>
          </w:pPr>
          <w:r>
            <w:t xml:space="preserve">Core Layers</w:t>
          </w:r>
          <w:r>
            <w:tab/>
          </w:r>
          <w:r>
            <w:t xml:space="preserve">37</w:t>
          </w:r>
        </w:p>
        <w:p>
          <w:pPr>
            <w:pStyle w:val="TOC2"/>
            <w:tabs>
              <w:tab w:val="right" w:leader="dot" w:pos="9072"/>
            </w:tabs>
          </w:pPr>
          <w:r>
            <w:t xml:space="preserve">Deployment Topology Summary</w:t>
          </w:r>
          <w:r>
            <w:tab/>
          </w:r>
          <w:r>
            <w:t xml:space="preserve">38</w:t>
          </w:r>
        </w:p>
        <w:p>
          <w:pPr>
            <w:pStyle w:val="TOC2"/>
            <w:tabs>
              <w:tab w:val="right" w:leader="dot" w:pos="9072"/>
            </w:tabs>
          </w:pPr>
          <w:r>
            <w:t xml:space="preserve">Resilience</w:t>
          </w:r>
          <w:r>
            <w:tab/>
          </w:r>
          <w:r>
            <w:t xml:space="preserve">39</w:t>
          </w:r>
        </w:p>
        <w:p>
          <w:pPr>
            <w:pStyle w:val="TOC1"/>
            <w:tabs>
              <w:tab w:val="right" w:leader="dot" w:pos="9072"/>
            </w:tabs>
          </w:pPr>
          <w:r>
            <w:t xml:space="preserve">7. Security Overview</w:t>
          </w:r>
          <w:r>
            <w:tab/>
          </w:r>
          <w:r>
            <w:t xml:space="preserve">40</w:t>
          </w:r>
        </w:p>
        <w:p>
          <w:pPr>
            <w:pStyle w:val="TOC2"/>
            <w:tabs>
              <w:tab w:val="right" w:leader="dot" w:pos="9072"/>
            </w:tabs>
          </w:pPr>
          <w:r>
            <w:t xml:space="preserve">Authentication and Access Control</w:t>
          </w:r>
          <w:r>
            <w:tab/>
          </w:r>
          <w:r>
            <w:t xml:space="preserve">41</w:t>
          </w:r>
        </w:p>
        <w:p>
          <w:pPr>
            <w:pStyle w:val="TOC2"/>
            <w:tabs>
              <w:tab w:val="right" w:leader="dot" w:pos="9072"/>
            </w:tabs>
          </w:pPr>
          <w:r>
            <w:t xml:space="preserve">Custody and Key Management</w:t>
          </w:r>
          <w:r>
            <w:tab/>
          </w:r>
          <w:r>
            <w:t xml:space="preserve">42</w:t>
          </w:r>
        </w:p>
        <w:p>
          <w:pPr>
            <w:pStyle w:val="TOC2"/>
            <w:tabs>
              <w:tab w:val="right" w:leader="dot" w:pos="9072"/>
            </w:tabs>
          </w:pPr>
          <w:r>
            <w:t xml:space="preserve">Data Protection and Auditability</w:t>
          </w:r>
          <w:r>
            <w:tab/>
          </w:r>
          <w:r>
            <w:t xml:space="preserve">43</w:t>
          </w:r>
        </w:p>
        <w:p>
          <w:pPr>
            <w:pStyle w:val="TOC2"/>
            <w:tabs>
              <w:tab w:val="right" w:leader="dot" w:pos="9072"/>
            </w:tabs>
          </w:pPr>
          <w:r>
            <w:t xml:space="preserve">Testing and Assurance</w:t>
          </w:r>
          <w:r>
            <w:tab/>
          </w:r>
          <w:r>
            <w:t xml:space="preserve">44</w:t>
          </w:r>
        </w:p>
        <w:p>
          <w:pPr>
            <w:pStyle w:val="TOC1"/>
            <w:tabs>
              <w:tab w:val="right" w:leader="dot" w:pos="9072"/>
            </w:tabs>
          </w:pPr>
          <w:r>
            <w:t xml:space="preserve">8. Implementation Timeline</w:t>
          </w:r>
          <w:r>
            <w:tab/>
          </w:r>
          <w:r>
            <w:t xml:space="preserve">45</w:t>
          </w:r>
        </w:p>
        <w:p>
          <w:pPr>
            <w:pStyle w:val="TOC2"/>
            <w:tabs>
              <w:tab w:val="right" w:leader="dot" w:pos="9072"/>
            </w:tabs>
          </w:pPr>
          <w:r>
            <w:t xml:space="preserve">Phase Overview</w:t>
          </w:r>
          <w:r>
            <w:tab/>
          </w:r>
          <w:r>
            <w:t xml:space="preserve">46</w:t>
          </w:r>
        </w:p>
        <w:p>
          <w:pPr>
            <w:pStyle w:val="TOC2"/>
            <w:tabs>
              <w:tab w:val="right" w:leader="dot" w:pos="9072"/>
            </w:tabs>
          </w:pPr>
          <w:r>
            <w:t xml:space="preserve">Key Milestones</w:t>
          </w:r>
          <w:r>
            <w:tab/>
          </w:r>
          <w:r>
            <w:t xml:space="preserve">47</w:t>
          </w:r>
        </w:p>
        <w:p>
          <w:pPr>
            <w:pStyle w:val="TOC1"/>
            <w:tabs>
              <w:tab w:val="right" w:leader="dot" w:pos="9072"/>
            </w:tabs>
          </w:pPr>
          <w:r>
            <w:t xml:space="preserve">9. Support &amp; SLA</w:t>
          </w:r>
          <w:r>
            <w:tab/>
          </w:r>
          <w:r>
            <w:t xml:space="preserve">48</w:t>
          </w:r>
        </w:p>
        <w:p>
          <w:pPr>
            <w:pStyle w:val="TOC2"/>
            <w:tabs>
              <w:tab w:val="right" w:leader="dot" w:pos="9072"/>
            </w:tabs>
          </w:pPr>
          <w:r>
            <w:t xml:space="preserve">Support Summary</w:t>
          </w:r>
          <w:r>
            <w:tab/>
          </w:r>
          <w:r>
            <w:t xml:space="preserve">49</w:t>
          </w:r>
        </w:p>
        <w:p>
          <w:pPr>
            <w:pStyle w:val="TOC2"/>
            <w:tabs>
              <w:tab w:val="right" w:leader="dot" w:pos="9072"/>
            </w:tabs>
          </w:pPr>
          <w:r>
            <w:t xml:space="preserve">Severity Response</w:t>
          </w:r>
          <w:r>
            <w:tab/>
          </w:r>
          <w:r>
            <w:t xml:space="preserve">50</w:t>
          </w:r>
        </w:p>
        <w:p>
          <w:pPr>
            <w:pStyle w:val="TOC2"/>
            <w:tabs>
              <w:tab w:val="right" w:leader="dot" w:pos="9072"/>
            </w:tabs>
          </w:pPr>
          <w:r>
            <w:t xml:space="preserve">Escalation Path</w:t>
          </w:r>
          <w:r>
            <w:tab/>
          </w:r>
          <w:r>
            <w:t xml:space="preserve">51</w:t>
          </w:r>
        </w:p>
        <w:p>
          <w:pPr>
            <w:pStyle w:val="TOC1"/>
            <w:tabs>
              <w:tab w:val="right" w:leader="dot" w:pos="9072"/>
            </w:tabs>
          </w:pPr>
          <w:r>
            <w:t xml:space="preserve">10. Risk Register</w:t>
          </w:r>
          <w:r>
            <w:tab/>
          </w:r>
          <w:r>
            <w:t xml:space="preserve">52</w:t>
          </w:r>
        </w:p>
        <w:p>
          <w:pPr>
            <w:pStyle w:val="TOC1"/>
            <w:tabs>
              <w:tab w:val="right" w:leader="dot" w:pos="9072"/>
            </w:tabs>
          </w:pPr>
          <w:r>
            <w:t xml:space="preserve">11. Project Implementation &amp; Delivery</w:t>
          </w:r>
          <w:r>
            <w:tab/>
          </w:r>
          <w:r>
            <w:t xml:space="preserve">53</w:t>
          </w:r>
        </w:p>
        <w:p>
          <w:pPr>
            <w:pStyle w:val="TOC2"/>
            <w:tabs>
              <w:tab w:val="right" w:leader="dot" w:pos="9072"/>
            </w:tabs>
          </w:pPr>
          <w:r>
            <w:t xml:space="preserve">Delivery Methodology</w:t>
          </w:r>
          <w:r>
            <w:tab/>
          </w:r>
          <w:r>
            <w:t xml:space="preserve">54</w:t>
          </w:r>
        </w:p>
        <w:p>
          <w:pPr>
            <w:pStyle w:val="TOC2"/>
            <w:tabs>
              <w:tab w:val="right" w:leader="dot" w:pos="9072"/>
            </w:tabs>
          </w:pPr>
          <w:r>
            <w:t xml:space="preserve">Governance Structure</w:t>
          </w:r>
          <w:r>
            <w:tab/>
          </w:r>
          <w:r>
            <w:t xml:space="preserve">55</w:t>
          </w:r>
        </w:p>
        <w:p>
          <w:pPr>
            <w:pStyle w:val="TOC2"/>
            <w:tabs>
              <w:tab w:val="right" w:leader="dot" w:pos="9072"/>
            </w:tabs>
          </w:pPr>
          <w:r>
            <w:t xml:space="preserve">RACI Summary</w:t>
          </w:r>
          <w:r>
            <w:tab/>
          </w:r>
          <w:r>
            <w:t xml:space="preserve">56</w:t>
          </w:r>
        </w:p>
        <w:p>
          <w:pPr>
            <w:pStyle w:val="TOC1"/>
            <w:tabs>
              <w:tab w:val="right" w:leader="dot" w:pos="9072"/>
            </w:tabs>
          </w:pPr>
          <w:r>
            <w:t xml:space="preserve">12. Deployment</w:t>
          </w:r>
          <w:r>
            <w:tab/>
          </w:r>
          <w:r>
            <w:t xml:space="preserve">57</w:t>
          </w:r>
        </w:p>
        <w:p>
          <w:pPr>
            <w:pStyle w:val="TOC2"/>
            <w:tabs>
              <w:tab w:val="right" w:leader="dot" w:pos="9072"/>
            </w:tabs>
          </w:pPr>
          <w:r>
            <w:t xml:space="preserve">Recommended Deployment Model</w:t>
          </w:r>
          <w:r>
            <w:tab/>
          </w:r>
          <w:r>
            <w:t xml:space="preserve">58</w:t>
          </w:r>
        </w:p>
        <w:p>
          <w:pPr>
            <w:pStyle w:val="TOC3"/>
            <w:tabs>
              <w:tab w:val="right" w:leader="dot" w:pos="9072"/>
            </w:tabs>
          </w:pPr>
          <w:r>
            <w:t xml:space="preserve">Comparison Table</w:t>
          </w:r>
          <w:r>
            <w:tab/>
          </w:r>
          <w:r>
            <w:t xml:space="preserve">59</w:t>
          </w:r>
        </w:p>
        <w:p>
          <w:pPr>
            <w:pStyle w:val="TOC3"/>
            <w:tabs>
              <w:tab w:val="right" w:leader="dot" w:pos="9072"/>
            </w:tabs>
          </w:pPr>
          <w:r>
            <w:t xml:space="preserve">Logical Topology</w:t>
          </w:r>
          <w:r>
            <w:tab/>
          </w:r>
          <w:r>
            <w:t xml:space="preserve">60</w:t>
          </w:r>
        </w:p>
        <w:p>
          <w:pPr>
            <w:pStyle w:val="TOC3"/>
            <w:tabs>
              <w:tab w:val="right" w:leader="dot" w:pos="9072"/>
            </w:tabs>
          </w:pPr>
          <w:r>
            <w:t xml:space="preserve">Infrastructure Prerequisites</w:t>
          </w:r>
          <w:r>
            <w:tab/>
          </w:r>
          <w:r>
            <w:t xml:space="preserve">61</w:t>
          </w:r>
        </w:p>
        <w:p>
          <w:pPr>
            <w:pStyle w:val="TOC1"/>
            <w:tabs>
              <w:tab w:val="right" w:leader="dot" w:pos="9072"/>
            </w:tabs>
          </w:pPr>
          <w:r>
            <w:t xml:space="preserve">13. Appendix: Support Details</w:t>
          </w:r>
          <w:r>
            <w:tab/>
          </w:r>
          <w:r>
            <w:t xml:space="preserve">62</w:t>
          </w:r>
        </w:p>
        <w:p>
          <w:pPr>
            <w:pStyle w:val="TOC2"/>
            <w:tabs>
              <w:tab w:val="right" w:leader="dot" w:pos="9072"/>
            </w:tabs>
          </w:pPr>
          <w:r>
            <w:t xml:space="preserve">Support Tiers Comparison</w:t>
          </w:r>
          <w:r>
            <w:tab/>
          </w:r>
          <w:r>
            <w:t xml:space="preserve">63</w:t>
          </w:r>
        </w:p>
        <w:p>
          <w:pPr>
            <w:pStyle w:val="TOC2"/>
            <w:tabs>
              <w:tab w:val="right" w:leader="dot" w:pos="9072"/>
            </w:tabs>
          </w:pPr>
          <w:r>
            <w:t xml:space="preserve">Severity Definitions</w:t>
          </w:r>
          <w:r>
            <w:tab/>
          </w:r>
          <w:r>
            <w:t xml:space="preserve">64</w:t>
          </w:r>
        </w:p>
        <w:p>
          <w:pPr>
            <w:pStyle w:val="TOC2"/>
            <w:tabs>
              <w:tab w:val="right" w:leader="dot" w:pos="9072"/>
            </w:tabs>
          </w:pPr>
          <w:r>
            <w:t xml:space="preserve">Maintenance Windows</w:t>
          </w:r>
          <w:r>
            <w:tab/>
          </w:r>
          <w:r>
            <w:t xml:space="preserve">65</w:t>
          </w:r>
        </w:p>
        <w:p>
          <w:pPr>
            <w:pStyle w:val="TOC1"/>
            <w:tabs>
              <w:tab w:val="right" w:leader="dot" w:pos="9072"/>
            </w:tabs>
          </w:pPr>
          <w:r>
            <w:t xml:space="preserve">14. Writer's Checklist</w:t>
          </w:r>
          <w:r>
            <w:tab/>
          </w:r>
          <w:r>
            <w:t xml:space="preserve">66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Stock Exchange of Thailand — Tokenized Securities Programme</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16 March 2026  </w:t>
      </w:r>
    </w:p>
    <w:p>
      <w:r>
        <w:rPr>
          <w:rFonts w:ascii="Figtree" w:hAnsi="Figtree"/>
          <w:b/>
          <w:i w:val="0"/>
          <w:sz w:val="22"/>
        </w:rPr>
        <w:t>Version:</w:t>
      </w:r>
      <w:r>
        <w:rPr>
          <w:rFonts w:ascii="Figtree" w:hAnsi="Figtree"/>
          <w:b w:val="0"/>
          <w:i w:val="0"/>
          <w:sz w:val="22"/>
        </w:rPr>
        <w:t xml:space="preserve"> 1.0</w:t>
      </w:r>
    </w:p>
    <w:p>
      <w:r>
        <w:br w:type="page"/>
      </w:r>
    </w:p>
    <w:p>
      <w:pPr>
        <w:pStyle w:val="H1"/>
        <w:numPr>
          <w:ilvl w:val="0"/>
          <w:numId w:val="1"/>
        </w:numPr>
      </w:pPr>
      <w:r>
        <w:t>1. Executive Summary</w:t>
      </w:r>
    </w:p>
    <w:p>
      <w:pPr>
        <w:pStyle w:val="H2"/>
        <w:numPr>
          <w:ilvl w:val="1"/>
          <w:numId w:val="1"/>
        </w:numPr>
      </w:pPr>
      <w:r>
        <w:t>1.1 Client Need and Proposed Response</w:t>
      </w:r>
    </w:p>
    <w:p>
      <w:r>
        <w:rPr>
          <w:rFonts w:ascii="Figtree" w:hAnsi="Figtree"/>
          <w:b w:val="0"/>
          <w:i w:val="0"/>
          <w:sz w:val="22"/>
        </w:rPr>
        <w:t>Stock Exchange of Thailand (SET) seeks a production-ready tokenized securities platform that can transition from pilot scope to business-as-usual operations without re-platforming. The programme must deliver end-to-end lifecycle management for tokenized securities — from issuance through servicing, transfer, reconciliation, and retirement — under the regulatory oversight of SEC Thailand, Bank of Thailand, and in compliance with PDPA Thailand.</w:t>
      </w:r>
    </w:p>
    <w:p>
      <w:r>
        <w:rPr>
          <w:rFonts w:ascii="Figtree" w:hAnsi="Figtree"/>
          <w:b w:val="0"/>
          <w:i w:val="0"/>
          <w:sz w:val="22"/>
        </w:rPr>
        <w:t>SettleMint proposes the Digital Asset Lifecycle Platform (DALP), a unified, production-grade platform that provides complete lifecycle coverage with embedded compliance enforcement, enterprise integration capabilities, and operational maturity tested across multiple regulated deployments in Asia-Pacific and Europe.</w:t>
      </w:r>
    </w:p>
    <w:p>
      <w:r>
        <w:rPr>
          <w:rFonts w:ascii="Figtree" w:hAnsi="Figtree"/>
          <w:b w:val="0"/>
          <w:i w:val="0"/>
          <w:sz w:val="22"/>
        </w:rPr>
        <w:t xml:space="preserve">The proposed deployment model is </w:t>
      </w:r>
      <w:r>
        <w:rPr>
          <w:rFonts w:ascii="Figtree" w:hAnsi="Figtree"/>
          <w:b/>
          <w:i w:val="0"/>
          <w:sz w:val="22"/>
        </w:rPr>
        <w:t>Dedicated Private Cloud</w:t>
      </w:r>
      <w:r>
        <w:rPr>
          <w:rFonts w:ascii="Figtree" w:hAnsi="Figtree"/>
          <w:b w:val="0"/>
          <w:i w:val="0"/>
          <w:sz w:val="22"/>
        </w:rPr>
        <w:t xml:space="preserve"> (single-tenant deployment on cloud infrastructure of SET's choice), providing full data residency control while leveraging DALP's multi-asset, multi-jurisdiction capabilities. This deployment model ensures SET retains sovereignty over infrastructure while benefiting from DALP's pre-built compliance modules, workflow orchestration, and operational tooling.</w:t>
      </w:r>
    </w:p>
    <w:p>
      <w:r>
        <w:rPr>
          <w:rFonts w:ascii="Figtree" w:hAnsi="Figtree"/>
          <w:b/>
          <w:i w:val="0"/>
          <w:sz w:val="22"/>
        </w:rPr>
        <w:t>Key differentiators for SET:</w:t>
      </w:r>
    </w:p>
    <w:p>
      <w:pPr>
        <w:pStyle w:val="ListParagraph"/>
        <w:numPr>
          <w:ilvl w:val="0"/>
          <w:numId w:val="4"/>
        </w:numPr>
      </w:pPr>
      <w:r>
        <w:rPr>
          <w:rFonts w:ascii="Figtree" w:hAnsi="Figtree"/>
          <w:b/>
          <w:i w:val="0"/>
          <w:sz w:val="22"/>
        </w:rPr>
        <w:t>Full lifecycle coverage</w:t>
      </w:r>
      <w:r>
        <w:rPr>
          <w:rFonts w:ascii="Figtree" w:hAnsi="Figtree"/>
          <w:b w:val="0"/>
          <w:i w:val="0"/>
          <w:sz w:val="22"/>
        </w:rPr>
        <w:t>: DALP manages the complete tokenized securities lifecycle — issuance, compliance, custody integration, settlement, servicing, and retirement — under one governance model, eliminating the fragmentation typical of multi-vendor tokenization programmes.</w:t>
      </w:r>
    </w:p>
    <w:p>
      <w:pPr>
        <w:pStyle w:val="ListParagraph"/>
        <w:numPr>
          <w:ilvl w:val="0"/>
          <w:numId w:val="4"/>
        </w:numPr>
      </w:pPr>
      <w:r>
        <w:rPr>
          <w:rFonts w:ascii="Figtree" w:hAnsi="Figtree"/>
          <w:b/>
          <w:i w:val="0"/>
          <w:sz w:val="22"/>
        </w:rPr>
        <w:t>Ex-ante compliance enforcement</w:t>
      </w:r>
      <w:r>
        <w:rPr>
          <w:rFonts w:ascii="Figtree" w:hAnsi="Figtree"/>
          <w:b w:val="0"/>
          <w:i w:val="0"/>
          <w:sz w:val="22"/>
        </w:rPr>
        <w:t>: Compliance is validated before every transfer, not reviewed after. DALP's 18 compliance module types enforce eligibility, investor accreditation, jurisdictional restrictions, and transfer controls automatically.</w:t>
      </w:r>
    </w:p>
    <w:p>
      <w:pPr>
        <w:pStyle w:val="ListParagraph"/>
        <w:numPr>
          <w:ilvl w:val="0"/>
          <w:numId w:val="4"/>
        </w:numPr>
      </w:pPr>
      <w:r>
        <w:rPr>
          <w:rFonts w:ascii="Figtree" w:hAnsi="Figtree"/>
          <w:b/>
          <w:i w:val="0"/>
          <w:sz w:val="22"/>
        </w:rPr>
        <w:t>Multi-jurisdiction regulatory readiness</w:t>
      </w:r>
      <w:r>
        <w:rPr>
          <w:rFonts w:ascii="Figtree" w:hAnsi="Figtree"/>
          <w:b w:val="0"/>
          <w:i w:val="0"/>
          <w:sz w:val="22"/>
        </w:rPr>
        <w:t>: Native support for ERC-3643 (T-REX) standard and pre-built compliance mappings for MiCA, MAS, FCA, FSA, and GCC frameworks — providing a clear foundation for SEC Thailand alignment.</w:t>
      </w:r>
    </w:p>
    <w:p>
      <w:pPr>
        <w:pStyle w:val="ListParagraph"/>
        <w:numPr>
          <w:ilvl w:val="0"/>
          <w:numId w:val="4"/>
        </w:numPr>
      </w:pPr>
      <w:r>
        <w:rPr>
          <w:rFonts w:ascii="Figtree" w:hAnsi="Figtree"/>
          <w:b/>
          <w:i w:val="0"/>
          <w:sz w:val="22"/>
        </w:rPr>
        <w:t>Production credentials</w:t>
      </w:r>
      <w:r>
        <w:rPr>
          <w:rFonts w:ascii="Figtree" w:hAnsi="Figtree"/>
          <w:b w:val="0"/>
          <w:i w:val="0"/>
          <w:sz w:val="22"/>
        </w:rPr>
        <w:t>: Multi-year live deployments with regulated banks including OCBC Bank, Standard Chartered, and Maybank; sovereign-scale programmes including Saudi Real Estate Registry; and market infrastructure references including ADI Finstreet and Commerzbank.</w:t>
      </w:r>
    </w:p>
    <w:p>
      <w:pPr>
        <w:pStyle w:val="ListParagraph"/>
        <w:numPr>
          <w:ilvl w:val="0"/>
          <w:numId w:val="4"/>
        </w:numPr>
      </w:pPr>
      <w:r>
        <w:rPr>
          <w:rFonts w:ascii="Figtree" w:hAnsi="Figtree"/>
          <w:b/>
          <w:i w:val="0"/>
          <w:sz w:val="22"/>
        </w:rPr>
        <w:t>Atomic settlement</w:t>
      </w:r>
      <w:r>
        <w:rPr>
          <w:rFonts w:ascii="Figtree" w:hAnsi="Figtree"/>
          <w:b w:val="0"/>
          <w:i w:val="0"/>
          <w:sz w:val="22"/>
        </w:rPr>
        <w:t>: Native Delivery-versus-Payment (DvP) and Exchange-versus-Payment (XvP) settlement ensures both asset and cash legs complete together or revert together, eliminating counterparty risk.</w:t>
      </w:r>
    </w:p>
    <w:p>
      <w:pPr>
        <w:pStyle w:val="H2"/>
        <w:numPr>
          <w:ilvl w:val="1"/>
          <w:numId w:val="1"/>
        </w:numPr>
      </w:pPr>
      <w:r>
        <w:t>1.2 Why SettleMint / DALP</w:t>
      </w:r>
    </w:p>
    <w:p>
      <w:r>
        <w:rPr>
          <w:rFonts w:ascii="Figtree" w:hAnsi="Figtree"/>
          <w:b w:val="0"/>
          <w:i w:val="0"/>
          <w:sz w:val="22"/>
        </w:rPr>
        <w:t>SettleMint brings a unique combination to this programme: nearly a decade of blockchain infrastructure experience, production-grade deployments at regulated institutions across Asia and Europe, and a platform built specifically for institutional operational requirements.</w:t>
      </w:r>
    </w:p>
    <w:p>
      <w:r>
        <w:rPr>
          <w:rFonts w:ascii="Figtree" w:hAnsi="Figtree"/>
          <w:b w:val="0"/>
          <w:i w:val="0"/>
          <w:sz w:val="22"/>
        </w:rPr>
        <w:t>DALP is not a pilot tool or a sandbox product. It is a mature, operationally-tested platform that has processed real transactions under institutional SLAs at banks, market infrastructures, and sovereign entities. The platform provides:</w:t>
      </w:r>
    </w:p>
    <w:p>
      <w:pPr>
        <w:pStyle w:val="ListParagraph"/>
        <w:numPr>
          <w:ilvl w:val="0"/>
          <w:numId w:val="4"/>
        </w:numPr>
      </w:pPr>
      <w:r>
        <w:rPr>
          <w:rFonts w:ascii="Figtree" w:hAnsi="Figtree"/>
          <w:b/>
          <w:i w:val="0"/>
          <w:sz w:val="22"/>
        </w:rPr>
        <w:t>Lifecycle completeness</w:t>
      </w:r>
      <w:r>
        <w:rPr>
          <w:rFonts w:ascii="Figtree" w:hAnsi="Figtree"/>
          <w:b w:val="0"/>
          <w:i w:val="0"/>
          <w:sz w:val="22"/>
        </w:rPr>
        <w:t>: Unlike point solutions that address only issuance or custody, DALP provides a unified control plane spanning the entire asset lifecycle — from design through retirement.</w:t>
      </w:r>
    </w:p>
    <w:p>
      <w:pPr>
        <w:pStyle w:val="ListParagraph"/>
        <w:numPr>
          <w:ilvl w:val="0"/>
          <w:numId w:val="4"/>
        </w:numPr>
      </w:pPr>
      <w:r>
        <w:rPr>
          <w:rFonts w:ascii="Figtree" w:hAnsi="Figtree"/>
          <w:b/>
          <w:i w:val="0"/>
          <w:sz w:val="22"/>
        </w:rPr>
        <w:t>Compliance-by-design</w:t>
      </w:r>
      <w:r>
        <w:rPr>
          <w:rFonts w:ascii="Figtree" w:hAnsi="Figtree"/>
          <w:b w:val="0"/>
          <w:i w:val="0"/>
          <w:sz w:val="22"/>
        </w:rPr>
        <w:t>: Rather than treating regulatory requirements as an afterthought, DALP embeds compliance enforcement into every transaction. Eligibility checks happen before execution, not during audit review.</w:t>
      </w:r>
    </w:p>
    <w:p>
      <w:pPr>
        <w:pStyle w:val="ListParagraph"/>
        <w:numPr>
          <w:ilvl w:val="0"/>
          <w:numId w:val="4"/>
        </w:numPr>
      </w:pPr>
      <w:r>
        <w:rPr>
          <w:rFonts w:ascii="Figtree" w:hAnsi="Figtree"/>
          <w:b/>
          <w:i w:val="0"/>
          <w:sz w:val="22"/>
        </w:rPr>
        <w:t>Enterprise integration</w:t>
      </w:r>
      <w:r>
        <w:rPr>
          <w:rFonts w:ascii="Figtree" w:hAnsi="Figtree"/>
          <w:b w:val="0"/>
          <w:i w:val="0"/>
          <w:sz w:val="22"/>
        </w:rPr>
        <w:t>: REST APIs, GraphQL, event webhooks, and a typed SDK enable seamless integration with SET's existing core systems, payment rails, and reporting infrastructure.</w:t>
      </w:r>
    </w:p>
    <w:p>
      <w:pPr>
        <w:pStyle w:val="ListParagraph"/>
        <w:numPr>
          <w:ilvl w:val="0"/>
          <w:numId w:val="4"/>
        </w:numPr>
      </w:pPr>
      <w:r>
        <w:rPr>
          <w:rFonts w:ascii="Figtree" w:hAnsi="Figtree"/>
          <w:b/>
          <w:i w:val="0"/>
          <w:sz w:val="22"/>
        </w:rPr>
        <w:t>Operational reliability</w:t>
      </w:r>
      <w:r>
        <w:rPr>
          <w:rFonts w:ascii="Figtree" w:hAnsi="Figtree"/>
          <w:b w:val="0"/>
          <w:i w:val="0"/>
          <w:sz w:val="22"/>
        </w:rPr>
        <w:t>: Production-grade observability, 534 structured error codes, automated alerting, and durable workflow orchestration ensure the platform can withstand the scrutiny of institutional operations, audit, and regulatory inspection.</w:t>
      </w:r>
    </w:p>
    <w:p>
      <w:r>
        <w:rPr>
          <w:rFonts w:ascii="Figtree" w:hAnsi="Figtree"/>
          <w:b w:val="0"/>
          <w:i w:val="0"/>
          <w:sz w:val="22"/>
        </w:rPr>
        <w:t>For SET, this translates to a platform that can survive the boring operational reality of regulated tokenized securities — not just perform well in a demo.</w:t>
      </w:r>
    </w:p>
    <w:p>
      <w:pPr>
        <w:pStyle w:val="H2"/>
        <w:numPr>
          <w:ilvl w:val="1"/>
          <w:numId w:val="1"/>
        </w:numPr>
      </w:pPr>
      <w:r>
        <w:t>1.3 Executive Summary Visual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6"/>
        <w:gridCol w:w="3938"/>
        <w:gridCol w:w="36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coverage</w:t>
            </w:r>
          </w:p>
        </w:tc>
        <w:tc>
          <w:tcPr>
            <w:tcW w:type="dxa" w:w="3249"/>
            <w:vAlign w:val="center"/>
          </w:tcPr>
          <w:p>
            <w:pPr>
              <w:spacing w:line="276" w:lineRule="auto" w:before="0" w:after="0"/>
            </w:pPr>
            <w:r/>
            <w:r>
              <w:rPr>
                <w:rFonts w:ascii="Figtree" w:hAnsi="Figtree"/>
                <w:b w:val="0"/>
                <w:i w:val="0"/>
                <w:sz w:val="20"/>
              </w:rPr>
              <w:t>End-to-end issuance, servicing, transfer, reconciliation</w:t>
            </w:r>
          </w:p>
        </w:tc>
        <w:tc>
          <w:tcPr>
            <w:tcW w:type="dxa" w:w="3249"/>
            <w:vAlign w:val="center"/>
          </w:tcPr>
          <w:p>
            <w:pPr>
              <w:spacing w:line="276" w:lineRule="auto" w:before="0" w:after="0"/>
            </w:pPr>
            <w:r/>
            <w:r>
              <w:rPr>
                <w:rFonts w:ascii="Figtree" w:hAnsi="Figtree"/>
                <w:b w:val="0"/>
                <w:i w:val="0"/>
                <w:sz w:val="20"/>
              </w:rPr>
              <w:t>Unified platform covering full lifecycle</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model</w:t>
            </w:r>
          </w:p>
        </w:tc>
        <w:tc>
          <w:tcPr>
            <w:tcW w:type="dxa" w:w="3249"/>
            <w:vAlign w:val="center"/>
          </w:tcPr>
          <w:p>
            <w:pPr>
              <w:spacing w:line="276" w:lineRule="auto" w:before="0" w:after="0"/>
            </w:pPr>
            <w:r/>
            <w:r>
              <w:rPr>
                <w:rFonts w:ascii="Figtree" w:hAnsi="Figtree"/>
                <w:b w:val="0"/>
                <w:i w:val="0"/>
                <w:sz w:val="20"/>
              </w:rPr>
              <w:t>SEC Thailand, Bank of Thailand, PDPA alignment</w:t>
            </w:r>
          </w:p>
        </w:tc>
        <w:tc>
          <w:tcPr>
            <w:tcW w:type="dxa" w:w="3249"/>
            <w:vAlign w:val="center"/>
          </w:tcPr>
          <w:p>
            <w:pPr>
              <w:spacing w:line="276" w:lineRule="auto" w:before="0" w:after="0"/>
            </w:pPr>
            <w:r/>
            <w:r>
              <w:rPr>
                <w:rFonts w:ascii="Figtree" w:hAnsi="Figtree"/>
                <w:b w:val="0"/>
                <w:i w:val="0"/>
                <w:sz w:val="20"/>
              </w:rPr>
              <w:t>18 compliance modules; ERC-3643;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Enterprise systems, payment rails, reporting</w:t>
            </w:r>
          </w:p>
        </w:tc>
        <w:tc>
          <w:tcPr>
            <w:tcW w:type="dxa" w:w="3249"/>
            <w:vAlign w:val="center"/>
          </w:tcPr>
          <w:p>
            <w:pPr>
              <w:spacing w:line="276" w:lineRule="auto" w:before="0" w:after="0"/>
            </w:pPr>
            <w:r/>
            <w:r>
              <w:rPr>
                <w:rFonts w:ascii="Figtree" w:hAnsi="Figtree"/>
                <w:b w:val="0"/>
                <w:i w:val="0"/>
                <w:sz w:val="20"/>
              </w:rPr>
              <w:t>REST/GraphQL APIs; ISO 20022; Fireblocks/DFNS</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Controlled environment, data residency</w:t>
            </w:r>
          </w:p>
        </w:tc>
        <w:tc>
          <w:tcPr>
            <w:tcW w:type="dxa" w:w="3249"/>
            <w:vAlign w:val="center"/>
          </w:tcPr>
          <w:p>
            <w:pPr>
              <w:spacing w:line="276" w:lineRule="auto" w:before="0" w:after="0"/>
            </w:pPr>
            <w:r/>
            <w:r>
              <w:rPr>
                <w:rFonts w:ascii="Figtree" w:hAnsi="Figtree"/>
                <w:b w:val="0"/>
                <w:i w:val="0"/>
                <w:sz w:val="20"/>
              </w:rPr>
              <w:t>Dedicated private cloud, SET infrastructure choice</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readiness</w:t>
            </w:r>
          </w:p>
        </w:tc>
        <w:tc>
          <w:tcPr>
            <w:tcW w:type="dxa" w:w="3249"/>
            <w:vAlign w:val="center"/>
          </w:tcPr>
          <w:p>
            <w:pPr>
              <w:spacing w:line="276" w:lineRule="auto" w:before="0" w:after="0"/>
            </w:pPr>
            <w:r/>
            <w:r>
              <w:rPr>
                <w:rFonts w:ascii="Figtree" w:hAnsi="Figtree"/>
                <w:b w:val="0"/>
                <w:i w:val="0"/>
                <w:sz w:val="20"/>
              </w:rPr>
              <w:t>Audit, governance, exception handling</w:t>
            </w:r>
          </w:p>
        </w:tc>
        <w:tc>
          <w:tcPr>
            <w:tcW w:type="dxa" w:w="3249"/>
            <w:vAlign w:val="center"/>
          </w:tcPr>
          <w:p>
            <w:pPr>
              <w:spacing w:line="276" w:lineRule="auto" w:before="0" w:after="0"/>
            </w:pPr>
            <w:r/>
            <w:r>
              <w:rPr>
                <w:rFonts w:ascii="Figtree" w:hAnsi="Figtree"/>
                <w:b w:val="0"/>
                <w:i w:val="0"/>
                <w:sz w:val="20"/>
              </w:rPr>
              <w:t>Full audit trails, RBAC, case management</w:t>
            </w:r>
          </w:p>
        </w:tc>
      </w:tr>
      <w:tr>
        <w:trPr>
          <w:trHeight w:val="425" w:hRule="atLeast"/>
        </w:trPr>
        <w:tc>
          <w:tcPr>
            <w:tcW w:type="dxa" w:w="3249"/>
            <w:vAlign w:val="center"/>
          </w:tcPr>
          <w:p>
            <w:pPr>
              <w:spacing w:line="276" w:lineRule="auto" w:before="0" w:after="0"/>
            </w:pPr>
            <w:r/>
            <w:r>
              <w:rPr>
                <w:rFonts w:ascii="Figtree" w:hAnsi="Figtree"/>
                <w:b w:val="0"/>
                <w:i w:val="0"/>
                <w:sz w:val="20"/>
              </w:rPr>
              <w:t>Track record</w:t>
            </w:r>
          </w:p>
        </w:tc>
        <w:tc>
          <w:tcPr>
            <w:tcW w:type="dxa" w:w="3249"/>
            <w:vAlign w:val="center"/>
          </w:tcPr>
          <w:p>
            <w:pPr>
              <w:spacing w:line="276" w:lineRule="auto" w:before="0" w:after="0"/>
            </w:pPr>
            <w:r/>
            <w:r>
              <w:rPr>
                <w:rFonts w:ascii="Figtree" w:hAnsi="Figtree"/>
                <w:b w:val="0"/>
                <w:i w:val="0"/>
                <w:sz w:val="20"/>
              </w:rPr>
              <w:t>Regulated financial institution references</w:t>
            </w:r>
          </w:p>
        </w:tc>
        <w:tc>
          <w:tcPr>
            <w:tcW w:type="dxa" w:w="3249"/>
            <w:vAlign w:val="center"/>
          </w:tcPr>
          <w:p>
            <w:pPr>
              <w:spacing w:line="276" w:lineRule="auto" w:before="0" w:after="0"/>
            </w:pPr>
            <w:r/>
            <w:r>
              <w:rPr>
                <w:rFonts w:ascii="Figtree" w:hAnsi="Figtree"/>
                <w:b w:val="0"/>
                <w:i w:val="0"/>
                <w:sz w:val="20"/>
              </w:rPr>
              <w:t>OCBC, Standard Chartered, Maybank, Commerzbank</w:t>
            </w:r>
          </w:p>
        </w:tc>
      </w:tr>
    </w:tbl>
    <w:p>
      <w:pPr>
        <w:spacing w:before="0" w:after="0" w:line="120" w:lineRule="exact"/>
      </w:pPr>
    </w:p>
    <w:p>
      <w:r>
        <w:br w:type="page"/>
      </w:r>
    </w:p>
    <w:p>
      <w:pPr>
        <w:pStyle w:val="H1"/>
        <w:numPr>
          <w:ilvl w:val="0"/>
          <w:numId w:val="1"/>
        </w:numPr>
      </w:pPr>
      <w:r>
        <w:t>2. About SettleMint</w:t>
      </w:r>
    </w:p>
    <w:p>
      <w:r>
        <w:rPr>
          <w:rFonts w:ascii="Figtree" w:hAnsi="Figtree"/>
          <w:b w:val="0"/>
          <w:i w:val="0"/>
          <w:sz w:val="22"/>
        </w:rPr>
        <w:t>SettleMint is the production-grade digital asset lifecycle management company for regulated financial markets and sovereign use cases. Founded nearly a decade ago, SettleMint has evolved from an enterprise blockchain infrastructure provider into the category-defining platform company enabling financial institutions, market infrastructure providers, and sovereign entities to move real-world value on-chain with compliance, security, and operational reliability.</w:t>
      </w:r>
    </w:p>
    <w:p>
      <w:pPr>
        <w:pStyle w:val="H2"/>
        <w:numPr>
          <w:ilvl w:val="1"/>
          <w:numId w:val="1"/>
        </w:numPr>
      </w:pPr>
      <w:r>
        <w:t>Production Credentials</w:t>
      </w:r>
    </w:p>
    <w:p>
      <w:r>
        <w:rPr>
          <w:rFonts w:ascii="Figtree" w:hAnsi="Figtree"/>
          <w:b w:val="0"/>
          <w:i w:val="0"/>
          <w:sz w:val="22"/>
        </w:rPr>
        <w:t>SettleMint operates multi-year live deployments with regulated banks and sovereign entities, delivering settlement finality, compliance enforcement, and operational availability that regulated environments demand. These are not sandboxes or pilot programmes; they are business-critical workflows operating under institutional SLAs.</w:t>
      </w:r>
    </w:p>
    <w:p>
      <w:r>
        <w:rPr>
          <w:rFonts w:ascii="Figtree" w:hAnsi="Figtree"/>
          <w:b/>
          <w:i w:val="0"/>
          <w:sz w:val="22"/>
        </w:rPr>
        <w:t>Key production deployments include:</w:t>
      </w:r>
    </w:p>
    <w:p>
      <w:pPr>
        <w:pStyle w:val="ListParagraph"/>
        <w:numPr>
          <w:ilvl w:val="0"/>
          <w:numId w:val="4"/>
        </w:numPr>
      </w:pPr>
      <w:r>
        <w:rPr>
          <w:rFonts w:ascii="Figtree" w:hAnsi="Figtree"/>
          <w:b/>
          <w:i w:val="0"/>
          <w:sz w:val="22"/>
        </w:rPr>
        <w:t>OCBC Bank</w:t>
      </w:r>
      <w:r>
        <w:rPr>
          <w:rFonts w:ascii="Figtree" w:hAnsi="Figtree"/>
          <w:b w:val="0"/>
          <w:i w:val="0"/>
          <w:sz w:val="22"/>
        </w:rPr>
        <w:t xml:space="preserve"> (Singapore): Security token engine for HNWI/HENRY investment products</w:t>
      </w:r>
    </w:p>
    <w:p>
      <w:pPr>
        <w:pStyle w:val="ListParagraph"/>
        <w:numPr>
          <w:ilvl w:val="0"/>
          <w:numId w:val="4"/>
        </w:numPr>
      </w:pPr>
      <w:r>
        <w:rPr>
          <w:rFonts w:ascii="Figtree" w:hAnsi="Figtree"/>
          <w:b/>
          <w:i w:val="0"/>
          <w:sz w:val="22"/>
        </w:rPr>
        <w:t>Standard Chartered Bank</w:t>
      </w:r>
      <w:r>
        <w:rPr>
          <w:rFonts w:ascii="Figtree" w:hAnsi="Figtree"/>
          <w:b w:val="0"/>
          <w:i w:val="0"/>
          <w:sz w:val="22"/>
        </w:rPr>
        <w:t>: Digital Virtual Exchange for fractional securities tokenization across Asia, Africa, and Middle East</w:t>
      </w:r>
    </w:p>
    <w:p>
      <w:pPr>
        <w:pStyle w:val="ListParagraph"/>
        <w:numPr>
          <w:ilvl w:val="0"/>
          <w:numId w:val="4"/>
        </w:numPr>
      </w:pPr>
      <w:r>
        <w:rPr>
          <w:rFonts w:ascii="Figtree" w:hAnsi="Figtree"/>
          <w:b/>
          <w:i w:val="0"/>
          <w:sz w:val="22"/>
        </w:rPr>
        <w:t>Maybank</w:t>
      </w:r>
      <w:r>
        <w:rPr>
          <w:rFonts w:ascii="Figtree" w:hAnsi="Figtree"/>
          <w:b w:val="0"/>
          <w:i w:val="0"/>
          <w:sz w:val="22"/>
        </w:rPr>
        <w:t xml:space="preserve"> (Malaysia): Project Photon — FX tokenization with atomic XvP settlement</w:t>
      </w:r>
    </w:p>
    <w:p>
      <w:pPr>
        <w:pStyle w:val="ListParagraph"/>
        <w:numPr>
          <w:ilvl w:val="0"/>
          <w:numId w:val="4"/>
        </w:numPr>
      </w:pPr>
      <w:r>
        <w:rPr>
          <w:rFonts w:ascii="Figtree" w:hAnsi="Figtree"/>
          <w:b/>
          <w:i w:val="0"/>
          <w:sz w:val="22"/>
        </w:rPr>
        <w:t>ADI Finstreet</w:t>
      </w:r>
      <w:r>
        <w:rPr>
          <w:rFonts w:ascii="Figtree" w:hAnsi="Figtree"/>
          <w:b w:val="0"/>
          <w:i w:val="0"/>
          <w:sz w:val="22"/>
        </w:rPr>
        <w:t xml:space="preserve"> (Abu Dhabi): Tokenized equity on regulated mainnet with corporate actions</w:t>
      </w:r>
    </w:p>
    <w:p>
      <w:pPr>
        <w:pStyle w:val="ListParagraph"/>
        <w:numPr>
          <w:ilvl w:val="0"/>
          <w:numId w:val="4"/>
        </w:numPr>
      </w:pPr>
      <w:r>
        <w:rPr>
          <w:rFonts w:ascii="Figtree" w:hAnsi="Figtree"/>
          <w:b/>
          <w:i w:val="0"/>
          <w:sz w:val="22"/>
        </w:rPr>
        <w:t>Commerzbank</w:t>
      </w:r>
      <w:r>
        <w:rPr>
          <w:rFonts w:ascii="Figtree" w:hAnsi="Figtree"/>
          <w:b w:val="0"/>
          <w:i w:val="0"/>
          <w:sz w:val="22"/>
        </w:rPr>
        <w:t xml:space="preserve"> (Germany): Hybrid on/off-chain ETP issuance with Boerse Stuttgart listing</w:t>
      </w:r>
    </w:p>
    <w:p>
      <w:pPr>
        <w:pStyle w:val="ListParagraph"/>
        <w:numPr>
          <w:ilvl w:val="0"/>
          <w:numId w:val="4"/>
        </w:numPr>
      </w:pPr>
      <w:r>
        <w:rPr>
          <w:rFonts w:ascii="Figtree" w:hAnsi="Figtree"/>
          <w:b/>
          <w:i w:val="0"/>
          <w:sz w:val="22"/>
        </w:rPr>
        <w:t>Saudi Real Estate Registry</w:t>
      </w:r>
      <w:r>
        <w:rPr>
          <w:rFonts w:ascii="Figtree" w:hAnsi="Figtree"/>
          <w:b w:val="0"/>
          <w:i w:val="0"/>
          <w:sz w:val="22"/>
        </w:rPr>
        <w:t>: Country-scale blockchain infrastructure for property registration and fractionalization</w:t>
      </w:r>
    </w:p>
    <w:p>
      <w:pPr>
        <w:pStyle w:val="H2"/>
        <w:numPr>
          <w:ilvl w:val="1"/>
          <w:numId w:val="1"/>
        </w:numPr>
      </w:pPr>
      <w:r>
        <w:t>Regulatory Readiness</w:t>
      </w:r>
    </w:p>
    <w:p>
      <w:r>
        <w:rPr>
          <w:rFonts w:ascii="Figtree" w:hAnsi="Figtree"/>
          <w:b w:val="0"/>
          <w:i w:val="0"/>
          <w:sz w:val="22"/>
        </w:rPr>
        <w:t>DALP is built for regulated environments from day one. The platform supports compliance frameworks across multiple jurisdictions:</w:t>
      </w:r>
    </w:p>
    <w:p>
      <w:pPr>
        <w:pStyle w:val="ListParagraph"/>
        <w:numPr>
          <w:ilvl w:val="0"/>
          <w:numId w:val="4"/>
        </w:numPr>
      </w:pPr>
      <w:r>
        <w:rPr>
          <w:rFonts w:ascii="Figtree" w:hAnsi="Figtree"/>
          <w:b/>
          <w:i w:val="0"/>
          <w:sz w:val="22"/>
        </w:rPr>
        <w:t>European Union</w:t>
      </w:r>
      <w:r>
        <w:rPr>
          <w:rFonts w:ascii="Figtree" w:hAnsi="Figtree"/>
          <w:b w:val="0"/>
          <w:i w:val="0"/>
          <w:sz w:val="22"/>
        </w:rPr>
        <w:t>: MiCA compliance modules</w:t>
      </w:r>
    </w:p>
    <w:p>
      <w:pPr>
        <w:pStyle w:val="ListParagraph"/>
        <w:numPr>
          <w:ilvl w:val="0"/>
          <w:numId w:val="4"/>
        </w:numPr>
      </w:pPr>
      <w:r>
        <w:rPr>
          <w:rFonts w:ascii="Figtree" w:hAnsi="Figtree"/>
          <w:b/>
          <w:i w:val="0"/>
          <w:sz w:val="22"/>
        </w:rPr>
        <w:t>Singapore</w:t>
      </w:r>
      <w:r>
        <w:rPr>
          <w:rFonts w:ascii="Figtree" w:hAnsi="Figtree"/>
          <w:b w:val="0"/>
          <w:i w:val="0"/>
          <w:sz w:val="22"/>
        </w:rPr>
        <w:t>: MAS framework alignment</w:t>
      </w:r>
    </w:p>
    <w:p>
      <w:pPr>
        <w:pStyle w:val="ListParagraph"/>
        <w:numPr>
          <w:ilvl w:val="0"/>
          <w:numId w:val="4"/>
        </w:numPr>
      </w:pPr>
      <w:r>
        <w:rPr>
          <w:rFonts w:ascii="Figtree" w:hAnsi="Figtree"/>
          <w:b/>
          <w:i w:val="0"/>
          <w:sz w:val="22"/>
        </w:rPr>
        <w:t>United Kingdom</w:t>
      </w:r>
      <w:r>
        <w:rPr>
          <w:rFonts w:ascii="Figtree" w:hAnsi="Figtree"/>
          <w:b w:val="0"/>
          <w:i w:val="0"/>
          <w:sz w:val="22"/>
        </w:rPr>
        <w:t>: FCA requirements</w:t>
      </w:r>
    </w:p>
    <w:p>
      <w:pPr>
        <w:pStyle w:val="ListParagraph"/>
        <w:numPr>
          <w:ilvl w:val="0"/>
          <w:numId w:val="4"/>
        </w:numPr>
      </w:pPr>
      <w:r>
        <w:rPr>
          <w:rFonts w:ascii="Figtree" w:hAnsi="Figtree"/>
          <w:b/>
          <w:i w:val="0"/>
          <w:sz w:val="22"/>
        </w:rPr>
        <w:t>Japan</w:t>
      </w:r>
      <w:r>
        <w:rPr>
          <w:rFonts w:ascii="Figtree" w:hAnsi="Figtree"/>
          <w:b w:val="0"/>
          <w:i w:val="0"/>
          <w:sz w:val="22"/>
        </w:rPr>
        <w:t>: FSA compliance (Sony Bank reference)</w:t>
      </w:r>
    </w:p>
    <w:p>
      <w:pPr>
        <w:pStyle w:val="ListParagraph"/>
        <w:numPr>
          <w:ilvl w:val="0"/>
          <w:numId w:val="4"/>
        </w:numPr>
      </w:pPr>
      <w:r>
        <w:rPr>
          <w:rFonts w:ascii="Figtree" w:hAnsi="Figtree"/>
          <w:b/>
          <w:i w:val="0"/>
          <w:sz w:val="22"/>
        </w:rPr>
        <w:t>Gulf Cooperation Council</w:t>
      </w:r>
      <w:r>
        <w:rPr>
          <w:rFonts w:ascii="Figtree" w:hAnsi="Figtree"/>
          <w:b w:val="0"/>
          <w:i w:val="0"/>
          <w:sz w:val="22"/>
        </w:rPr>
        <w:t>: Regional regulatory frameworks including Islamic finance compatibility</w:t>
      </w:r>
    </w:p>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 the model SEC Thailand and Bank of Thailand would expect from a regulated tokenized securities platform.</w:t>
      </w:r>
    </w:p>
    <w:p>
      <w:r>
        <w:br w:type="page"/>
      </w:r>
    </w:p>
    <w:p>
      <w:pPr>
        <w:pStyle w:val="H1"/>
        <w:numPr>
          <w:ilvl w:val="0"/>
          <w:numId w:val="1"/>
        </w:numPr>
      </w:pPr>
      <w:r>
        <w:t>3. About DALP — Digital Asset Lifecycle Platform</w:t>
      </w:r>
    </w:p>
    <w:p>
      <w:r>
        <w:rPr>
          <w:rFonts w:ascii="Figtree" w:hAnsi="Figtree"/>
          <w:b w:val="0"/>
          <w:i w:val="0"/>
          <w:sz w:val="22"/>
        </w:rPr>
        <w:t>DALP is SettleMint's production-grade platform for designing, launching, and operating tokenized assets across financial instruments and real-world assets. It provides production-ready infrastructure from day one, so institutions can launch digital assets without building blockchain expertise internally, without lengthy development cycles, and without navigating the complexity of assembling production-grade infrastructure from scratch.</w:t>
      </w:r>
    </w:p>
    <w:p>
      <w:pPr>
        <w:pStyle w:val="H2"/>
        <w:numPr>
          <w:ilvl w:val="1"/>
          <w:numId w:val="1"/>
        </w:numPr>
      </w:pPr>
      <w:r>
        <w:t>Core Lifecycle Capabilities</w:t>
      </w:r>
    </w:p>
    <w:p>
      <w:pPr>
        <w:pStyle w:val="H3"/>
        <w:numPr>
          <w:ilvl w:val="2"/>
          <w:numId w:val="1"/>
        </w:numPr>
      </w:pPr>
      <w:r>
        <w:t>Issuance</w:t>
      </w:r>
    </w:p>
    <w:p>
      <w:r>
        <w:rPr>
          <w:rFonts w:ascii="Figtree" w:hAnsi="Figtree"/>
          <w:b w:val="0"/>
          <w:i w:val="0"/>
          <w:sz w:val="22"/>
        </w:rPr>
        <w:t>DALP supports rapid deployment of tokenized securities across multiple asset classes — bonds, equities, funds, and configurable tokens for novel instruments. Each asset class includes purpose-built lifecycle logic:</w:t>
      </w:r>
    </w:p>
    <w:p>
      <w:pPr>
        <w:pStyle w:val="ListParagraph"/>
        <w:numPr>
          <w:ilvl w:val="0"/>
          <w:numId w:val="4"/>
        </w:numPr>
      </w:pPr>
      <w:r>
        <w:rPr>
          <w:rFonts w:ascii="Figtree" w:hAnsi="Figtree"/>
          <w:b w:val="0"/>
          <w:i w:val="0"/>
          <w:sz w:val="22"/>
        </w:rPr>
        <w:t>Configurable business rules, compliance controls, and term structures</w:t>
      </w:r>
    </w:p>
    <w:p>
      <w:pPr>
        <w:pStyle w:val="ListParagraph"/>
        <w:numPr>
          <w:ilvl w:val="0"/>
          <w:numId w:val="4"/>
        </w:numPr>
      </w:pPr>
      <w:r>
        <w:rPr>
          <w:rFonts w:ascii="Figtree" w:hAnsi="Figtree"/>
          <w:b w:val="0"/>
          <w:i w:val="0"/>
          <w:sz w:val="22"/>
        </w:rPr>
        <w:t>Deterministic issuance orchestration with asset-specific validation</w:t>
      </w:r>
    </w:p>
    <w:p>
      <w:pPr>
        <w:pStyle w:val="ListParagraph"/>
        <w:numPr>
          <w:ilvl w:val="0"/>
          <w:numId w:val="4"/>
        </w:numPr>
      </w:pPr>
      <w:r>
        <w:rPr>
          <w:rFonts w:ascii="Figtree" w:hAnsi="Figtree"/>
          <w:b w:val="0"/>
          <w:i w:val="0"/>
          <w:sz w:val="22"/>
        </w:rPr>
        <w:t>Paused-by-default behaviour with explicit unpause control for governance</w:t>
      </w:r>
    </w:p>
    <w:p>
      <w:pPr>
        <w:pStyle w:val="ListParagraph"/>
        <w:numPr>
          <w:ilvl w:val="0"/>
          <w:numId w:val="4"/>
        </w:numPr>
      </w:pPr>
      <w:r>
        <w:rPr>
          <w:rFonts w:ascii="Figtree" w:hAnsi="Figtree"/>
          <w:b w:val="0"/>
          <w:i w:val="0"/>
          <w:sz w:val="22"/>
        </w:rPr>
        <w:t>Role-based permission bootstrapping for institutional control</w:t>
      </w:r>
    </w:p>
    <w:p>
      <w:pPr>
        <w:pStyle w:val="H3"/>
        <w:numPr>
          <w:ilvl w:val="2"/>
          <w:numId w:val="1"/>
        </w:numPr>
      </w:pPr>
      <w:r>
        <w:t>Compliance</w:t>
      </w:r>
    </w:p>
    <w:p>
      <w:r>
        <w:rPr>
          <w:rFonts w:ascii="Figtree" w:hAnsi="Figtree"/>
          <w:b w:val="0"/>
          <w:i w:val="0"/>
          <w:sz w:val="22"/>
        </w:rPr>
        <w:t>Ex-ante enforcement ensures every transfer is validated before execution. DALP's compliance architecture includes:</w:t>
      </w:r>
    </w:p>
    <w:p>
      <w:pPr>
        <w:pStyle w:val="ListParagraph"/>
        <w:numPr>
          <w:ilvl w:val="0"/>
          <w:numId w:val="4"/>
        </w:numPr>
      </w:pPr>
      <w:r>
        <w:rPr>
          <w:rFonts w:ascii="Figtree" w:hAnsi="Figtree"/>
          <w:b/>
          <w:i w:val="0"/>
          <w:sz w:val="22"/>
        </w:rPr>
        <w:t>18 compliance module types</w:t>
      </w:r>
      <w:r>
        <w:rPr>
          <w:rFonts w:ascii="Figtree" w:hAnsi="Figtree"/>
          <w:b w:val="0"/>
          <w:i w:val="0"/>
          <w:sz w:val="22"/>
        </w:rPr>
        <w:t xml:space="preserve"> covering country restrictions, investor accreditation, supply limits, holding periods, transfer controls, and more</w:t>
      </w:r>
    </w:p>
    <w:p>
      <w:pPr>
        <w:pStyle w:val="ListParagraph"/>
        <w:numPr>
          <w:ilvl w:val="0"/>
          <w:numId w:val="4"/>
        </w:numPr>
      </w:pPr>
      <w:r>
        <w:rPr>
          <w:rFonts w:ascii="Figtree" w:hAnsi="Figtree"/>
          <w:b/>
          <w:i w:val="0"/>
          <w:sz w:val="22"/>
        </w:rPr>
        <w:t>Multi-jurisdictional support</w:t>
      </w:r>
      <w:r>
        <w:rPr>
          <w:rFonts w:ascii="Figtree" w:hAnsi="Figtree"/>
          <w:b w:val="0"/>
          <w:i w:val="0"/>
          <w:sz w:val="22"/>
        </w:rPr>
        <w:t xml:space="preserve"> modelling requirements across MiCA, MAS, FCA, FSA, and GCC frameworks</w:t>
      </w:r>
    </w:p>
    <w:p>
      <w:pPr>
        <w:pStyle w:val="ListParagraph"/>
        <w:numPr>
          <w:ilvl w:val="0"/>
          <w:numId w:val="4"/>
        </w:numPr>
      </w:pPr>
      <w:r>
        <w:rPr>
          <w:rFonts w:ascii="Figtree" w:hAnsi="Figtree"/>
          <w:b/>
          <w:i w:val="0"/>
          <w:sz w:val="22"/>
        </w:rPr>
        <w:t>ERC-3643 (T-REX) standard</w:t>
      </w:r>
      <w:r>
        <w:rPr>
          <w:rFonts w:ascii="Figtree" w:hAnsi="Figtree"/>
          <w:b w:val="0"/>
          <w:i w:val="0"/>
          <w:sz w:val="22"/>
        </w:rPr>
        <w:t xml:space="preserve"> — the open standard DALP implements for regulated tokens</w:t>
      </w:r>
    </w:p>
    <w:p>
      <w:pPr>
        <w:pStyle w:val="ListParagraph"/>
        <w:numPr>
          <w:ilvl w:val="0"/>
          <w:numId w:val="4"/>
        </w:numPr>
      </w:pPr>
      <w:r>
        <w:rPr>
          <w:rFonts w:ascii="Figtree" w:hAnsi="Figtree"/>
          <w:b/>
          <w:i w:val="0"/>
          <w:sz w:val="22"/>
        </w:rPr>
        <w:t>OnchainID</w:t>
      </w:r>
      <w:r>
        <w:rPr>
          <w:rFonts w:ascii="Figtree" w:hAnsi="Figtree"/>
          <w:b w:val="0"/>
          <w:i w:val="0"/>
          <w:sz w:val="22"/>
        </w:rPr>
        <w:t xml:space="preserve"> for verifiable on-chain investor identities with claim-based verification</w:t>
      </w:r>
    </w:p>
    <w:p>
      <w:pPr>
        <w:pStyle w:val="H3"/>
        <w:numPr>
          <w:ilvl w:val="2"/>
          <w:numId w:val="1"/>
        </w:numPr>
      </w:pPr>
      <w:r>
        <w:t>Custody</w:t>
      </w:r>
    </w:p>
    <w:p>
      <w:r>
        <w:rPr>
          <w:rFonts w:ascii="Figtree" w:hAnsi="Figtree"/>
          <w:b w:val="0"/>
          <w:i w:val="0"/>
          <w:sz w:val="22"/>
        </w:rPr>
        <w:t>Enterprise-grade key management with bring-your-own-custodian integrations:</w:t>
      </w:r>
    </w:p>
    <w:p>
      <w:pPr>
        <w:pStyle w:val="ListParagraph"/>
        <w:numPr>
          <w:ilvl w:val="0"/>
          <w:numId w:val="4"/>
        </w:numPr>
      </w:pPr>
      <w:r>
        <w:rPr>
          <w:rFonts w:ascii="Figtree" w:hAnsi="Figtree"/>
          <w:b/>
          <w:i w:val="0"/>
          <w:sz w:val="22"/>
        </w:rPr>
        <w:t>Key Guardian</w:t>
      </w:r>
      <w:r>
        <w:rPr>
          <w:rFonts w:ascii="Figtree" w:hAnsi="Figtree"/>
          <w:b w:val="0"/>
          <w:i w:val="0"/>
          <w:sz w:val="22"/>
        </w:rPr>
        <w:t xml:space="preserve"> supporting encrypted database, cloud secret manager, HSM, and third-party custody (Fireblocks, DFNS)</w:t>
      </w:r>
    </w:p>
    <w:p>
      <w:pPr>
        <w:pStyle w:val="ListParagraph"/>
        <w:numPr>
          <w:ilvl w:val="0"/>
          <w:numId w:val="4"/>
        </w:numPr>
      </w:pPr>
      <w:r>
        <w:rPr>
          <w:rFonts w:ascii="Figtree" w:hAnsi="Figtree"/>
          <w:b w:val="0"/>
          <w:i w:val="0"/>
          <w:sz w:val="22"/>
        </w:rPr>
        <w:t>Maker-checker approval workflows with configurable multi-signature quorum</w:t>
      </w:r>
    </w:p>
    <w:p>
      <w:pPr>
        <w:pStyle w:val="ListParagraph"/>
        <w:numPr>
          <w:ilvl w:val="0"/>
          <w:numId w:val="4"/>
        </w:numPr>
      </w:pPr>
      <w:r>
        <w:rPr>
          <w:rFonts w:ascii="Figtree" w:hAnsi="Figtree"/>
          <w:b w:val="0"/>
          <w:i w:val="0"/>
          <w:sz w:val="22"/>
        </w:rPr>
        <w:t>Role-based access control with 5 defined roles</w:t>
      </w:r>
    </w:p>
    <w:p>
      <w:pPr>
        <w:pStyle w:val="ListParagraph"/>
        <w:numPr>
          <w:ilvl w:val="0"/>
          <w:numId w:val="4"/>
        </w:numPr>
      </w:pPr>
      <w:r>
        <w:rPr>
          <w:rFonts w:ascii="Figtree" w:hAnsi="Figtree"/>
          <w:b w:val="0"/>
          <w:i w:val="0"/>
          <w:sz w:val="22"/>
        </w:rPr>
        <w:t>Emergency pause capability and formal recovery procedures</w:t>
      </w:r>
    </w:p>
    <w:p>
      <w:pPr>
        <w:pStyle w:val="H3"/>
        <w:numPr>
          <w:ilvl w:val="2"/>
          <w:numId w:val="1"/>
        </w:numPr>
      </w:pPr>
      <w:r>
        <w:t>Settlement</w:t>
      </w:r>
    </w:p>
    <w:p>
      <w:r>
        <w:rPr>
          <w:rFonts w:ascii="Figtree" w:hAnsi="Figtree"/>
          <w:b w:val="0"/>
          <w:i w:val="0"/>
          <w:sz w:val="22"/>
        </w:rPr>
        <w:t>Atomic Delivery-versus-Payment (DvP) and Exchange-versus-Payment (XvP):</w:t>
      </w:r>
    </w:p>
    <w:p>
      <w:pPr>
        <w:pStyle w:val="ListParagraph"/>
        <w:numPr>
          <w:ilvl w:val="0"/>
          <w:numId w:val="4"/>
        </w:numPr>
      </w:pPr>
      <w:r>
        <w:rPr>
          <w:rFonts w:ascii="Figtree" w:hAnsi="Figtree"/>
          <w:b w:val="0"/>
          <w:i w:val="0"/>
          <w:sz w:val="22"/>
        </w:rPr>
        <w:t>Both asset and cash legs complete together or revert together</w:t>
      </w:r>
    </w:p>
    <w:p>
      <w:pPr>
        <w:pStyle w:val="ListParagraph"/>
        <w:numPr>
          <w:ilvl w:val="0"/>
          <w:numId w:val="4"/>
        </w:numPr>
      </w:pPr>
      <w:r>
        <w:rPr>
          <w:rFonts w:ascii="Figtree" w:hAnsi="Figtree"/>
          <w:b w:val="0"/>
          <w:i w:val="0"/>
          <w:sz w:val="22"/>
        </w:rPr>
        <w:t>Local (same-chain) and HTLC (cross-chain) settlement models</w:t>
      </w:r>
    </w:p>
    <w:p>
      <w:pPr>
        <w:pStyle w:val="ListParagraph"/>
        <w:numPr>
          <w:ilvl w:val="0"/>
          <w:numId w:val="4"/>
        </w:numPr>
      </w:pPr>
      <w:r>
        <w:rPr>
          <w:rFonts w:ascii="Figtree" w:hAnsi="Figtree"/>
          <w:b w:val="0"/>
          <w:i w:val="0"/>
          <w:sz w:val="22"/>
        </w:rPr>
        <w:t>ISO 20022 integration for SWIFT, SEPA, and RTGS connectivity</w:t>
      </w:r>
    </w:p>
    <w:p>
      <w:pPr>
        <w:pStyle w:val="H3"/>
        <w:numPr>
          <w:ilvl w:val="2"/>
          <w:numId w:val="1"/>
        </w:numPr>
      </w:pPr>
      <w:r>
        <w:t>Servicing</w:t>
      </w:r>
    </w:p>
    <w:p>
      <w:r>
        <w:rPr>
          <w:rFonts w:ascii="Figtree" w:hAnsi="Figtree"/>
          <w:b w:val="0"/>
          <w:i w:val="0"/>
          <w:sz w:val="22"/>
        </w:rPr>
        <w:t>Automated lifecycle operations — coupon payments, dividend processing, redemptions, maturity handling — executed programmatically across every asset type.</w:t>
      </w:r>
    </w:p>
    <w:p>
      <w:pPr>
        <w:pStyle w:val="H2"/>
        <w:numPr>
          <w:ilvl w:val="1"/>
          <w:numId w:val="1"/>
        </w:numPr>
      </w:pPr>
      <w:r>
        <w:t>Platform Foundations</w:t>
      </w:r>
    </w:p>
    <w:p>
      <w:r>
        <w:rPr>
          <w:rFonts w:ascii="Figtree" w:hAnsi="Figtree"/>
          <w:b/>
          <w:i w:val="0"/>
          <w:sz w:val="22"/>
        </w:rPr>
        <w:t>Identity and Access Management</w:t>
      </w:r>
      <w:r>
        <w:rPr>
          <w:rFonts w:ascii="Figtree" w:hAnsi="Figtree"/>
          <w:b w:val="0"/>
          <w:i w:val="0"/>
          <w:sz w:val="22"/>
        </w:rPr>
        <w:t>: Unified identity layer with OnchainID, RBAC, KYC/KYB profile management, and wallet verification with multi-factor authentication.</w:t>
      </w:r>
    </w:p>
    <w:p>
      <w:r>
        <w:rPr>
          <w:rFonts w:ascii="Figtree" w:hAnsi="Figtree"/>
          <w:b/>
          <w:i w:val="0"/>
          <w:sz w:val="22"/>
        </w:rPr>
        <w:t>Integration</w:t>
      </w:r>
      <w:r>
        <w:rPr>
          <w:rFonts w:ascii="Figtree" w:hAnsi="Figtree"/>
          <w:b w:val="0"/>
          <w:i w:val="0"/>
          <w:sz w:val="22"/>
        </w:rPr>
        <w:t>: REST APIs, GraphQL, event webhooks, typed SDK, CLI with 301 commands, and payment rail connectivity supporting ISO 20022 standards.</w:t>
      </w:r>
    </w:p>
    <w:p>
      <w:r>
        <w:rPr>
          <w:rFonts w:ascii="Figtree" w:hAnsi="Figtree"/>
          <w:b/>
          <w:i w:val="0"/>
          <w:sz w:val="22"/>
        </w:rPr>
        <w:t>Observability</w:t>
      </w:r>
      <w:r>
        <w:rPr>
          <w:rFonts w:ascii="Figtree" w:hAnsi="Figtree"/>
          <w:b w:val="0"/>
          <w:i w:val="0"/>
          <w:sz w:val="22"/>
        </w:rPr>
        <w:t>: Pre-built Grafana dashboards, three-pillar observability (metrics, logs, traces), automated alerting with Slack integration, and 534 structured error codes.</w:t>
      </w:r>
    </w:p>
    <w:p>
      <w:r>
        <w:br w:type="page"/>
      </w:r>
    </w:p>
    <w:p>
      <w:pPr>
        <w:pStyle w:val="H1"/>
        <w:numPr>
          <w:ilvl w:val="0"/>
          <w:numId w:val="1"/>
        </w:numPr>
      </w:pPr>
      <w:r>
        <w:t>4. 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63"/>
        <w:gridCol w:w="2964"/>
        <w:gridCol w:w="1482"/>
        <w:gridCol w:w="32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SET</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for HNWI products</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Regulated bank, tokenized securities, Asian market</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Digital Virtual Exchange for fractional securities</w:t>
            </w:r>
          </w:p>
        </w:tc>
        <w:tc>
          <w:tcPr>
            <w:tcW w:type="dxa" w:w="2436"/>
            <w:vAlign w:val="center"/>
          </w:tcPr>
          <w:p>
            <w:pPr>
              <w:spacing w:line="276" w:lineRule="auto" w:before="0" w:after="0"/>
            </w:pPr>
            <w:r/>
            <w:r>
              <w:rPr>
                <w:rFonts w:ascii="Figtree" w:hAnsi="Figtree"/>
                <w:b w:val="0"/>
                <w:i w:val="0"/>
                <w:sz w:val="20"/>
              </w:rPr>
              <w:t>Asia, Africa, Middle East</w:t>
            </w:r>
          </w:p>
        </w:tc>
        <w:tc>
          <w:tcPr>
            <w:tcW w:type="dxa" w:w="2436"/>
            <w:vAlign w:val="center"/>
          </w:tcPr>
          <w:p>
            <w:pPr>
              <w:spacing w:line="276" w:lineRule="auto" w:before="0" w:after="0"/>
            </w:pPr>
            <w:r/>
            <w:r>
              <w:rPr>
                <w:rFonts w:ascii="Figtree" w:hAnsi="Figtree"/>
                <w:b w:val="0"/>
                <w:i w:val="0"/>
                <w:sz w:val="20"/>
              </w:rPr>
              <w:t>Large-scale institutional trading, multi-jurisdiction</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FX tokenization with XvP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Cross-border settlement, Bank Negara Malaysia alignment</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with corporate actions</w:t>
            </w:r>
          </w:p>
        </w:tc>
        <w:tc>
          <w:tcPr>
            <w:tcW w:type="dxa" w:w="2436"/>
            <w:vAlign w:val="center"/>
          </w:tcPr>
          <w:p>
            <w:pPr>
              <w:spacing w:line="276" w:lineRule="auto" w:before="0" w:after="0"/>
            </w:pPr>
            <w:r/>
            <w:r>
              <w:rPr>
                <w:rFonts w:ascii="Figtree" w:hAnsi="Figtree"/>
                <w:b w:val="0"/>
                <w:i w:val="0"/>
                <w:sz w:val="20"/>
              </w:rPr>
              <w:t>Abu Dhabi</w:t>
            </w:r>
          </w:p>
        </w:tc>
        <w:tc>
          <w:tcPr>
            <w:tcW w:type="dxa" w:w="2436"/>
            <w:vAlign w:val="center"/>
          </w:tcPr>
          <w:p>
            <w:pPr>
              <w:spacing w:line="276" w:lineRule="auto" w:before="0" w:after="0"/>
            </w:pPr>
            <w:r/>
            <w:r>
              <w:rPr>
                <w:rFonts w:ascii="Figtree" w:hAnsi="Figtree"/>
                <w:b w:val="0"/>
                <w:i w:val="0"/>
                <w:sz w:val="20"/>
              </w:rPr>
              <w:t>Regulated market infrastructure, sovereign environment</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ETP issuance and trading</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Exchange-traded products, regulated market</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with digital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Regulated stablecoin, FSA compliance</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real estate tokenization</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Sovereign programme, Vision 2030, registry integration</w:t>
            </w:r>
          </w:p>
        </w:tc>
      </w:tr>
    </w:tbl>
    <w:p>
      <w:pPr>
        <w:spacing w:before="0" w:after="0" w:line="120" w:lineRule="exact"/>
      </w:pPr>
    </w:p>
    <w:p>
      <w:pPr>
        <w:pStyle w:val="H2"/>
        <w:numPr>
          <w:ilvl w:val="1"/>
          <w:numId w:val="1"/>
        </w:numPr>
      </w:pPr>
      <w:r>
        <w:t>Relevance to SET</w:t>
      </w:r>
    </w:p>
    <w:p>
      <w:r>
        <w:rPr>
          <w:rFonts w:ascii="Figtree" w:hAnsi="Figtree"/>
          <w:b w:val="0"/>
          <w:i w:val="0"/>
          <w:sz w:val="22"/>
        </w:rPr>
        <w:t>The references selected for this proposal demonstrate direct relevance to SET's tokenized securities programme:</w:t>
      </w:r>
    </w:p>
    <w:p>
      <w:pPr>
        <w:pStyle w:val="ListParagraph"/>
        <w:numPr>
          <w:ilvl w:val="0"/>
          <w:numId w:val="4"/>
        </w:numPr>
      </w:pPr>
      <w:r>
        <w:rPr>
          <w:rFonts w:ascii="Figtree" w:hAnsi="Figtree"/>
          <w:b/>
          <w:i w:val="0"/>
          <w:sz w:val="22"/>
        </w:rPr>
        <w:t>Asian market credibility</w:t>
      </w:r>
      <w:r>
        <w:rPr>
          <w:rFonts w:ascii="Figtree" w:hAnsi="Figtree"/>
          <w:b w:val="0"/>
          <w:i w:val="0"/>
          <w:sz w:val="22"/>
        </w:rPr>
        <w:t>: OCBC (Singapore), Maybank (Malaysia), and Sony Bank (Japan) demonstrate DALP's operational track record in Asia-Pacific regulated environments.</w:t>
      </w:r>
    </w:p>
    <w:p>
      <w:pPr>
        <w:pStyle w:val="ListParagraph"/>
        <w:numPr>
          <w:ilvl w:val="0"/>
          <w:numId w:val="4"/>
        </w:numPr>
      </w:pPr>
      <w:r>
        <w:rPr>
          <w:rFonts w:ascii="Figtree" w:hAnsi="Figtree"/>
          <w:b/>
          <w:i w:val="0"/>
          <w:sz w:val="22"/>
        </w:rPr>
        <w:t>Market infrastructure experience</w:t>
      </w:r>
      <w:r>
        <w:rPr>
          <w:rFonts w:ascii="Figtree" w:hAnsi="Figtree"/>
          <w:b w:val="0"/>
          <w:i w:val="0"/>
          <w:sz w:val="22"/>
        </w:rPr>
        <w:t>: ADI Finstreet and Commerzbank show capability in regulated exchange and listing contexts.</w:t>
      </w:r>
    </w:p>
    <w:p>
      <w:pPr>
        <w:pStyle w:val="ListParagraph"/>
        <w:numPr>
          <w:ilvl w:val="0"/>
          <w:numId w:val="4"/>
        </w:numPr>
      </w:pPr>
      <w:r>
        <w:rPr>
          <w:rFonts w:ascii="Figtree" w:hAnsi="Figtree"/>
          <w:b/>
          <w:i w:val="0"/>
          <w:sz w:val="22"/>
        </w:rPr>
        <w:t>Sovereign-scale deployment</w:t>
      </w:r>
      <w:r>
        <w:rPr>
          <w:rFonts w:ascii="Figtree" w:hAnsi="Figtree"/>
          <w:b w:val="0"/>
          <w:i w:val="0"/>
          <w:sz w:val="22"/>
        </w:rPr>
        <w:t>: Saudi Real Estate Registry validates DALP's ability to support large-scale, nationally-significant infrastructure programmes.</w:t>
      </w:r>
    </w:p>
    <w:p>
      <w:pPr>
        <w:pStyle w:val="ListParagraph"/>
        <w:numPr>
          <w:ilvl w:val="0"/>
          <w:numId w:val="4"/>
        </w:numPr>
      </w:pPr>
      <w:r>
        <w:rPr>
          <w:rFonts w:ascii="Figtree" w:hAnsi="Figtree"/>
          <w:b/>
          <w:i w:val="0"/>
          <w:sz w:val="22"/>
        </w:rPr>
        <w:t>Cross-border settlement</w:t>
      </w:r>
      <w:r>
        <w:rPr>
          <w:rFonts w:ascii="Figtree" w:hAnsi="Figtree"/>
          <w:b w:val="0"/>
          <w:i w:val="0"/>
          <w:sz w:val="22"/>
        </w:rPr>
        <w:t>: Maybank's XvP implementation demonstrates atomic settlement capability directly applicable to SET's interbank and investor settlement requirements.</w:t>
      </w:r>
    </w:p>
    <w:p>
      <w:r>
        <w:br w:type="page"/>
      </w:r>
    </w:p>
    <w:p>
      <w:pPr>
        <w:pStyle w:val="H1"/>
        <w:numPr>
          <w:ilvl w:val="0"/>
          <w:numId w:val="1"/>
        </w:numPr>
      </w:pPr>
      <w:r>
        <w:t>5. Solution Overview</w:t>
      </w:r>
    </w:p>
    <w:p>
      <w:pPr>
        <w:pStyle w:val="H2"/>
        <w:numPr>
          <w:ilvl w:val="1"/>
          <w:numId w:val="1"/>
        </w:numPr>
      </w:pPr>
      <w:r>
        <w:t>Requirement Themes</w:t>
      </w:r>
    </w:p>
    <w:p>
      <w:r>
        <w:rPr>
          <w:rFonts w:ascii="Figtree" w:hAnsi="Figtree"/>
          <w:b w:val="0"/>
          <w:i w:val="0"/>
          <w:sz w:val="22"/>
        </w:rPr>
        <w:t>Based on our understanding of the RFP, SET's primary evaluative concerns fall into six themes:</w:t>
      </w:r>
    </w:p>
    <w:p>
      <w:pPr>
        <w:pStyle w:val="ListParagraph"/>
        <w:numPr>
          <w:ilvl w:val="0"/>
          <w:numId w:val="6"/>
        </w:numPr>
      </w:pPr>
      <w:r>
        <w:rPr>
          <w:rFonts w:ascii="Figtree" w:hAnsi="Figtree"/>
          <w:b/>
          <w:i w:val="0"/>
          <w:sz w:val="22"/>
        </w:rPr>
        <w:t>Lifecycle completeness</w:t>
      </w:r>
      <w:r>
        <w:rPr>
          <w:rFonts w:ascii="Figtree" w:hAnsi="Figtree"/>
          <w:b w:val="0"/>
          <w:i w:val="0"/>
          <w:sz w:val="22"/>
        </w:rPr>
        <w:t>: End-to-end capability from onboarding through issuance, servicing, transfer, reconciliation, and retirement</w:t>
      </w:r>
    </w:p>
    <w:p>
      <w:pPr>
        <w:pStyle w:val="ListParagraph"/>
        <w:numPr>
          <w:ilvl w:val="0"/>
          <w:numId w:val="6"/>
        </w:numPr>
      </w:pPr>
      <w:r>
        <w:rPr>
          <w:rFonts w:ascii="Figtree" w:hAnsi="Figtree"/>
          <w:b/>
          <w:i w:val="0"/>
          <w:sz w:val="22"/>
        </w:rPr>
        <w:t>Regulatory alignment</w:t>
      </w:r>
      <w:r>
        <w:rPr>
          <w:rFonts w:ascii="Figtree" w:hAnsi="Figtree"/>
          <w:b w:val="0"/>
          <w:i w:val="0"/>
          <w:sz w:val="22"/>
        </w:rPr>
        <w:t>: Clear compliance with SEC Thailand, Bank of Thailand, and PDPA Thailand requirements</w:t>
      </w:r>
    </w:p>
    <w:p>
      <w:pPr>
        <w:pStyle w:val="ListParagraph"/>
        <w:numPr>
          <w:ilvl w:val="0"/>
          <w:numId w:val="6"/>
        </w:numPr>
      </w:pPr>
      <w:r>
        <w:rPr>
          <w:rFonts w:ascii="Figtree" w:hAnsi="Figtree"/>
          <w:b/>
          <w:i w:val="0"/>
          <w:sz w:val="22"/>
        </w:rPr>
        <w:t>Governance and control</w:t>
      </w:r>
      <w:r>
        <w:rPr>
          <w:rFonts w:ascii="Figtree" w:hAnsi="Figtree"/>
          <w:b w:val="0"/>
          <w:i w:val="0"/>
          <w:sz w:val="22"/>
        </w:rPr>
        <w:t>: Maker-checker controls, segregation of duties, audit trails, and board-level accountability</w:t>
      </w:r>
    </w:p>
    <w:p>
      <w:pPr>
        <w:pStyle w:val="ListParagraph"/>
        <w:numPr>
          <w:ilvl w:val="0"/>
          <w:numId w:val="6"/>
        </w:numPr>
      </w:pPr>
      <w:r>
        <w:rPr>
          <w:rFonts w:ascii="Figtree" w:hAnsi="Figtree"/>
          <w:b/>
          <w:i w:val="0"/>
          <w:sz w:val="22"/>
        </w:rPr>
        <w:t>Enterprise integration</w:t>
      </w:r>
      <w:r>
        <w:rPr>
          <w:rFonts w:ascii="Figtree" w:hAnsi="Figtree"/>
          <w:b w:val="0"/>
          <w:i w:val="0"/>
          <w:sz w:val="22"/>
        </w:rPr>
        <w:t>: Seamless connectivity to existing core systems, payment rails, and reporting infrastructure</w:t>
      </w:r>
    </w:p>
    <w:p>
      <w:pPr>
        <w:pStyle w:val="ListParagraph"/>
        <w:numPr>
          <w:ilvl w:val="0"/>
          <w:numId w:val="6"/>
        </w:numPr>
      </w:pPr>
      <w:r>
        <w:rPr>
          <w:rFonts w:ascii="Figtree" w:hAnsi="Figtree"/>
          <w:b/>
          <w:i w:val="0"/>
          <w:sz w:val="22"/>
        </w:rPr>
        <w:t>Operational resilience</w:t>
      </w:r>
      <w:r>
        <w:rPr>
          <w:rFonts w:ascii="Figtree" w:hAnsi="Figtree"/>
          <w:b w:val="0"/>
          <w:i w:val="0"/>
          <w:sz w:val="22"/>
        </w:rPr>
        <w:t>: Production-grade reliability, DR capability, and operational tooling for first-line, second-line, and third-line functions</w:t>
      </w:r>
    </w:p>
    <w:p>
      <w:pPr>
        <w:pStyle w:val="ListParagraph"/>
        <w:numPr>
          <w:ilvl w:val="0"/>
          <w:numId w:val="6"/>
        </w:numPr>
      </w:pPr>
      <w:r>
        <w:rPr>
          <w:rFonts w:ascii="Figtree" w:hAnsi="Figtree"/>
          <w:b/>
          <w:i w:val="0"/>
          <w:sz w:val="22"/>
        </w:rPr>
        <w:t>Scalability</w:t>
      </w:r>
      <w:r>
        <w:rPr>
          <w:rFonts w:ascii="Figtree" w:hAnsi="Figtree"/>
          <w:b w:val="0"/>
          <w:i w:val="0"/>
          <w:sz w:val="22"/>
        </w:rPr>
        <w:t>: Architecture that supports phased expansion across products, entities, and jurisdictions without re-platforming</w:t>
      </w:r>
    </w:p>
    <w:p>
      <w:pPr>
        <w:pStyle w:val="H2"/>
        <w:numPr>
          <w:ilvl w:val="1"/>
          <w:numId w:val="1"/>
        </w:numPr>
      </w:pPr>
      <w:r>
        <w:t>Proposed Operating Model</w:t>
      </w:r>
    </w:p>
    <w:p>
      <w:pPr>
        <w:pStyle w:val="H3"/>
        <w:numPr>
          <w:ilvl w:val="2"/>
          <w:numId w:val="1"/>
        </w:numPr>
      </w:pPr>
      <w:r>
        <w:t>Actors</w:t>
      </w:r>
    </w:p>
    <w:p>
      <w:pPr>
        <w:pStyle w:val="ListParagraph"/>
        <w:numPr>
          <w:ilvl w:val="0"/>
          <w:numId w:val="4"/>
        </w:numPr>
      </w:pPr>
      <w:r>
        <w:rPr>
          <w:rFonts w:ascii="Figtree" w:hAnsi="Figtree"/>
          <w:b/>
          <w:i w:val="0"/>
          <w:sz w:val="22"/>
        </w:rPr>
        <w:t>Issuers</w:t>
      </w:r>
      <w:r>
        <w:rPr>
          <w:rFonts w:ascii="Figtree" w:hAnsi="Figtree"/>
          <w:b w:val="0"/>
          <w:i w:val="0"/>
          <w:sz w:val="22"/>
        </w:rPr>
        <w:t>: Create and manage tokenized securities, define compliance rules, initiate corporate actions</w:t>
      </w:r>
    </w:p>
    <w:p>
      <w:pPr>
        <w:pStyle w:val="ListParagraph"/>
        <w:numPr>
          <w:ilvl w:val="0"/>
          <w:numId w:val="4"/>
        </w:numPr>
      </w:pPr>
      <w:r>
        <w:rPr>
          <w:rFonts w:ascii="Figtree" w:hAnsi="Figtree"/>
          <w:b/>
          <w:i w:val="0"/>
          <w:sz w:val="22"/>
        </w:rPr>
        <w:t>Investors</w:t>
      </w:r>
      <w:r>
        <w:rPr>
          <w:rFonts w:ascii="Figtree" w:hAnsi="Figtree"/>
          <w:b w:val="0"/>
          <w:i w:val="0"/>
          <w:sz w:val="22"/>
        </w:rPr>
        <w:t>: Complete KYC/KYB, hold wallets, submit transfer requests, view positions</w:t>
      </w:r>
    </w:p>
    <w:p>
      <w:pPr>
        <w:pStyle w:val="ListParagraph"/>
        <w:numPr>
          <w:ilvl w:val="0"/>
          <w:numId w:val="4"/>
        </w:numPr>
      </w:pPr>
      <w:r>
        <w:rPr>
          <w:rFonts w:ascii="Figtree" w:hAnsi="Figtree"/>
          <w:b/>
          <w:i w:val="0"/>
          <w:sz w:val="22"/>
        </w:rPr>
        <w:t>Custodians</w:t>
      </w:r>
      <w:r>
        <w:rPr>
          <w:rFonts w:ascii="Figtree" w:hAnsi="Figtree"/>
          <w:b w:val="0"/>
          <w:i w:val="0"/>
          <w:sz w:val="22"/>
        </w:rPr>
        <w:t>: Hold private keys, execute transfer instructions, provide settlement confirmation</w:t>
      </w:r>
    </w:p>
    <w:p>
      <w:pPr>
        <w:pStyle w:val="ListParagraph"/>
        <w:numPr>
          <w:ilvl w:val="0"/>
          <w:numId w:val="4"/>
        </w:numPr>
      </w:pPr>
      <w:r>
        <w:rPr>
          <w:rFonts w:ascii="Figtree" w:hAnsi="Figtree"/>
          <w:b/>
          <w:i w:val="0"/>
          <w:sz w:val="22"/>
        </w:rPr>
        <w:t>SET Operations</w:t>
      </w:r>
      <w:r>
        <w:rPr>
          <w:rFonts w:ascii="Figtree" w:hAnsi="Figtree"/>
          <w:b w:val="0"/>
          <w:i w:val="0"/>
          <w:sz w:val="22"/>
        </w:rPr>
        <w:t>: Monitor transactions, manage exceptions, produce regulatory reports</w:t>
      </w:r>
    </w:p>
    <w:p>
      <w:pPr>
        <w:pStyle w:val="ListParagraph"/>
        <w:numPr>
          <w:ilvl w:val="0"/>
          <w:numId w:val="4"/>
        </w:numPr>
      </w:pPr>
      <w:r>
        <w:rPr>
          <w:rFonts w:ascii="Figtree" w:hAnsi="Figtree"/>
          <w:b/>
          <w:i w:val="0"/>
          <w:sz w:val="22"/>
        </w:rPr>
        <w:t>Compliance Officers</w:t>
      </w:r>
      <w:r>
        <w:rPr>
          <w:rFonts w:ascii="Figtree" w:hAnsi="Figtree"/>
          <w:b w:val="0"/>
          <w:i w:val="0"/>
          <w:sz w:val="22"/>
        </w:rPr>
        <w:t>: Review alerts, approve exceptions, configure compliance policies</w:t>
      </w:r>
    </w:p>
    <w:p>
      <w:pPr>
        <w:pStyle w:val="ListParagraph"/>
        <w:numPr>
          <w:ilvl w:val="0"/>
          <w:numId w:val="4"/>
        </w:numPr>
      </w:pPr>
      <w:r>
        <w:rPr>
          <w:rFonts w:ascii="Figtree" w:hAnsi="Figtree"/>
          <w:b/>
          <w:i w:val="0"/>
          <w:sz w:val="22"/>
        </w:rPr>
        <w:t>Auditors</w:t>
      </w:r>
      <w:r>
        <w:rPr>
          <w:rFonts w:ascii="Figtree" w:hAnsi="Figtree"/>
          <w:b w:val="0"/>
          <w:i w:val="0"/>
          <w:sz w:val="22"/>
        </w:rPr>
        <w:t>: Access immutable audit trails, export evidence packs, verify controls</w:t>
      </w:r>
    </w:p>
    <w:p>
      <w:pPr>
        <w:pStyle w:val="H3"/>
        <w:numPr>
          <w:ilvl w:val="2"/>
          <w:numId w:val="1"/>
        </w:numPr>
      </w:pPr>
      <w:r>
        <w:t>Scope Boundary</w:t>
      </w:r>
    </w:p>
    <w:p>
      <w:r>
        <w:rPr>
          <w:rFonts w:ascii="Figtree" w:hAnsi="Figtree"/>
          <w:b w:val="0"/>
          <w:i w:val="0"/>
          <w:sz w:val="22"/>
        </w:rPr>
        <w:t>DALP manages the full tokenized securities lifecycle within its boundary. SET provides:</w:t>
      </w:r>
    </w:p>
    <w:p>
      <w:pPr>
        <w:pStyle w:val="ListParagraph"/>
        <w:numPr>
          <w:ilvl w:val="0"/>
          <w:numId w:val="4"/>
        </w:numPr>
      </w:pPr>
      <w:r>
        <w:rPr>
          <w:rFonts w:ascii="Figtree" w:hAnsi="Figtree"/>
          <w:b w:val="0"/>
          <w:i w:val="0"/>
          <w:sz w:val="22"/>
        </w:rPr>
        <w:t>Enterprise identity infrastructure (IdP integration)</w:t>
      </w:r>
    </w:p>
    <w:p>
      <w:pPr>
        <w:pStyle w:val="ListParagraph"/>
        <w:numPr>
          <w:ilvl w:val="0"/>
          <w:numId w:val="4"/>
        </w:numPr>
      </w:pPr>
      <w:r>
        <w:rPr>
          <w:rFonts w:ascii="Figtree" w:hAnsi="Figtree"/>
          <w:b w:val="0"/>
          <w:i w:val="0"/>
          <w:sz w:val="22"/>
        </w:rPr>
        <w:t>Core banking and accounting systems</w:t>
      </w:r>
    </w:p>
    <w:p>
      <w:pPr>
        <w:pStyle w:val="ListParagraph"/>
        <w:numPr>
          <w:ilvl w:val="0"/>
          <w:numId w:val="4"/>
        </w:numPr>
      </w:pPr>
      <w:r>
        <w:rPr>
          <w:rFonts w:ascii="Figtree" w:hAnsi="Figtree"/>
          <w:b w:val="0"/>
          <w:i w:val="0"/>
          <w:sz w:val="22"/>
        </w:rPr>
        <w:t>Payment rail connectivity (via ISO 20022)</w:t>
      </w:r>
    </w:p>
    <w:p>
      <w:pPr>
        <w:pStyle w:val="ListParagraph"/>
        <w:numPr>
          <w:ilvl w:val="0"/>
          <w:numId w:val="4"/>
        </w:numPr>
      </w:pPr>
      <w:r>
        <w:rPr>
          <w:rFonts w:ascii="Figtree" w:hAnsi="Figtree"/>
          <w:b w:val="0"/>
          <w:i w:val="0"/>
          <w:sz w:val="22"/>
        </w:rPr>
        <w:t>Custodian relationships (Fireblocks, DFNS, or other)</w:t>
      </w:r>
    </w:p>
    <w:p>
      <w:pPr>
        <w:pStyle w:val="ListParagraph"/>
        <w:numPr>
          <w:ilvl w:val="0"/>
          <w:numId w:val="4"/>
        </w:numPr>
      </w:pPr>
      <w:r>
        <w:rPr>
          <w:rFonts w:ascii="Figtree" w:hAnsi="Figtree"/>
          <w:b w:val="0"/>
          <w:i w:val="0"/>
          <w:sz w:val="22"/>
        </w:rPr>
        <w:t>Regulatory reporting interfaces</w:t>
      </w:r>
    </w:p>
    <w:p>
      <w:pPr>
        <w:pStyle w:val="H3"/>
        <w:numPr>
          <w:ilvl w:val="2"/>
          <w:numId w:val="1"/>
        </w:numPr>
      </w:pPr>
      <w:r>
        <w:t>Key Systems in Scope</w:t>
      </w:r>
    </w:p>
    <w:p>
      <w:pPr>
        <w:pStyle w:val="ListParagraph"/>
        <w:numPr>
          <w:ilvl w:val="0"/>
          <w:numId w:val="4"/>
        </w:numPr>
      </w:pPr>
      <w:r>
        <w:rPr>
          <w:rFonts w:ascii="Figtree" w:hAnsi="Figtree"/>
          <w:b w:val="0"/>
          <w:i w:val="0"/>
          <w:sz w:val="22"/>
        </w:rPr>
        <w:t>DALP Platform (issuance, compliance, custody orchestration, settlement, servicing)</w:t>
      </w:r>
    </w:p>
    <w:p>
      <w:pPr>
        <w:pStyle w:val="ListParagraph"/>
        <w:numPr>
          <w:ilvl w:val="0"/>
          <w:numId w:val="4"/>
        </w:numPr>
      </w:pPr>
      <w:r>
        <w:rPr>
          <w:rFonts w:ascii="Figtree" w:hAnsi="Figtree"/>
          <w:b w:val="0"/>
          <w:i w:val="0"/>
          <w:sz w:val="22"/>
        </w:rPr>
        <w:t>DALP API Gateway (REST, GraphQL, webhooks)</w:t>
      </w:r>
    </w:p>
    <w:p>
      <w:pPr>
        <w:pStyle w:val="ListParagraph"/>
        <w:numPr>
          <w:ilvl w:val="0"/>
          <w:numId w:val="4"/>
        </w:numPr>
      </w:pPr>
      <w:r>
        <w:rPr>
          <w:rFonts w:ascii="Figtree" w:hAnsi="Figtree"/>
          <w:b w:val="0"/>
          <w:i w:val="0"/>
          <w:sz w:val="22"/>
        </w:rPr>
        <w:t>DALP Observability Stack (Grafana, alerting, logging)</w:t>
      </w:r>
    </w:p>
    <w:p>
      <w:pPr>
        <w:pStyle w:val="ListParagraph"/>
        <w:numPr>
          <w:ilvl w:val="0"/>
          <w:numId w:val="4"/>
        </w:numPr>
      </w:pPr>
      <w:r>
        <w:rPr>
          <w:rFonts w:ascii="Figtree" w:hAnsi="Figtree"/>
          <w:b w:val="0"/>
          <w:i w:val="0"/>
          <w:sz w:val="22"/>
        </w:rPr>
        <w:t>Identity integration (SAML/OIDC to SET's IdP)</w:t>
      </w:r>
    </w:p>
    <w:p>
      <w:pPr>
        <w:pStyle w:val="ListParagraph"/>
        <w:numPr>
          <w:ilvl w:val="0"/>
          <w:numId w:val="4"/>
        </w:numPr>
      </w:pPr>
      <w:r>
        <w:rPr>
          <w:rFonts w:ascii="Figtree" w:hAnsi="Figtree"/>
          <w:b w:val="0"/>
          <w:i w:val="0"/>
          <w:sz w:val="22"/>
        </w:rPr>
        <w:t>Custody integration (Fireblocks/DFNS API)</w:t>
      </w:r>
    </w:p>
    <w:p>
      <w:pPr>
        <w:pStyle w:val="ListParagraph"/>
        <w:numPr>
          <w:ilvl w:val="0"/>
          <w:numId w:val="4"/>
        </w:numPr>
      </w:pPr>
      <w:r>
        <w:rPr>
          <w:rFonts w:ascii="Figtree" w:hAnsi="Figtree"/>
          <w:b w:val="0"/>
          <w:i w:val="0"/>
          <w:sz w:val="22"/>
        </w:rPr>
        <w:t>Payment rail integration (ISO 20022)</w:t>
      </w:r>
    </w:p>
    <w:p>
      <w:pPr>
        <w:pStyle w:val="H3"/>
        <w:numPr>
          <w:ilvl w:val="2"/>
          <w:numId w:val="1"/>
        </w:numPr>
      </w:pPr>
      <w:r>
        <w:t>Deployment Assumption</w:t>
      </w:r>
    </w:p>
    <w:p>
      <w:r>
        <w:rPr>
          <w:rFonts w:ascii="Figtree" w:hAnsi="Figtree"/>
          <w:b w:val="0"/>
          <w:i w:val="0"/>
          <w:sz w:val="22"/>
        </w:rPr>
        <w:t>Dedicated private cloud deployment on AWS, Azure, or GCP — SET's choice — with full data residency within Thailand. Infrastructure provisioned via Terraform/Helm with SET's cloud team.</w:t>
      </w:r>
    </w:p>
    <w:p>
      <w:pPr>
        <w:pStyle w:val="H2"/>
        <w:numPr>
          <w:ilvl w:val="1"/>
          <w:numId w:val="1"/>
        </w:numPr>
      </w:pPr>
      <w:r>
        <w:t>Core Capability Response</w:t>
      </w:r>
    </w:p>
    <w:p>
      <w:pPr>
        <w:pStyle w:val="H3"/>
        <w:numPr>
          <w:ilvl w:val="2"/>
          <w:numId w:val="1"/>
        </w:numPr>
      </w:pPr>
      <w:r>
        <w:t>Asset and Lifecycle Control</w:t>
      </w:r>
    </w:p>
    <w:p>
      <w:r>
        <w:rPr>
          <w:rFonts w:ascii="Figtree" w:hAnsi="Figtree"/>
          <w:b w:val="0"/>
          <w:i w:val="0"/>
          <w:sz w:val="22"/>
        </w:rPr>
        <w:t>DALP provides complete asset lifecycle management from creation through retirement:</w:t>
      </w:r>
    </w:p>
    <w:p>
      <w:pPr>
        <w:pStyle w:val="ListParagraph"/>
        <w:numPr>
          <w:ilvl w:val="0"/>
          <w:numId w:val="4"/>
        </w:numPr>
      </w:pPr>
      <w:r>
        <w:rPr>
          <w:rFonts w:ascii="Figtree" w:hAnsi="Figtree"/>
          <w:b/>
          <w:i w:val="0"/>
          <w:sz w:val="22"/>
        </w:rPr>
        <w:t>Asset Designer</w:t>
      </w:r>
      <w:r>
        <w:rPr>
          <w:rFonts w:ascii="Figtree" w:hAnsi="Figtree"/>
          <w:b w:val="0"/>
          <w:i w:val="0"/>
          <w:sz w:val="22"/>
        </w:rPr>
        <w:t xml:space="preserve"> wizard for configurable token parameters</w:t>
      </w:r>
    </w:p>
    <w:p>
      <w:pPr>
        <w:pStyle w:val="ListParagraph"/>
        <w:numPr>
          <w:ilvl w:val="0"/>
          <w:numId w:val="4"/>
        </w:numPr>
      </w:pPr>
      <w:r>
        <w:rPr>
          <w:rFonts w:ascii="Figtree" w:hAnsi="Figtree"/>
          <w:b/>
          <w:i w:val="0"/>
          <w:sz w:val="22"/>
        </w:rPr>
        <w:t>Deterministic issuance</w:t>
      </w:r>
      <w:r>
        <w:rPr>
          <w:rFonts w:ascii="Figtree" w:hAnsi="Figtree"/>
          <w:b w:val="0"/>
          <w:i w:val="0"/>
          <w:sz w:val="22"/>
        </w:rPr>
        <w:t xml:space="preserve"> with validation, factory dispatch, and claim enrichment</w:t>
      </w:r>
    </w:p>
    <w:p>
      <w:pPr>
        <w:pStyle w:val="ListParagraph"/>
        <w:numPr>
          <w:ilvl w:val="0"/>
          <w:numId w:val="4"/>
        </w:numPr>
      </w:pPr>
      <w:r>
        <w:rPr>
          <w:rFonts w:ascii="Figtree" w:hAnsi="Figtree"/>
          <w:b/>
          <w:i w:val="0"/>
          <w:sz w:val="22"/>
        </w:rPr>
        <w:t>Automated servicing</w:t>
      </w:r>
      <w:r>
        <w:rPr>
          <w:rFonts w:ascii="Figtree" w:hAnsi="Figtree"/>
          <w:b w:val="0"/>
          <w:i w:val="0"/>
          <w:sz w:val="22"/>
        </w:rPr>
        <w:t>: coupon payments, dividends, redemptions, maturity handling</w:t>
      </w:r>
    </w:p>
    <w:p>
      <w:pPr>
        <w:pStyle w:val="ListParagraph"/>
        <w:numPr>
          <w:ilvl w:val="0"/>
          <w:numId w:val="4"/>
        </w:numPr>
      </w:pPr>
      <w:r>
        <w:rPr>
          <w:rFonts w:ascii="Figtree" w:hAnsi="Figtree"/>
          <w:b/>
          <w:i w:val="0"/>
          <w:sz w:val="22"/>
        </w:rPr>
        <w:t>Lifecycle state machine</w:t>
      </w:r>
      <w:r>
        <w:rPr>
          <w:rFonts w:ascii="Figtree" w:hAnsi="Figtree"/>
          <w:b w:val="0"/>
          <w:i w:val="0"/>
          <w:sz w:val="22"/>
        </w:rPr>
        <w:t>: every asset transition tracked with immutable audit trail</w:t>
      </w:r>
    </w:p>
    <w:p>
      <w:pPr>
        <w:pStyle w:val="H3"/>
        <w:numPr>
          <w:ilvl w:val="2"/>
          <w:numId w:val="1"/>
        </w:numPr>
      </w:pPr>
      <w:r>
        <w:t>Identity and Compliance</w:t>
      </w:r>
    </w:p>
    <w:p>
      <w:pPr>
        <w:pStyle w:val="ListParagraph"/>
        <w:numPr>
          <w:ilvl w:val="0"/>
          <w:numId w:val="4"/>
        </w:numPr>
      </w:pPr>
      <w:r>
        <w:rPr>
          <w:rFonts w:ascii="Figtree" w:hAnsi="Figtree"/>
          <w:b/>
          <w:i w:val="0"/>
          <w:sz w:val="22"/>
        </w:rPr>
        <w:t>OnchainID</w:t>
      </w:r>
      <w:r>
        <w:rPr>
          <w:rFonts w:ascii="Figtree" w:hAnsi="Figtree"/>
          <w:b w:val="0"/>
          <w:i w:val="0"/>
          <w:sz w:val="22"/>
        </w:rPr>
        <w:t xml:space="preserve"> for verifiable investor identities</w:t>
      </w:r>
    </w:p>
    <w:p>
      <w:pPr>
        <w:pStyle w:val="ListParagraph"/>
        <w:numPr>
          <w:ilvl w:val="0"/>
          <w:numId w:val="4"/>
        </w:numPr>
      </w:pPr>
      <w:r>
        <w:rPr>
          <w:rFonts w:ascii="Figtree" w:hAnsi="Figtree"/>
          <w:b/>
          <w:i w:val="0"/>
          <w:sz w:val="22"/>
        </w:rPr>
        <w:t>18 compliance modules</w:t>
      </w:r>
      <w:r>
        <w:rPr>
          <w:rFonts w:ascii="Figtree" w:hAnsi="Figtree"/>
          <w:b w:val="0"/>
          <w:i w:val="0"/>
          <w:sz w:val="22"/>
        </w:rPr>
        <w:t xml:space="preserve"> covering accreditation, jurisdiction, limits, holding periods</w:t>
      </w:r>
    </w:p>
    <w:p>
      <w:pPr>
        <w:pStyle w:val="ListParagraph"/>
        <w:numPr>
          <w:ilvl w:val="0"/>
          <w:numId w:val="4"/>
        </w:numPr>
      </w:pPr>
      <w:r>
        <w:rPr>
          <w:rFonts w:ascii="Figtree" w:hAnsi="Figtree"/>
          <w:b/>
          <w:i w:val="0"/>
          <w:sz w:val="22"/>
        </w:rPr>
        <w:t>Ex-ante enforcement</w:t>
      </w:r>
      <w:r>
        <w:rPr>
          <w:rFonts w:ascii="Figtree" w:hAnsi="Figtree"/>
          <w:b w:val="0"/>
          <w:i w:val="0"/>
          <w:sz w:val="22"/>
        </w:rPr>
        <w:t>: every transfer validated before execution</w:t>
      </w:r>
    </w:p>
    <w:p>
      <w:pPr>
        <w:pStyle w:val="ListParagraph"/>
        <w:numPr>
          <w:ilvl w:val="0"/>
          <w:numId w:val="4"/>
        </w:numPr>
      </w:pPr>
      <w:r>
        <w:rPr>
          <w:rFonts w:ascii="Figtree" w:hAnsi="Figtree"/>
          <w:b/>
          <w:i w:val="0"/>
          <w:sz w:val="22"/>
        </w:rPr>
        <w:t>ERC-3643</w:t>
      </w:r>
      <w:r>
        <w:rPr>
          <w:rFonts w:ascii="Figtree" w:hAnsi="Figtree"/>
          <w:b w:val="0"/>
          <w:i w:val="0"/>
          <w:sz w:val="22"/>
        </w:rPr>
        <w:t xml:space="preserve"> standard for regulated token compliance</w:t>
      </w:r>
    </w:p>
    <w:p>
      <w:pPr>
        <w:pStyle w:val="ListParagraph"/>
        <w:numPr>
          <w:ilvl w:val="0"/>
          <w:numId w:val="4"/>
        </w:numPr>
      </w:pPr>
      <w:r>
        <w:rPr>
          <w:rFonts w:ascii="Figtree" w:hAnsi="Figtree"/>
          <w:b/>
          <w:i w:val="0"/>
          <w:sz w:val="22"/>
        </w:rPr>
        <w:t>KYC/KYB workflows</w:t>
      </w:r>
      <w:r>
        <w:rPr>
          <w:rFonts w:ascii="Figtree" w:hAnsi="Figtree"/>
          <w:b w:val="0"/>
          <w:i w:val="0"/>
          <w:sz w:val="22"/>
        </w:rPr>
        <w:t xml:space="preserve"> with structured review and deterministic remediation</w:t>
      </w:r>
    </w:p>
    <w:p>
      <w:pPr>
        <w:pStyle w:val="H3"/>
        <w:numPr>
          <w:ilvl w:val="2"/>
          <w:numId w:val="1"/>
        </w:numPr>
      </w:pPr>
      <w:r>
        <w:t>Settlement and Custody</w:t>
      </w:r>
    </w:p>
    <w:p>
      <w:pPr>
        <w:pStyle w:val="ListParagraph"/>
        <w:numPr>
          <w:ilvl w:val="0"/>
          <w:numId w:val="4"/>
        </w:numPr>
      </w:pPr>
      <w:r>
        <w:rPr>
          <w:rFonts w:ascii="Figtree" w:hAnsi="Figtree"/>
          <w:b/>
          <w:i w:val="0"/>
          <w:sz w:val="22"/>
        </w:rPr>
        <w:t>Atomic DvP/XvP</w:t>
      </w:r>
      <w:r>
        <w:rPr>
          <w:rFonts w:ascii="Figtree" w:hAnsi="Figtree"/>
          <w:b w:val="0"/>
          <w:i w:val="0"/>
          <w:sz w:val="22"/>
        </w:rPr>
        <w:t>: both legs complete or both revert</w:t>
      </w:r>
    </w:p>
    <w:p>
      <w:pPr>
        <w:pStyle w:val="ListParagraph"/>
        <w:numPr>
          <w:ilvl w:val="0"/>
          <w:numId w:val="4"/>
        </w:numPr>
      </w:pPr>
      <w:r>
        <w:rPr>
          <w:rFonts w:ascii="Figtree" w:hAnsi="Figtree"/>
          <w:b/>
          <w:i w:val="0"/>
          <w:sz w:val="22"/>
        </w:rPr>
        <w:t>Maker-checker</w:t>
      </w:r>
      <w:r>
        <w:rPr>
          <w:rFonts w:ascii="Figtree" w:hAnsi="Figtree"/>
          <w:b w:val="0"/>
          <w:i w:val="0"/>
          <w:sz w:val="22"/>
        </w:rPr>
        <w:t xml:space="preserve"> approval workflows with quorum configuration</w:t>
      </w:r>
    </w:p>
    <w:p>
      <w:pPr>
        <w:pStyle w:val="ListParagraph"/>
        <w:numPr>
          <w:ilvl w:val="0"/>
          <w:numId w:val="4"/>
        </w:numPr>
      </w:pPr>
      <w:r>
        <w:rPr>
          <w:rFonts w:ascii="Figtree" w:hAnsi="Figtree"/>
          <w:b/>
          <w:i w:val="0"/>
          <w:sz w:val="22"/>
        </w:rPr>
        <w:t>Provider-delegated broadcast</w:t>
      </w:r>
      <w:r>
        <w:rPr>
          <w:rFonts w:ascii="Figtree" w:hAnsi="Figtree"/>
          <w:b w:val="0"/>
          <w:i w:val="0"/>
          <w:sz w:val="22"/>
        </w:rPr>
        <w:t>: custodians own signing; DALP retains permissioning</w:t>
      </w:r>
    </w:p>
    <w:p>
      <w:pPr>
        <w:pStyle w:val="ListParagraph"/>
        <w:numPr>
          <w:ilvl w:val="0"/>
          <w:numId w:val="4"/>
        </w:numPr>
      </w:pPr>
      <w:r>
        <w:rPr>
          <w:rFonts w:ascii="Figtree" w:hAnsi="Figtree"/>
          <w:b/>
          <w:i w:val="0"/>
          <w:sz w:val="22"/>
        </w:rPr>
        <w:t>ISO 20022</w:t>
      </w:r>
      <w:r>
        <w:rPr>
          <w:rFonts w:ascii="Figtree" w:hAnsi="Figtree"/>
          <w:b w:val="0"/>
          <w:i w:val="0"/>
          <w:sz w:val="22"/>
        </w:rPr>
        <w:t xml:space="preserve"> connectivity for SWIFT, SEPA, RTGS rails</w:t>
      </w:r>
    </w:p>
    <w:p>
      <w:pPr>
        <w:pStyle w:val="H3"/>
        <w:numPr>
          <w:ilvl w:val="2"/>
          <w:numId w:val="1"/>
        </w:numPr>
      </w:pPr>
      <w:r>
        <w:t>Integration and Reporting</w:t>
      </w:r>
    </w:p>
    <w:p>
      <w:pPr>
        <w:pStyle w:val="ListParagraph"/>
        <w:numPr>
          <w:ilvl w:val="0"/>
          <w:numId w:val="4"/>
        </w:numPr>
      </w:pPr>
      <w:r>
        <w:rPr>
          <w:rFonts w:ascii="Figtree" w:hAnsi="Figtree"/>
          <w:b/>
          <w:i w:val="0"/>
          <w:sz w:val="22"/>
        </w:rPr>
        <w:t>REST/GraphQL APIs</w:t>
      </w:r>
      <w:r>
        <w:rPr>
          <w:rFonts w:ascii="Figtree" w:hAnsi="Figtree"/>
          <w:b w:val="0"/>
          <w:i w:val="0"/>
          <w:sz w:val="22"/>
        </w:rPr>
        <w:t xml:space="preserve"> with full programmatic access</w:t>
      </w:r>
    </w:p>
    <w:p>
      <w:pPr>
        <w:pStyle w:val="ListParagraph"/>
        <w:numPr>
          <w:ilvl w:val="0"/>
          <w:numId w:val="4"/>
        </w:numPr>
      </w:pPr>
      <w:r>
        <w:rPr>
          <w:rFonts w:ascii="Figtree" w:hAnsi="Figtree"/>
          <w:b/>
          <w:i w:val="0"/>
          <w:sz w:val="22"/>
        </w:rPr>
        <w:t>Event webhooks</w:t>
      </w:r>
      <w:r>
        <w:rPr>
          <w:rFonts w:ascii="Figtree" w:hAnsi="Figtree"/>
          <w:b w:val="0"/>
          <w:i w:val="0"/>
          <w:sz w:val="22"/>
        </w:rPr>
        <w:t xml:space="preserve"> for real-time downstream notification</w:t>
      </w:r>
    </w:p>
    <w:p>
      <w:pPr>
        <w:pStyle w:val="ListParagraph"/>
        <w:numPr>
          <w:ilvl w:val="0"/>
          <w:numId w:val="4"/>
        </w:numPr>
      </w:pPr>
      <w:r>
        <w:rPr>
          <w:rFonts w:ascii="Figtree" w:hAnsi="Figtree"/>
          <w:b/>
          <w:i w:val="0"/>
          <w:sz w:val="22"/>
        </w:rPr>
        <w:t>Typed SDK</w:t>
      </w:r>
      <w:r>
        <w:rPr>
          <w:rFonts w:ascii="Figtree" w:hAnsi="Figtree"/>
          <w:b w:val="0"/>
          <w:i w:val="0"/>
          <w:sz w:val="22"/>
        </w:rPr>
        <w:t xml:space="preserve"> for TypeScript integrators</w:t>
      </w:r>
    </w:p>
    <w:p>
      <w:pPr>
        <w:pStyle w:val="ListParagraph"/>
        <w:numPr>
          <w:ilvl w:val="0"/>
          <w:numId w:val="4"/>
        </w:numPr>
      </w:pPr>
      <w:r>
        <w:rPr>
          <w:rFonts w:ascii="Figtree" w:hAnsi="Figtree"/>
          <w:b/>
          <w:i w:val="0"/>
          <w:sz w:val="22"/>
        </w:rPr>
        <w:t>534 structured error codes</w:t>
      </w:r>
      <w:r>
        <w:rPr>
          <w:rFonts w:ascii="Figtree" w:hAnsi="Figtree"/>
          <w:b w:val="0"/>
          <w:i w:val="0"/>
          <w:sz w:val="22"/>
        </w:rPr>
        <w:t xml:space="preserve"> for precise problem diagnosis</w:t>
      </w:r>
    </w:p>
    <w:p>
      <w:pPr>
        <w:pStyle w:val="ListParagraph"/>
        <w:numPr>
          <w:ilvl w:val="0"/>
          <w:numId w:val="4"/>
        </w:numPr>
      </w:pPr>
      <w:r>
        <w:rPr>
          <w:rFonts w:ascii="Figtree" w:hAnsi="Figtree"/>
          <w:b/>
          <w:i w:val="0"/>
          <w:sz w:val="22"/>
        </w:rPr>
        <w:t>Regulatory reporting</w:t>
      </w:r>
      <w:r>
        <w:rPr>
          <w:rFonts w:ascii="Figtree" w:hAnsi="Figtree"/>
          <w:b w:val="0"/>
          <w:i w:val="0"/>
          <w:sz w:val="22"/>
        </w:rPr>
        <w:t xml:space="preserve"> support with evidence export</w:t>
      </w:r>
    </w:p>
    <w:p>
      <w:pPr>
        <w:pStyle w:val="H2"/>
        <w:numPr>
          <w:ilvl w:val="1"/>
          <w:numId w:val="1"/>
        </w:numPr>
      </w:pPr>
      <w:r>
        <w:t>Fit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9"/>
        <w:gridCol w:w="5386"/>
        <w:gridCol w:w="16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End-to-end lifecycle</w:t>
            </w:r>
          </w:p>
        </w:tc>
        <w:tc>
          <w:tcPr>
            <w:tcW w:type="dxa" w:w="3249"/>
            <w:vAlign w:val="center"/>
          </w:tcPr>
          <w:p>
            <w:pPr>
              <w:spacing w:line="276" w:lineRule="auto" w:before="0" w:after="0"/>
            </w:pPr>
            <w:r/>
            <w:r>
              <w:rPr>
                <w:rFonts w:ascii="Figtree" w:hAnsi="Figtree"/>
                <w:b w:val="0"/>
                <w:i w:val="0"/>
                <w:sz w:val="20"/>
              </w:rPr>
              <w:t>Unified platform covering issuance through retirement</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Workflow orchestration</w:t>
            </w:r>
          </w:p>
        </w:tc>
        <w:tc>
          <w:tcPr>
            <w:tcW w:type="dxa" w:w="3249"/>
            <w:vAlign w:val="center"/>
          </w:tcPr>
          <w:p>
            <w:pPr>
              <w:spacing w:line="276" w:lineRule="auto" w:before="0" w:after="0"/>
            </w:pPr>
            <w:r/>
            <w:r>
              <w:rPr>
                <w:rFonts w:ascii="Figtree" w:hAnsi="Figtree"/>
                <w:b w:val="0"/>
                <w:i w:val="0"/>
                <w:sz w:val="20"/>
              </w:rPr>
              <w:t>Maker-checker, RBAC, approval logs, segregation of duties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API/Integration</w:t>
            </w:r>
          </w:p>
        </w:tc>
        <w:tc>
          <w:tcPr>
            <w:tcW w:type="dxa" w:w="3249"/>
            <w:vAlign w:val="center"/>
          </w:tcPr>
          <w:p>
            <w:pPr>
              <w:spacing w:line="276" w:lineRule="auto" w:before="0" w:after="0"/>
            </w:pPr>
            <w:r/>
            <w:r>
              <w:rPr>
                <w:rFonts w:ascii="Figtree" w:hAnsi="Figtree"/>
                <w:b w:val="0"/>
                <w:i w:val="0"/>
                <w:sz w:val="20"/>
              </w:rPr>
              <w:t>REST, GraphQL, webhooks, typed SDK</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Regulatory alignment</w:t>
            </w:r>
          </w:p>
        </w:tc>
        <w:tc>
          <w:tcPr>
            <w:tcW w:type="dxa" w:w="3249"/>
            <w:vAlign w:val="center"/>
          </w:tcPr>
          <w:p>
            <w:pPr>
              <w:spacing w:line="276" w:lineRule="auto" w:before="0" w:after="0"/>
            </w:pPr>
            <w:r/>
            <w:r>
              <w:rPr>
                <w:rFonts w:ascii="Figtree" w:hAnsi="Figtree"/>
                <w:b w:val="0"/>
                <w:i w:val="0"/>
                <w:sz w:val="20"/>
              </w:rPr>
              <w:t>ERC-3643, 18 compliance modules, multi-jurisdiction</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OnchainID, KYC/KYB, wallet verification</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Key Guardian, HSM integration, emergency pause</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Atomic settlement, dual-leg completion, audit trails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tooling</w:t>
            </w:r>
          </w:p>
        </w:tc>
        <w:tc>
          <w:tcPr>
            <w:tcW w:type="dxa" w:w="3249"/>
            <w:vAlign w:val="center"/>
          </w:tcPr>
          <w:p>
            <w:pPr>
              <w:spacing w:line="276" w:lineRule="auto" w:before="0" w:after="0"/>
            </w:pPr>
            <w:r/>
            <w:r>
              <w:rPr>
                <w:rFonts w:ascii="Figtree" w:hAnsi="Figtree"/>
                <w:b w:val="0"/>
                <w:i w:val="0"/>
                <w:sz w:val="20"/>
              </w:rPr>
              <w:t>Dashboards, alerting, case management, evidence export</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Deployment flexibility</w:t>
            </w:r>
          </w:p>
        </w:tc>
        <w:tc>
          <w:tcPr>
            <w:tcW w:type="dxa" w:w="3249"/>
            <w:vAlign w:val="center"/>
          </w:tcPr>
          <w:p>
            <w:pPr>
              <w:spacing w:line="276" w:lineRule="auto" w:before="0" w:after="0"/>
            </w:pPr>
            <w:r/>
            <w:r>
              <w:rPr>
                <w:rFonts w:ascii="Figtree" w:hAnsi="Figtree"/>
                <w:b w:val="0"/>
                <w:i w:val="0"/>
                <w:sz w:val="20"/>
              </w:rPr>
              <w:t>Dedicated cloud, on-prem, data residency control</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Reference experience</w:t>
            </w:r>
          </w:p>
        </w:tc>
        <w:tc>
          <w:tcPr>
            <w:tcW w:type="dxa" w:w="3249"/>
            <w:vAlign w:val="center"/>
          </w:tcPr>
          <w:p>
            <w:pPr>
              <w:spacing w:line="276" w:lineRule="auto" w:before="0" w:after="0"/>
            </w:pPr>
            <w:r/>
            <w:r>
              <w:rPr>
                <w:rFonts w:ascii="Figtree" w:hAnsi="Figtree"/>
                <w:b w:val="0"/>
                <w:i w:val="0"/>
                <w:sz w:val="20"/>
              </w:rPr>
              <w:t>OCBC, Standard Chartered, Maybank, Commerzbank</w:t>
            </w:r>
          </w:p>
        </w:tc>
        <w:tc>
          <w:tcPr>
            <w:tcW w:type="dxa" w:w="3249"/>
            <w:vAlign w:val="center"/>
          </w:tcPr>
          <w:p>
            <w:pPr>
              <w:spacing w:line="276" w:lineRule="auto" w:before="0" w:after="0"/>
            </w:pPr>
            <w:r/>
            <w:r>
              <w:rPr>
                <w:rFonts w:ascii="Figtree" w:hAnsi="Figtree"/>
                <w:b w:val="0"/>
                <w:i w:val="0"/>
                <w:sz w:val="20"/>
              </w:rPr>
              <w:t>Evidence provided</w:t>
            </w:r>
          </w:p>
        </w:tc>
      </w:tr>
    </w:tbl>
    <w:p>
      <w:pPr>
        <w:spacing w:before="0" w:after="0" w:line="120" w:lineRule="exact"/>
      </w:pPr>
    </w:p>
    <w:p>
      <w:r>
        <w:br w:type="page"/>
      </w:r>
    </w:p>
    <w:p>
      <w:pPr>
        <w:pStyle w:val="H1"/>
        <w:numPr>
          <w:ilvl w:val="0"/>
          <w:numId w:val="1"/>
        </w:numPr>
      </w:pPr>
      <w:r>
        <w:t>6. Architecture Overview</w:t>
      </w:r>
    </w:p>
    <w:p>
      <w:pPr>
        <w:pStyle w:val="H2"/>
        <w:numPr>
          <w:ilvl w:val="1"/>
          <w:numId w:val="1"/>
        </w:numPr>
      </w:pPr>
      <w:r>
        <w:t>Architecture Principles</w:t>
      </w:r>
    </w:p>
    <w:p>
      <w:r>
        <w:rPr>
          <w:rFonts w:ascii="Figtree" w:hAnsi="Figtree"/>
          <w:b w:val="0"/>
          <w:i w:val="0"/>
          <w:sz w:val="22"/>
        </w:rPr>
        <w:t>DALP's architecture follows five principles aligned with institutional requirements:</w:t>
      </w:r>
    </w:p>
    <w:p>
      <w:pPr>
        <w:pStyle w:val="ListParagraph"/>
        <w:numPr>
          <w:ilvl w:val="0"/>
          <w:numId w:val="7"/>
        </w:numPr>
      </w:pPr>
      <w:r>
        <w:rPr>
          <w:rFonts w:ascii="Figtree" w:hAnsi="Figtree"/>
          <w:b/>
          <w:i w:val="0"/>
          <w:sz w:val="22"/>
        </w:rPr>
        <w:t>Separation of concerns</w:t>
      </w:r>
      <w:r>
        <w:rPr>
          <w:rFonts w:ascii="Figtree" w:hAnsi="Figtree"/>
          <w:b w:val="0"/>
          <w:i w:val="0"/>
          <w:sz w:val="22"/>
        </w:rPr>
        <w:t>: Platform layers (API, orchestration, compliance, custody, settlement) are decoupled for independent scaling and upgrade</w:t>
      </w:r>
    </w:p>
    <w:p>
      <w:pPr>
        <w:pStyle w:val="ListParagraph"/>
        <w:numPr>
          <w:ilvl w:val="0"/>
          <w:numId w:val="7"/>
        </w:numPr>
      </w:pPr>
      <w:r>
        <w:rPr>
          <w:rFonts w:ascii="Figtree" w:hAnsi="Figtree"/>
          <w:b/>
          <w:i w:val="0"/>
          <w:sz w:val="22"/>
        </w:rPr>
        <w:t>Compliance by default</w:t>
      </w:r>
      <w:r>
        <w:rPr>
          <w:rFonts w:ascii="Figtree" w:hAnsi="Figtree"/>
          <w:b w:val="0"/>
          <w:i w:val="0"/>
          <w:sz w:val="22"/>
        </w:rPr>
        <w:t>: Every transaction passes through compliance validation before execution — no exceptions, no bypass paths</w:t>
      </w:r>
    </w:p>
    <w:p>
      <w:pPr>
        <w:pStyle w:val="ListParagraph"/>
        <w:numPr>
          <w:ilvl w:val="0"/>
          <w:numId w:val="7"/>
        </w:numPr>
      </w:pPr>
      <w:r>
        <w:rPr>
          <w:rFonts w:ascii="Figtree" w:hAnsi="Figtree"/>
          <w:b/>
          <w:i w:val="0"/>
          <w:sz w:val="22"/>
        </w:rPr>
        <w:t>Immutable audit</w:t>
      </w:r>
      <w:r>
        <w:rPr>
          <w:rFonts w:ascii="Figtree" w:hAnsi="Figtree"/>
          <w:b w:val="0"/>
          <w:i w:val="0"/>
          <w:sz w:val="22"/>
        </w:rPr>
        <w:t>: Every state change is recorded with full provenance for audit and regulatory evidence</w:t>
      </w:r>
    </w:p>
    <w:p>
      <w:pPr>
        <w:pStyle w:val="ListParagraph"/>
        <w:numPr>
          <w:ilvl w:val="0"/>
          <w:numId w:val="7"/>
        </w:numPr>
      </w:pPr>
      <w:r>
        <w:rPr>
          <w:rFonts w:ascii="Figtree" w:hAnsi="Figtree"/>
          <w:b/>
          <w:i w:val="0"/>
          <w:sz w:val="22"/>
        </w:rPr>
        <w:t>Provider delegation</w:t>
      </w:r>
      <w:r>
        <w:rPr>
          <w:rFonts w:ascii="Figtree" w:hAnsi="Figtree"/>
          <w:b w:val="0"/>
          <w:i w:val="0"/>
          <w:sz w:val="22"/>
        </w:rPr>
        <w:t>: Custodians own volatile execution (signing, nonce, gas); DALP owns deterministic admission control</w:t>
      </w:r>
    </w:p>
    <w:p>
      <w:pPr>
        <w:pStyle w:val="ListParagraph"/>
        <w:numPr>
          <w:ilvl w:val="0"/>
          <w:numId w:val="7"/>
        </w:numPr>
      </w:pPr>
      <w:r>
        <w:rPr>
          <w:rFonts w:ascii="Figtree" w:hAnsi="Figtree"/>
          <w:b/>
          <w:i w:val="0"/>
          <w:sz w:val="22"/>
        </w:rPr>
        <w:t>Operational durability</w:t>
      </w:r>
      <w:r>
        <w:rPr>
          <w:rFonts w:ascii="Figtree" w:hAnsi="Figtree"/>
          <w:b w:val="0"/>
          <w:i w:val="0"/>
          <w:sz w:val="22"/>
        </w:rPr>
        <w:t>: Multi-step workflows survive process restarts and infrastructure failures</w:t>
      </w:r>
    </w:p>
    <w:p>
      <w:pPr>
        <w:pStyle w:val="H2"/>
        <w:numPr>
          <w:ilvl w:val="1"/>
          <w:numId w:val="1"/>
        </w:numPr>
      </w:pPr>
      <w:r>
        <w:t>Core Layers</w:t>
      </w:r>
    </w:p>
    <w:p>
      <w:pPr>
        <w:pStyle w:val="H2"/>
        <w:numPr>
          <w:ilvl w:val="1"/>
          <w:numId w:val="1"/>
        </w:numPr>
      </w:pPr>
      <w:r>
        <w:t>Deployment Topology Summary</w:t>
      </w:r>
    </w:p>
    <w:p>
      <w:r>
        <w:rPr>
          <w:rFonts w:ascii="Figtree" w:hAnsi="Figtree"/>
          <w:b w:val="0"/>
          <w:i w:val="0"/>
          <w:sz w:val="22"/>
        </w:rPr>
        <w:t xml:space="preserve">DALP deployed in </w:t>
      </w:r>
      <w:r>
        <w:rPr>
          <w:rFonts w:ascii="Figtree" w:hAnsi="Figtree"/>
          <w:b/>
          <w:i w:val="0"/>
          <w:sz w:val="22"/>
        </w:rPr>
        <w:t>dedicated private cloud</w:t>
      </w:r>
      <w:r>
        <w:rPr>
          <w:rFonts w:ascii="Figtree" w:hAnsi="Figtree"/>
          <w:b w:val="0"/>
          <w:i w:val="0"/>
          <w:sz w:val="22"/>
        </w:rPr>
        <w:t xml:space="preserve"> configuration:</w:t>
      </w:r>
    </w:p>
    <w:p>
      <w:pPr>
        <w:pStyle w:val="ListParagraph"/>
        <w:numPr>
          <w:ilvl w:val="0"/>
          <w:numId w:val="4"/>
        </w:numPr>
      </w:pPr>
      <w:r>
        <w:rPr>
          <w:rFonts w:ascii="Figtree" w:hAnsi="Figtree"/>
          <w:b/>
          <w:i w:val="0"/>
          <w:sz w:val="22"/>
        </w:rPr>
        <w:t>Compute</w:t>
      </w:r>
      <w:r>
        <w:rPr>
          <w:rFonts w:ascii="Figtree" w:hAnsi="Figtree"/>
          <w:b w:val="0"/>
          <w:i w:val="0"/>
          <w:sz w:val="22"/>
        </w:rPr>
        <w:t>: Kubernetes cluster (self-managed or EKS/AKS/GKE)</w:t>
      </w:r>
    </w:p>
    <w:p>
      <w:pPr>
        <w:pStyle w:val="ListParagraph"/>
        <w:numPr>
          <w:ilvl w:val="0"/>
          <w:numId w:val="4"/>
        </w:numPr>
      </w:pPr>
      <w:r>
        <w:rPr>
          <w:rFonts w:ascii="Figtree" w:hAnsi="Figtree"/>
          <w:b/>
          <w:i w:val="0"/>
          <w:sz w:val="22"/>
        </w:rPr>
        <w:t>Database</w:t>
      </w:r>
      <w:r>
        <w:rPr>
          <w:rFonts w:ascii="Figtree" w:hAnsi="Figtree"/>
          <w:b w:val="0"/>
          <w:i w:val="0"/>
          <w:sz w:val="22"/>
        </w:rPr>
        <w:t>: PostgreSQL with read replicas</w:t>
      </w:r>
    </w:p>
    <w:p>
      <w:pPr>
        <w:pStyle w:val="ListParagraph"/>
        <w:numPr>
          <w:ilvl w:val="0"/>
          <w:numId w:val="4"/>
        </w:numPr>
      </w:pPr>
      <w:r>
        <w:rPr>
          <w:rFonts w:ascii="Figtree" w:hAnsi="Figtree"/>
          <w:b/>
          <w:i w:val="0"/>
          <w:sz w:val="22"/>
        </w:rPr>
        <w:t>Cache</w:t>
      </w:r>
      <w:r>
        <w:rPr>
          <w:rFonts w:ascii="Figtree" w:hAnsi="Figtree"/>
          <w:b w:val="0"/>
          <w:i w:val="0"/>
          <w:sz w:val="22"/>
        </w:rPr>
        <w:t>: Redis cluster for session and state management</w:t>
      </w:r>
    </w:p>
    <w:p>
      <w:pPr>
        <w:pStyle w:val="ListParagraph"/>
        <w:numPr>
          <w:ilvl w:val="0"/>
          <w:numId w:val="4"/>
        </w:numPr>
      </w:pPr>
      <w:r>
        <w:rPr>
          <w:rFonts w:ascii="Figtree" w:hAnsi="Figtree"/>
          <w:b/>
          <w:i w:val="0"/>
          <w:sz w:val="22"/>
        </w:rPr>
        <w:t>Storage</w:t>
      </w:r>
      <w:r>
        <w:rPr>
          <w:rFonts w:ascii="Figtree" w:hAnsi="Figtree"/>
          <w:b w:val="0"/>
          <w:i w:val="0"/>
          <w:sz w:val="22"/>
        </w:rPr>
        <w:t>: Object storage (S3-compatible) for documents and artifacts</w:t>
      </w:r>
    </w:p>
    <w:p>
      <w:pPr>
        <w:pStyle w:val="ListParagraph"/>
        <w:numPr>
          <w:ilvl w:val="0"/>
          <w:numId w:val="4"/>
        </w:numPr>
      </w:pPr>
      <w:r>
        <w:rPr>
          <w:rFonts w:ascii="Figtree" w:hAnsi="Figtree"/>
          <w:b/>
          <w:i w:val="0"/>
          <w:sz w:val="22"/>
        </w:rPr>
        <w:t>Network</w:t>
      </w:r>
      <w:r>
        <w:rPr>
          <w:rFonts w:ascii="Figtree" w:hAnsi="Figtree"/>
          <w:b w:val="0"/>
          <w:i w:val="0"/>
          <w:sz w:val="22"/>
        </w:rPr>
        <w:t>: VPC with private subnets; no public internet exposure for data planes</w:t>
      </w:r>
    </w:p>
    <w:p>
      <w:pPr>
        <w:pStyle w:val="ListParagraph"/>
        <w:numPr>
          <w:ilvl w:val="0"/>
          <w:numId w:val="4"/>
        </w:numPr>
      </w:pPr>
      <w:r>
        <w:rPr>
          <w:rFonts w:ascii="Figtree" w:hAnsi="Figtree"/>
          <w:b/>
          <w:i w:val="0"/>
          <w:sz w:val="22"/>
        </w:rPr>
        <w:t>Data residency</w:t>
      </w:r>
      <w:r>
        <w:rPr>
          <w:rFonts w:ascii="Figtree" w:hAnsi="Figtree"/>
          <w:b w:val="0"/>
          <w:i w:val="0"/>
          <w:sz w:val="22"/>
        </w:rPr>
        <w:t>: All data remains within Thailand (AWS ap-southeast-1, Azure southeastasia, or GCP asia-southeast1)</w:t>
      </w:r>
    </w:p>
    <w:p>
      <w:pPr>
        <w:pStyle w:val="H2"/>
        <w:numPr>
          <w:ilvl w:val="1"/>
          <w:numId w:val="1"/>
        </w:numPr>
      </w:pPr>
      <w:r>
        <w:t>Resilience</w:t>
      </w:r>
    </w:p>
    <w:p>
      <w:pPr>
        <w:pStyle w:val="ListParagraph"/>
        <w:numPr>
          <w:ilvl w:val="0"/>
          <w:numId w:val="4"/>
        </w:numPr>
      </w:pPr>
      <w:r>
        <w:rPr>
          <w:rFonts w:ascii="Figtree" w:hAnsi="Figtree"/>
          <w:b/>
          <w:i w:val="0"/>
          <w:sz w:val="22"/>
        </w:rPr>
        <w:t>Multi-AZ deployment</w:t>
      </w:r>
      <w:r>
        <w:rPr>
          <w:rFonts w:ascii="Figtree" w:hAnsi="Figtree"/>
          <w:b w:val="0"/>
          <w:i w:val="0"/>
          <w:sz w:val="22"/>
        </w:rPr>
        <w:t xml:space="preserve"> within the selected region</w:t>
      </w:r>
    </w:p>
    <w:p>
      <w:pPr>
        <w:pStyle w:val="ListParagraph"/>
        <w:numPr>
          <w:ilvl w:val="0"/>
          <w:numId w:val="4"/>
        </w:numPr>
      </w:pPr>
      <w:r>
        <w:rPr>
          <w:rFonts w:ascii="Figtree" w:hAnsi="Figtree"/>
          <w:b/>
          <w:i w:val="0"/>
          <w:sz w:val="22"/>
        </w:rPr>
        <w:t>RTO: 4 hours / RPO: 15 minutes</w:t>
      </w:r>
      <w:r>
        <w:rPr>
          <w:rFonts w:ascii="Figtree" w:hAnsi="Figtree"/>
          <w:b w:val="0"/>
          <w:i w:val="0"/>
          <w:sz w:val="22"/>
        </w:rPr>
        <w:t xml:space="preserve"> for regional failover</w:t>
      </w:r>
    </w:p>
    <w:p>
      <w:pPr>
        <w:pStyle w:val="ListParagraph"/>
        <w:numPr>
          <w:ilvl w:val="0"/>
          <w:numId w:val="4"/>
        </w:numPr>
      </w:pPr>
      <w:r>
        <w:rPr>
          <w:rFonts w:ascii="Figtree" w:hAnsi="Figtree"/>
          <w:b/>
          <w:i w:val="0"/>
          <w:sz w:val="22"/>
        </w:rPr>
        <w:t>Automated failover</w:t>
      </w:r>
      <w:r>
        <w:rPr>
          <w:rFonts w:ascii="Figtree" w:hAnsi="Figtree"/>
          <w:b w:val="0"/>
          <w:i w:val="0"/>
          <w:sz w:val="22"/>
        </w:rPr>
        <w:t xml:space="preserve"> for database and cache layers</w:t>
      </w:r>
    </w:p>
    <w:p>
      <w:pPr>
        <w:pStyle w:val="ListParagraph"/>
        <w:numPr>
          <w:ilvl w:val="0"/>
          <w:numId w:val="4"/>
        </w:numPr>
      </w:pPr>
      <w:r>
        <w:rPr>
          <w:rFonts w:ascii="Figtree" w:hAnsi="Figtree"/>
          <w:b/>
          <w:i w:val="0"/>
          <w:sz w:val="22"/>
        </w:rPr>
        <w:t>Immutable logging</w:t>
      </w:r>
      <w:r>
        <w:rPr>
          <w:rFonts w:ascii="Figtree" w:hAnsi="Figtree"/>
          <w:b w:val="0"/>
          <w:i w:val="0"/>
          <w:sz w:val="22"/>
        </w:rPr>
        <w:t xml:space="preserve"> to separate storage with WORM retention</w:t>
      </w:r>
    </w:p>
    <w:p>
      <w:pPr>
        <w:pStyle w:val="ListParagraph"/>
        <w:numPr>
          <w:ilvl w:val="0"/>
          <w:numId w:val="4"/>
        </w:numPr>
      </w:pPr>
      <w:r>
        <w:rPr>
          <w:rFonts w:ascii="Figtree" w:hAnsi="Figtree"/>
          <w:b/>
          <w:i w:val="0"/>
          <w:sz w:val="22"/>
        </w:rPr>
        <w:t>Daily backups</w:t>
      </w:r>
      <w:r>
        <w:rPr>
          <w:rFonts w:ascii="Figtree" w:hAnsi="Figtree"/>
          <w:b w:val="0"/>
          <w:i w:val="0"/>
          <w:sz w:val="22"/>
        </w:rPr>
        <w:t xml:space="preserve"> with 90-day retention</w:t>
      </w:r>
    </w:p>
    <w:p>
      <w:r>
        <w:br w:type="page"/>
      </w:r>
    </w:p>
    <w:p>
      <w:pPr>
        <w:pStyle w:val="H1"/>
        <w:numPr>
          <w:ilvl w:val="0"/>
          <w:numId w:val="1"/>
        </w:numPr>
      </w:pPr>
      <w:r>
        <w:t>7. Security Overview</w:t>
      </w:r>
    </w:p>
    <w:p>
      <w:pPr>
        <w:pStyle w:val="H2"/>
        <w:numPr>
          <w:ilvl w:val="1"/>
          <w:numId w:val="1"/>
        </w:numPr>
      </w:pPr>
      <w:r>
        <w:t>Authentication and Access Control</w:t>
      </w:r>
    </w:p>
    <w:p>
      <w:pPr>
        <w:pStyle w:val="ListParagraph"/>
        <w:numPr>
          <w:ilvl w:val="0"/>
          <w:numId w:val="4"/>
        </w:numPr>
      </w:pPr>
      <w:r>
        <w:rPr>
          <w:rFonts w:ascii="Figtree" w:hAnsi="Figtree"/>
          <w:b/>
          <w:i w:val="0"/>
          <w:sz w:val="22"/>
        </w:rPr>
        <w:t>Two-endpoint authentication model</w:t>
      </w:r>
      <w:r>
        <w:rPr>
          <w:rFonts w:ascii="Figtree" w:hAnsi="Figtree"/>
          <w:b w:val="0"/>
          <w:i w:val="0"/>
          <w:sz w:val="22"/>
        </w:rPr>
        <w:t>: Session-authenticated dApp (RPC) and API-key-authenticated programmatic access (REST), with strict auth-method-to-endpoint affinity</w:t>
      </w:r>
    </w:p>
    <w:p>
      <w:pPr>
        <w:pStyle w:val="ListParagraph"/>
        <w:numPr>
          <w:ilvl w:val="0"/>
          <w:numId w:val="4"/>
        </w:numPr>
      </w:pPr>
      <w:r>
        <w:rPr>
          <w:rFonts w:ascii="Figtree" w:hAnsi="Figtree"/>
          <w:b/>
          <w:i w:val="0"/>
          <w:sz w:val="22"/>
        </w:rPr>
        <w:t>RBAC with 5 defined roles</w:t>
      </w:r>
      <w:r>
        <w:rPr>
          <w:rFonts w:ascii="Figtree" w:hAnsi="Figtree"/>
          <w:b w:val="0"/>
          <w:i w:val="0"/>
          <w:sz w:val="22"/>
        </w:rPr>
        <w:t>: Administrator, Issuer, Compliance Officer, Custodian, Investor</w:t>
      </w:r>
    </w:p>
    <w:p>
      <w:pPr>
        <w:pStyle w:val="ListParagraph"/>
        <w:numPr>
          <w:ilvl w:val="0"/>
          <w:numId w:val="4"/>
        </w:numPr>
      </w:pPr>
      <w:r>
        <w:rPr>
          <w:rFonts w:ascii="Figtree" w:hAnsi="Figtree"/>
          <w:b/>
          <w:i w:val="0"/>
          <w:sz w:val="22"/>
        </w:rPr>
        <w:t>Session management</w:t>
      </w:r>
      <w:r>
        <w:rPr>
          <w:rFonts w:ascii="Figtree" w:hAnsi="Figtree"/>
          <w:b w:val="0"/>
          <w:i w:val="0"/>
          <w:sz w:val="22"/>
        </w:rPr>
        <w:t>: Configurable timeout, concurrent session limits, forced logout on privilege change</w:t>
      </w:r>
    </w:p>
    <w:p>
      <w:pPr>
        <w:pStyle w:val="ListParagraph"/>
        <w:numPr>
          <w:ilvl w:val="0"/>
          <w:numId w:val="4"/>
        </w:numPr>
      </w:pPr>
      <w:r>
        <w:rPr>
          <w:rFonts w:ascii="Figtree" w:hAnsi="Figtree"/>
          <w:b/>
          <w:i w:val="0"/>
          <w:sz w:val="22"/>
        </w:rPr>
        <w:t>MFA enforcement</w:t>
      </w:r>
      <w:r>
        <w:rPr>
          <w:rFonts w:ascii="Figtree" w:hAnsi="Figtree"/>
          <w:b w:val="0"/>
          <w:i w:val="0"/>
          <w:sz w:val="22"/>
        </w:rPr>
        <w:t>: Required for privileged actions and administrative access</w:t>
      </w:r>
    </w:p>
    <w:p>
      <w:pPr>
        <w:pStyle w:val="H2"/>
        <w:numPr>
          <w:ilvl w:val="1"/>
          <w:numId w:val="1"/>
        </w:numPr>
      </w:pPr>
      <w:r>
        <w:t>Custody and Key Management</w:t>
      </w:r>
    </w:p>
    <w:p>
      <w:pPr>
        <w:pStyle w:val="ListParagraph"/>
        <w:numPr>
          <w:ilvl w:val="0"/>
          <w:numId w:val="4"/>
        </w:numPr>
      </w:pPr>
      <w:r>
        <w:rPr>
          <w:rFonts w:ascii="Figtree" w:hAnsi="Figtree"/>
          <w:b/>
          <w:i w:val="0"/>
          <w:sz w:val="22"/>
        </w:rPr>
        <w:t>Key Guardian</w:t>
      </w:r>
      <w:r>
        <w:rPr>
          <w:rFonts w:ascii="Figtree" w:hAnsi="Figtree"/>
          <w:b w:val="0"/>
          <w:i w:val="0"/>
          <w:sz w:val="22"/>
        </w:rPr>
        <w:t>: Multiple storage backends — encrypted database, cloud secret manager, HSM (AWS CloudHSM, Azure Key Vault, GCP KMS), Fireblocks, DFNS</w:t>
      </w:r>
    </w:p>
    <w:p>
      <w:pPr>
        <w:pStyle w:val="ListParagraph"/>
        <w:numPr>
          <w:ilvl w:val="0"/>
          <w:numId w:val="4"/>
        </w:numPr>
      </w:pPr>
      <w:r>
        <w:rPr>
          <w:rFonts w:ascii="Figtree" w:hAnsi="Figtree"/>
          <w:b/>
          <w:i w:val="0"/>
          <w:sz w:val="22"/>
        </w:rPr>
        <w:t>Maker-checker workflows</w:t>
      </w:r>
      <w:r>
        <w:rPr>
          <w:rFonts w:ascii="Figtree" w:hAnsi="Figtree"/>
          <w:b w:val="0"/>
          <w:i w:val="0"/>
          <w:sz w:val="22"/>
        </w:rPr>
        <w:t>: Configurable multi-signature quorum (e.g., 2-of-3 for high-value transfers)</w:t>
      </w:r>
    </w:p>
    <w:p>
      <w:pPr>
        <w:pStyle w:val="ListParagraph"/>
        <w:numPr>
          <w:ilvl w:val="0"/>
          <w:numId w:val="4"/>
        </w:numPr>
      </w:pPr>
      <w:r>
        <w:rPr>
          <w:rFonts w:ascii="Figtree" w:hAnsi="Figtree"/>
          <w:b/>
          <w:i w:val="0"/>
          <w:sz w:val="22"/>
        </w:rPr>
        <w:t>Emergency pause</w:t>
      </w:r>
      <w:r>
        <w:rPr>
          <w:rFonts w:ascii="Figtree" w:hAnsi="Figtree"/>
          <w:b w:val="0"/>
          <w:i w:val="0"/>
          <w:sz w:val="22"/>
        </w:rPr>
        <w:t>: Global pause capability for crisis response</w:t>
      </w:r>
    </w:p>
    <w:p>
      <w:pPr>
        <w:pStyle w:val="ListParagraph"/>
        <w:numPr>
          <w:ilvl w:val="0"/>
          <w:numId w:val="4"/>
        </w:numPr>
      </w:pPr>
      <w:r>
        <w:rPr>
          <w:rFonts w:ascii="Figtree" w:hAnsi="Figtree"/>
          <w:b/>
          <w:i w:val="0"/>
          <w:sz w:val="22"/>
        </w:rPr>
        <w:t>Key rotation</w:t>
      </w:r>
      <w:r>
        <w:rPr>
          <w:rFonts w:ascii="Figtree" w:hAnsi="Figtree"/>
          <w:b w:val="0"/>
          <w:i w:val="0"/>
          <w:sz w:val="22"/>
        </w:rPr>
        <w:t>: Automated rotation schedules with audit logging</w:t>
      </w:r>
    </w:p>
    <w:p>
      <w:pPr>
        <w:pStyle w:val="ListParagraph"/>
        <w:numPr>
          <w:ilvl w:val="0"/>
          <w:numId w:val="4"/>
        </w:numPr>
      </w:pPr>
      <w:r>
        <w:rPr>
          <w:rFonts w:ascii="Figtree" w:hAnsi="Figtree"/>
          <w:b/>
          <w:i w:val="0"/>
          <w:sz w:val="22"/>
        </w:rPr>
        <w:t>Break-glass procedures</w:t>
      </w:r>
      <w:r>
        <w:rPr>
          <w:rFonts w:ascii="Figtree" w:hAnsi="Figtree"/>
          <w:b w:val="0"/>
          <w:i w:val="0"/>
          <w:sz w:val="22"/>
        </w:rPr>
        <w:t>: Named emergency access roles with dual-approval and full audit</w:t>
      </w:r>
    </w:p>
    <w:p>
      <w:pPr>
        <w:pStyle w:val="H2"/>
        <w:numPr>
          <w:ilvl w:val="1"/>
          <w:numId w:val="1"/>
        </w:numPr>
      </w:pPr>
      <w:r>
        <w:t>Data Protection and Auditability</w:t>
      </w:r>
    </w:p>
    <w:p>
      <w:pPr>
        <w:pStyle w:val="ListParagraph"/>
        <w:numPr>
          <w:ilvl w:val="0"/>
          <w:numId w:val="4"/>
        </w:numPr>
      </w:pPr>
      <w:r>
        <w:rPr>
          <w:rFonts w:ascii="Figtree" w:hAnsi="Figtree"/>
          <w:b/>
          <w:i w:val="0"/>
          <w:sz w:val="22"/>
        </w:rPr>
        <w:t>Encryption at rest</w:t>
      </w:r>
      <w:r>
        <w:rPr>
          <w:rFonts w:ascii="Figtree" w:hAnsi="Figtree"/>
          <w:b w:val="0"/>
          <w:i w:val="0"/>
          <w:sz w:val="22"/>
        </w:rPr>
        <w:t>: AES-256 for all persistent data</w:t>
      </w:r>
    </w:p>
    <w:p>
      <w:pPr>
        <w:pStyle w:val="ListParagraph"/>
        <w:numPr>
          <w:ilvl w:val="0"/>
          <w:numId w:val="4"/>
        </w:numPr>
      </w:pPr>
      <w:r>
        <w:rPr>
          <w:rFonts w:ascii="Figtree" w:hAnsi="Figtree"/>
          <w:b/>
          <w:i w:val="0"/>
          <w:sz w:val="22"/>
        </w:rPr>
        <w:t>Encryption in transit</w:t>
      </w:r>
      <w:r>
        <w:rPr>
          <w:rFonts w:ascii="Figtree" w:hAnsi="Figtree"/>
          <w:b w:val="0"/>
          <w:i w:val="0"/>
          <w:sz w:val="22"/>
        </w:rPr>
        <w:t>: TLS 1.3 for all network communication</w:t>
      </w:r>
    </w:p>
    <w:p>
      <w:pPr>
        <w:pStyle w:val="ListParagraph"/>
        <w:numPr>
          <w:ilvl w:val="0"/>
          <w:numId w:val="4"/>
        </w:numPr>
      </w:pPr>
      <w:r>
        <w:rPr>
          <w:rFonts w:ascii="Figtree" w:hAnsi="Figtree"/>
          <w:b/>
          <w:i w:val="0"/>
          <w:sz w:val="22"/>
        </w:rPr>
        <w:t>Data masking</w:t>
      </w:r>
      <w:r>
        <w:rPr>
          <w:rFonts w:ascii="Figtree" w:hAnsi="Figtree"/>
          <w:b w:val="0"/>
          <w:i w:val="0"/>
          <w:sz w:val="22"/>
        </w:rPr>
        <w:t>: Automatic masking for PII in logs and diagnostics</w:t>
      </w:r>
    </w:p>
    <w:p>
      <w:pPr>
        <w:pStyle w:val="ListParagraph"/>
        <w:numPr>
          <w:ilvl w:val="0"/>
          <w:numId w:val="4"/>
        </w:numPr>
      </w:pPr>
      <w:r>
        <w:rPr>
          <w:rFonts w:ascii="Figtree" w:hAnsi="Figtree"/>
          <w:b/>
          <w:i w:val="0"/>
          <w:sz w:val="22"/>
        </w:rPr>
        <w:t>PDPA alignment</w:t>
      </w:r>
      <w:r>
        <w:rPr>
          <w:rFonts w:ascii="Figtree" w:hAnsi="Figtree"/>
          <w:b w:val="0"/>
          <w:i w:val="0"/>
          <w:sz w:val="22"/>
        </w:rPr>
        <w:t>: Retention policies, deletion workflows, consent management hooks</w:t>
      </w:r>
    </w:p>
    <w:p>
      <w:pPr>
        <w:pStyle w:val="ListParagraph"/>
        <w:numPr>
          <w:ilvl w:val="0"/>
          <w:numId w:val="4"/>
        </w:numPr>
      </w:pPr>
      <w:r>
        <w:rPr>
          <w:rFonts w:ascii="Figtree" w:hAnsi="Figtree"/>
          <w:b/>
          <w:i w:val="0"/>
          <w:sz w:val="22"/>
        </w:rPr>
        <w:t>Immutable audit trail</w:t>
      </w:r>
      <w:r>
        <w:rPr>
          <w:rFonts w:ascii="Figtree" w:hAnsi="Figtree"/>
          <w:b w:val="0"/>
          <w:i w:val="0"/>
          <w:sz w:val="22"/>
        </w:rPr>
        <w:t>: Every action logged with timestamp, actor, IP, and full payload</w:t>
      </w:r>
    </w:p>
    <w:p>
      <w:pPr>
        <w:pStyle w:val="ListParagraph"/>
        <w:numPr>
          <w:ilvl w:val="0"/>
          <w:numId w:val="4"/>
        </w:numPr>
      </w:pPr>
      <w:r>
        <w:rPr>
          <w:rFonts w:ascii="Figtree" w:hAnsi="Figtree"/>
          <w:b/>
          <w:i w:val="0"/>
          <w:sz w:val="22"/>
        </w:rPr>
        <w:t>Evidence export</w:t>
      </w:r>
      <w:r>
        <w:rPr>
          <w:rFonts w:ascii="Figtree" w:hAnsi="Figtree"/>
          <w:b w:val="0"/>
          <w:i w:val="0"/>
          <w:sz w:val="22"/>
        </w:rPr>
        <w:t>: Structured export for audit and regulatory review</w:t>
      </w:r>
    </w:p>
    <w:p>
      <w:pPr>
        <w:pStyle w:val="H2"/>
        <w:numPr>
          <w:ilvl w:val="1"/>
          <w:numId w:val="1"/>
        </w:numPr>
      </w:pPr>
      <w:r>
        <w:t>Testing and Assurance</w:t>
      </w:r>
    </w:p>
    <w:p>
      <w:pPr>
        <w:pStyle w:val="ListParagraph"/>
        <w:numPr>
          <w:ilvl w:val="0"/>
          <w:numId w:val="4"/>
        </w:numPr>
      </w:pPr>
      <w:r>
        <w:rPr>
          <w:rFonts w:ascii="Figtree" w:hAnsi="Figtree"/>
          <w:b/>
          <w:i w:val="0"/>
          <w:sz w:val="22"/>
        </w:rPr>
        <w:t>Annual penetration testing</w:t>
      </w:r>
      <w:r>
        <w:rPr>
          <w:rFonts w:ascii="Figtree" w:hAnsi="Figtree"/>
          <w:b w:val="0"/>
          <w:i w:val="0"/>
          <w:sz w:val="22"/>
        </w:rPr>
        <w:t xml:space="preserve"> by independent firm</w:t>
      </w:r>
    </w:p>
    <w:p>
      <w:pPr>
        <w:pStyle w:val="ListParagraph"/>
        <w:numPr>
          <w:ilvl w:val="0"/>
          <w:numId w:val="4"/>
        </w:numPr>
      </w:pPr>
      <w:r>
        <w:rPr>
          <w:rFonts w:ascii="Figtree" w:hAnsi="Figtree"/>
          <w:b/>
          <w:i w:val="0"/>
          <w:sz w:val="22"/>
        </w:rPr>
        <w:t>SOC 2 Type II</w:t>
      </w:r>
      <w:r>
        <w:rPr>
          <w:rFonts w:ascii="Figtree" w:hAnsi="Figtree"/>
          <w:b w:val="0"/>
          <w:i w:val="0"/>
          <w:sz w:val="22"/>
        </w:rPr>
        <w:t xml:space="preserve"> certification in progress</w:t>
      </w:r>
    </w:p>
    <w:p>
      <w:pPr>
        <w:pStyle w:val="ListParagraph"/>
        <w:numPr>
          <w:ilvl w:val="0"/>
          <w:numId w:val="4"/>
        </w:numPr>
      </w:pPr>
      <w:r>
        <w:rPr>
          <w:rFonts w:ascii="Figtree" w:hAnsi="Figtree"/>
          <w:b/>
          <w:i w:val="0"/>
          <w:sz w:val="22"/>
        </w:rPr>
        <w:t>Vulnerability scanning</w:t>
      </w:r>
      <w:r>
        <w:rPr>
          <w:rFonts w:ascii="Figtree" w:hAnsi="Figtree"/>
          <w:b w:val="0"/>
          <w:i w:val="0"/>
          <w:sz w:val="22"/>
        </w:rPr>
        <w:t>: Automated weekly scans with prioritized remediation</w:t>
      </w:r>
    </w:p>
    <w:p>
      <w:pPr>
        <w:pStyle w:val="ListParagraph"/>
        <w:numPr>
          <w:ilvl w:val="0"/>
          <w:numId w:val="4"/>
        </w:numPr>
      </w:pPr>
      <w:r>
        <w:rPr>
          <w:rFonts w:ascii="Figtree" w:hAnsi="Figtree"/>
          <w:b/>
          <w:i w:val="0"/>
          <w:sz w:val="22"/>
        </w:rPr>
        <w:t>Code signing</w:t>
      </w:r>
      <w:r>
        <w:rPr>
          <w:rFonts w:ascii="Figtree" w:hAnsi="Figtree"/>
          <w:b w:val="0"/>
          <w:i w:val="0"/>
          <w:sz w:val="22"/>
        </w:rPr>
        <w:t>: All deployments signed and verified</w:t>
      </w:r>
    </w:p>
    <w:p>
      <w:pPr>
        <w:pStyle w:val="ListParagraph"/>
        <w:numPr>
          <w:ilvl w:val="0"/>
          <w:numId w:val="4"/>
        </w:numPr>
      </w:pPr>
      <w:r>
        <w:rPr>
          <w:rFonts w:ascii="Figtree" w:hAnsi="Figtree"/>
          <w:b/>
          <w:i w:val="0"/>
          <w:sz w:val="22"/>
        </w:rPr>
        <w:t>Security review gates</w:t>
      </w:r>
      <w:r>
        <w:rPr>
          <w:rFonts w:ascii="Figtree" w:hAnsi="Figtree"/>
          <w:b w:val="0"/>
          <w:i w:val="0"/>
          <w:sz w:val="22"/>
        </w:rPr>
        <w:t>: Architecture review, threat modelling, and code review for every release</w:t>
      </w:r>
    </w:p>
    <w:p>
      <w:r>
        <w:br w:type="page"/>
      </w:r>
    </w:p>
    <w:p>
      <w:pPr>
        <w:pStyle w:val="H1"/>
        <w:numPr>
          <w:ilvl w:val="0"/>
          <w:numId w:val="1"/>
        </w:numPr>
      </w:pPr>
      <w:r>
        <w:t>8. Implementation Timeline</w:t>
      </w:r>
    </w:p>
    <w:p>
      <w:pPr>
        <w:pStyle w:val="H2"/>
        <w:numPr>
          <w:ilvl w:val="1"/>
          <w:numId w:val="1"/>
        </w:numPr>
      </w:pPr>
      <w:r>
        <w:t>Phase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0"/>
        <w:gridCol w:w="3736"/>
        <w:gridCol w:w="700"/>
        <w:gridCol w:w="30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Outputs</w:t>
            </w:r>
          </w:p>
        </w:tc>
      </w:tr>
      <w:tr>
        <w:trPr>
          <w:trHeight w:val="425" w:hRule="atLeast"/>
        </w:trPr>
        <w:tc>
          <w:tcPr>
            <w:tcW w:type="dxa" w:w="2436"/>
            <w:vAlign w:val="center"/>
          </w:tcPr>
          <w:p>
            <w:pPr>
              <w:spacing w:line="276" w:lineRule="auto" w:before="0" w:after="0"/>
            </w:pPr>
            <w:r/>
            <w:r>
              <w:rPr>
                <w:rFonts w:ascii="Figtree" w:hAnsi="Figtree"/>
                <w:b/>
                <w:i w:val="0"/>
                <w:sz w:val="20"/>
              </w:rPr>
              <w:t>1. Discovery &amp; Requirements</w:t>
            </w:r>
          </w:p>
        </w:tc>
        <w:tc>
          <w:tcPr>
            <w:tcW w:type="dxa" w:w="2436"/>
            <w:vAlign w:val="center"/>
          </w:tcPr>
          <w:p>
            <w:pPr>
              <w:spacing w:line="276" w:lineRule="auto" w:before="0" w:after="0"/>
            </w:pPr>
            <w:r/>
            <w:r>
              <w:rPr>
                <w:rFonts w:ascii="Figtree" w:hAnsi="Figtree"/>
                <w:b w:val="0"/>
                <w:i w:val="0"/>
                <w:sz w:val="20"/>
              </w:rPr>
              <w:t>Validate business requirements, regulatory assumptions, and target architecture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Requirements traceability, architecture validation report, RACI</w:t>
            </w:r>
          </w:p>
        </w:tc>
      </w:tr>
      <w:tr>
        <w:trPr>
          <w:trHeight w:val="425" w:hRule="atLeast"/>
        </w:trPr>
        <w:tc>
          <w:tcPr>
            <w:tcW w:type="dxa" w:w="2436"/>
            <w:vAlign w:val="center"/>
          </w:tcPr>
          <w:p>
            <w:pPr>
              <w:spacing w:line="276" w:lineRule="auto" w:before="0" w:after="0"/>
            </w:pPr>
            <w:r/>
            <w:r>
              <w:rPr>
                <w:rFonts w:ascii="Figtree" w:hAnsi="Figtree"/>
                <w:b/>
                <w:i w:val="0"/>
                <w:sz w:val="20"/>
              </w:rPr>
              <w:t>2. Foundation &amp; Setup</w:t>
            </w:r>
          </w:p>
        </w:tc>
        <w:tc>
          <w:tcPr>
            <w:tcW w:type="dxa" w:w="2436"/>
            <w:vAlign w:val="center"/>
          </w:tcPr>
          <w:p>
            <w:pPr>
              <w:spacing w:line="276" w:lineRule="auto" w:before="0" w:after="0"/>
            </w:pPr>
            <w:r/>
            <w:r>
              <w:rPr>
                <w:rFonts w:ascii="Figtree" w:hAnsi="Figtree"/>
                <w:b w:val="0"/>
                <w:i w:val="0"/>
                <w:sz w:val="20"/>
              </w:rPr>
              <w:t>Environment provisioning, network configuration, identity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Production-ready environments, integration baselines</w:t>
            </w:r>
          </w:p>
        </w:tc>
      </w:tr>
      <w:tr>
        <w:trPr>
          <w:trHeight w:val="425" w:hRule="atLeast"/>
        </w:trPr>
        <w:tc>
          <w:tcPr>
            <w:tcW w:type="dxa" w:w="2436"/>
            <w:vAlign w:val="center"/>
          </w:tcPr>
          <w:p>
            <w:pPr>
              <w:spacing w:line="276" w:lineRule="auto" w:before="0" w:after="0"/>
            </w:pPr>
            <w:r/>
            <w:r>
              <w:rPr>
                <w:rFonts w:ascii="Figtree" w:hAnsi="Figtree"/>
                <w:b/>
                <w:i w:val="0"/>
                <w:sz w:val="20"/>
              </w:rPr>
              <w:t>3. Configuration &amp; Compliance</w:t>
            </w:r>
          </w:p>
        </w:tc>
        <w:tc>
          <w:tcPr>
            <w:tcW w:type="dxa" w:w="2436"/>
            <w:vAlign w:val="center"/>
          </w:tcPr>
          <w:p>
            <w:pPr>
              <w:spacing w:line="276" w:lineRule="auto" w:before="0" w:after="0"/>
            </w:pPr>
            <w:r/>
            <w:r>
              <w:rPr>
                <w:rFonts w:ascii="Figtree" w:hAnsi="Figtree"/>
                <w:b w:val="0"/>
                <w:i w:val="0"/>
                <w:sz w:val="20"/>
              </w:rPr>
              <w:t>Asset configuration, compliance rules, workflow definition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Configured asset classes, compliance policies, approval workflows</w:t>
            </w:r>
          </w:p>
        </w:tc>
      </w:tr>
      <w:tr>
        <w:trPr>
          <w:trHeight w:val="425" w:hRule="atLeast"/>
        </w:trPr>
        <w:tc>
          <w:tcPr>
            <w:tcW w:type="dxa" w:w="2436"/>
            <w:vAlign w:val="center"/>
          </w:tcPr>
          <w:p>
            <w:pPr>
              <w:spacing w:line="276" w:lineRule="auto" w:before="0" w:after="0"/>
            </w:pPr>
            <w:r/>
            <w:r>
              <w:rPr>
                <w:rFonts w:ascii="Figtree" w:hAnsi="Figtree"/>
                <w:b/>
                <w:i w:val="0"/>
                <w:sz w:val="20"/>
              </w:rPr>
              <w:t>4. Integration &amp; Testing</w:t>
            </w:r>
          </w:p>
        </w:tc>
        <w:tc>
          <w:tcPr>
            <w:tcW w:type="dxa" w:w="2436"/>
            <w:vAlign w:val="center"/>
          </w:tcPr>
          <w:p>
            <w:pPr>
              <w:spacing w:line="276" w:lineRule="auto" w:before="0" w:after="0"/>
            </w:pPr>
            <w:r/>
            <w:r>
              <w:rPr>
                <w:rFonts w:ascii="Figtree" w:hAnsi="Figtree"/>
                <w:b w:val="0"/>
                <w:i w:val="0"/>
                <w:sz w:val="20"/>
              </w:rPr>
              <w:t>System integration, SIT, UAT, performance testing</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Integrated systems, test evidence, UAT sign-off</w:t>
            </w:r>
          </w:p>
        </w:tc>
      </w:tr>
      <w:tr>
        <w:trPr>
          <w:trHeight w:val="425" w:hRule="atLeast"/>
        </w:trPr>
        <w:tc>
          <w:tcPr>
            <w:tcW w:type="dxa" w:w="2436"/>
            <w:vAlign w:val="center"/>
          </w:tcPr>
          <w:p>
            <w:pPr>
              <w:spacing w:line="276" w:lineRule="auto" w:before="0" w:after="0"/>
            </w:pPr>
            <w:r/>
            <w:r>
              <w:rPr>
                <w:rFonts w:ascii="Figtree" w:hAnsi="Figtree"/>
                <w:b/>
                <w:i w:val="0"/>
                <w:sz w:val="20"/>
              </w:rPr>
              <w:t>5. Go-Live</w:t>
            </w:r>
          </w:p>
        </w:tc>
        <w:tc>
          <w:tcPr>
            <w:tcW w:type="dxa" w:w="2436"/>
            <w:vAlign w:val="center"/>
          </w:tcPr>
          <w:p>
            <w:pPr>
              <w:spacing w:line="276" w:lineRule="auto" w:before="0" w:after="0"/>
            </w:pPr>
            <w:r/>
            <w:r>
              <w:rPr>
                <w:rFonts w:ascii="Figtree" w:hAnsi="Figtree"/>
                <w:b w:val="0"/>
                <w:i w:val="0"/>
                <w:sz w:val="20"/>
              </w:rPr>
              <w:t>Production cutover, initial monitoring</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Live production system, cutover report</w:t>
            </w:r>
          </w:p>
        </w:tc>
      </w:tr>
      <w:tr>
        <w:trPr>
          <w:trHeight w:val="425" w:hRule="atLeast"/>
        </w:trPr>
        <w:tc>
          <w:tcPr>
            <w:tcW w:type="dxa" w:w="2436"/>
            <w:vAlign w:val="center"/>
          </w:tcPr>
          <w:p>
            <w:pPr>
              <w:spacing w:line="276" w:lineRule="auto" w:before="0" w:after="0"/>
            </w:pPr>
            <w:r/>
            <w:r>
              <w:rPr>
                <w:rFonts w:ascii="Figtree" w:hAnsi="Figtree"/>
                <w:b/>
                <w:i w:val="0"/>
                <w:sz w:val="20"/>
              </w:rPr>
              <w:t>6. Hypercare</w:t>
            </w:r>
          </w:p>
        </w:tc>
        <w:tc>
          <w:tcPr>
            <w:tcW w:type="dxa" w:w="2436"/>
            <w:vAlign w:val="center"/>
          </w:tcPr>
          <w:p>
            <w:pPr>
              <w:spacing w:line="276" w:lineRule="auto" w:before="0" w:after="0"/>
            </w:pPr>
            <w:r/>
            <w:r>
              <w:rPr>
                <w:rFonts w:ascii="Figtree" w:hAnsi="Figtree"/>
                <w:b w:val="0"/>
                <w:i w:val="0"/>
                <w:sz w:val="20"/>
              </w:rPr>
              <w:t>Stabilization, issue resolution, knowledge transfer</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Operational readiness, trained teams</w:t>
            </w:r>
          </w:p>
        </w:tc>
      </w:tr>
    </w:tbl>
    <w:p>
      <w:pPr>
        <w:spacing w:before="0" w:after="0" w:line="120" w:lineRule="exact"/>
      </w:pPr>
    </w:p>
    <w:p>
      <w:r>
        <w:rPr>
          <w:rFonts w:ascii="Figtree" w:hAnsi="Figtree"/>
          <w:b/>
          <w:i w:val="0"/>
          <w:sz w:val="22"/>
        </w:rPr>
        <w:t>Total indicative duration: 26 weeks</w:t>
      </w:r>
    </w:p>
    <w:p>
      <w:pPr>
        <w:pStyle w:val="H2"/>
        <w:numPr>
          <w:ilvl w:val="1"/>
          <w:numId w:val="1"/>
        </w:numPr>
      </w:pPr>
      <w:r>
        <w:t>Key Milestones</w:t>
      </w:r>
    </w:p>
    <w:p>
      <w:pPr>
        <w:pStyle w:val="ListParagraph"/>
        <w:numPr>
          <w:ilvl w:val="0"/>
          <w:numId w:val="4"/>
        </w:numPr>
      </w:pPr>
      <w:r>
        <w:rPr>
          <w:rFonts w:ascii="Figtree" w:hAnsi="Figtree"/>
          <w:b/>
          <w:i w:val="0"/>
          <w:sz w:val="22"/>
        </w:rPr>
        <w:t>M1 (Week 4)</w:t>
      </w:r>
      <w:r>
        <w:rPr>
          <w:rFonts w:ascii="Figtree" w:hAnsi="Figtree"/>
          <w:b w:val="0"/>
          <w:i w:val="0"/>
          <w:sz w:val="22"/>
        </w:rPr>
        <w:t>: Requirements validated, architecture approved</w:t>
      </w:r>
    </w:p>
    <w:p>
      <w:pPr>
        <w:pStyle w:val="ListParagraph"/>
        <w:numPr>
          <w:ilvl w:val="0"/>
          <w:numId w:val="4"/>
        </w:numPr>
      </w:pPr>
      <w:r>
        <w:rPr>
          <w:rFonts w:ascii="Figtree" w:hAnsi="Figtree"/>
          <w:b/>
          <w:i w:val="0"/>
          <w:sz w:val="22"/>
        </w:rPr>
        <w:t>M2 (Week 8)</w:t>
      </w:r>
      <w:r>
        <w:rPr>
          <w:rFonts w:ascii="Figtree" w:hAnsi="Figtree"/>
          <w:b w:val="0"/>
          <w:i w:val="0"/>
          <w:sz w:val="22"/>
        </w:rPr>
        <w:t>: Environments ready, integrations scoped</w:t>
      </w:r>
    </w:p>
    <w:p>
      <w:pPr>
        <w:pStyle w:val="ListParagraph"/>
        <w:numPr>
          <w:ilvl w:val="0"/>
          <w:numId w:val="4"/>
        </w:numPr>
      </w:pPr>
      <w:r>
        <w:rPr>
          <w:rFonts w:ascii="Figtree" w:hAnsi="Figtree"/>
          <w:b/>
          <w:i w:val="0"/>
          <w:sz w:val="22"/>
        </w:rPr>
        <w:t>M3 (Week 14)</w:t>
      </w:r>
      <w:r>
        <w:rPr>
          <w:rFonts w:ascii="Figtree" w:hAnsi="Figtree"/>
          <w:b w:val="0"/>
          <w:i w:val="0"/>
          <w:sz w:val="22"/>
        </w:rPr>
        <w:t>: Configuration complete, compliance mapped</w:t>
      </w:r>
    </w:p>
    <w:p>
      <w:pPr>
        <w:pStyle w:val="ListParagraph"/>
        <w:numPr>
          <w:ilvl w:val="0"/>
          <w:numId w:val="4"/>
        </w:numPr>
      </w:pPr>
      <w:r>
        <w:rPr>
          <w:rFonts w:ascii="Figtree" w:hAnsi="Figtree"/>
          <w:b/>
          <w:i w:val="0"/>
          <w:sz w:val="22"/>
        </w:rPr>
        <w:t>M4 (Week 20)</w:t>
      </w:r>
      <w:r>
        <w:rPr>
          <w:rFonts w:ascii="Figtree" w:hAnsi="Figtree"/>
          <w:b w:val="0"/>
          <w:i w:val="0"/>
          <w:sz w:val="22"/>
        </w:rPr>
        <w:t>: Testing complete, UAT signed off</w:t>
      </w:r>
    </w:p>
    <w:p>
      <w:pPr>
        <w:pStyle w:val="ListParagraph"/>
        <w:numPr>
          <w:ilvl w:val="0"/>
          <w:numId w:val="4"/>
        </w:numPr>
      </w:pPr>
      <w:r>
        <w:rPr>
          <w:rFonts w:ascii="Figtree" w:hAnsi="Figtree"/>
          <w:b/>
          <w:i w:val="0"/>
          <w:sz w:val="22"/>
        </w:rPr>
        <w:t>M5 (Week 22)</w:t>
      </w:r>
      <w:r>
        <w:rPr>
          <w:rFonts w:ascii="Figtree" w:hAnsi="Figtree"/>
          <w:b w:val="0"/>
          <w:i w:val="0"/>
          <w:sz w:val="22"/>
        </w:rPr>
        <w:t>: Go-live, production operations commence</w:t>
      </w:r>
    </w:p>
    <w:p>
      <w:pPr>
        <w:pStyle w:val="ListParagraph"/>
        <w:numPr>
          <w:ilvl w:val="0"/>
          <w:numId w:val="4"/>
        </w:numPr>
      </w:pPr>
      <w:r>
        <w:rPr>
          <w:rFonts w:ascii="Figtree" w:hAnsi="Figtree"/>
          <w:b/>
          <w:i w:val="0"/>
          <w:sz w:val="22"/>
        </w:rPr>
        <w:t>M6 (Week 26)</w:t>
      </w:r>
      <w:r>
        <w:rPr>
          <w:rFonts w:ascii="Figtree" w:hAnsi="Figtree"/>
          <w:b w:val="0"/>
          <w:i w:val="0"/>
          <w:sz w:val="22"/>
        </w:rPr>
        <w:t>: Hypercare complete, BAU handover</w:t>
      </w:r>
    </w:p>
    <w:p>
      <w:r>
        <w:br w:type="page"/>
      </w:r>
    </w:p>
    <w:p>
      <w:pPr>
        <w:pStyle w:val="H1"/>
        <w:numPr>
          <w:ilvl w:val="0"/>
          <w:numId w:val="1"/>
        </w:numPr>
      </w:pPr>
      <w:r>
        <w:t>9. Support &amp; SLA</w:t>
      </w:r>
    </w:p>
    <w:p>
      <w:pPr>
        <w:pStyle w:val="H2"/>
        <w:numPr>
          <w:ilvl w:val="1"/>
          <w:numId w:val="1"/>
        </w:numPr>
      </w:pPr>
      <w:r>
        <w:t>Support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80"/>
        <w:gridCol w:w="4004"/>
        <w:gridCol w:w="3024"/>
        <w:gridCol w:w="106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Channels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r>
      <w:tr>
        <w:trPr>
          <w:trHeight w:val="425" w:hRule="atLeast"/>
        </w:trPr>
        <w:tc>
          <w:tcPr>
            <w:tcW w:type="dxa" w:w="2436"/>
            <w:vAlign w:val="center"/>
          </w:tcPr>
          <w:p>
            <w:pPr>
              <w:spacing w:line="276" w:lineRule="auto" w:before="0" w:after="0"/>
            </w:pPr>
            <w:r/>
            <w:r>
              <w:rPr>
                <w:rFonts w:ascii="Figtree" w:hAnsi="Figtree"/>
                <w:b/>
                <w:i w:val="0"/>
                <w:sz w:val="20"/>
              </w:rPr>
              <w:t>Standard</w:t>
            </w:r>
          </w:p>
        </w:tc>
        <w:tc>
          <w:tcPr>
            <w:tcW w:type="dxa" w:w="2436"/>
            <w:vAlign w:val="center"/>
          </w:tcPr>
          <w:p>
            <w:pPr>
              <w:spacing w:line="276" w:lineRule="auto" w:before="0" w:after="0"/>
            </w:pPr>
            <w:r/>
            <w:r>
              <w:rPr>
                <w:rFonts w:ascii="Figtree" w:hAnsi="Figtree"/>
                <w:b w:val="0"/>
                <w:i w:val="0"/>
                <w:sz w:val="20"/>
              </w:rPr>
              <w:t>Business hours (09:00-18:00 ICT, Monday-Friday)</w:t>
            </w:r>
          </w:p>
        </w:tc>
        <w:tc>
          <w:tcPr>
            <w:tcW w:type="dxa" w:w="2436"/>
            <w:vAlign w:val="center"/>
          </w:tcPr>
          <w:p>
            <w:pPr>
              <w:spacing w:line="276" w:lineRule="auto" w:before="0" w:after="0"/>
            </w:pPr>
            <w:r/>
            <w:r>
              <w:rPr>
                <w:rFonts w:ascii="Figtree" w:hAnsi="Figtree"/>
                <w:b w:val="0"/>
                <w:i w:val="0"/>
                <w:sz w:val="20"/>
              </w:rPr>
              <w:t>Email, Ticket Portal</w:t>
            </w:r>
          </w:p>
        </w:tc>
        <w:tc>
          <w:tcPr>
            <w:tcW w:type="dxa" w:w="2436"/>
            <w:vAlign w:val="center"/>
          </w:tcPr>
          <w:p>
            <w:pPr>
              <w:spacing w:line="276" w:lineRule="auto" w:before="0" w:after="0"/>
            </w:pPr>
            <w:r/>
            <w:r>
              <w:rPr>
                <w:rFonts w:ascii="Figtree" w:hAnsi="Figtree"/>
                <w:b w:val="0"/>
                <w:i w:val="0"/>
                <w:sz w:val="20"/>
              </w:rPr>
              <w:t>99.5%</w:t>
            </w:r>
          </w:p>
        </w:tc>
      </w:tr>
      <w:tr>
        <w:trPr>
          <w:trHeight w:val="425" w:hRule="atLeast"/>
        </w:trPr>
        <w:tc>
          <w:tcPr>
            <w:tcW w:type="dxa" w:w="2436"/>
            <w:vAlign w:val="center"/>
          </w:tcPr>
          <w:p>
            <w:pPr>
              <w:spacing w:line="276" w:lineRule="auto" w:before="0" w:after="0"/>
            </w:pPr>
            <w:r/>
            <w:r>
              <w:rPr>
                <w:rFonts w:ascii="Figtree" w:hAnsi="Figtree"/>
                <w:b/>
                <w:i w:val="0"/>
                <w:sz w:val="20"/>
              </w:rPr>
              <w:t>Extended</w:t>
            </w:r>
          </w:p>
        </w:tc>
        <w:tc>
          <w:tcPr>
            <w:tcW w:type="dxa" w:w="2436"/>
            <w:vAlign w:val="center"/>
          </w:tcPr>
          <w:p>
            <w:pPr>
              <w:spacing w:line="276" w:lineRule="auto" w:before="0" w:after="0"/>
            </w:pPr>
            <w:r/>
            <w:r>
              <w:rPr>
                <w:rFonts w:ascii="Figtree" w:hAnsi="Figtree"/>
                <w:b w:val="0"/>
                <w:i w:val="0"/>
                <w:sz w:val="20"/>
              </w:rPr>
              <w:t>Extended hours (07:00-22:00 ICT, Monday-Saturday)</w:t>
            </w:r>
          </w:p>
        </w:tc>
        <w:tc>
          <w:tcPr>
            <w:tcW w:type="dxa" w:w="2436"/>
            <w:vAlign w:val="center"/>
          </w:tcPr>
          <w:p>
            <w:pPr>
              <w:spacing w:line="276" w:lineRule="auto" w:before="0" w:after="0"/>
            </w:pPr>
            <w:r/>
            <w:r>
              <w:rPr>
                <w:rFonts w:ascii="Figtree" w:hAnsi="Figtree"/>
                <w:b w:val="0"/>
                <w:i w:val="0"/>
                <w:sz w:val="20"/>
              </w:rPr>
              <w:t>Email, Ticket, Phone</w:t>
            </w:r>
          </w:p>
        </w:tc>
        <w:tc>
          <w:tcPr>
            <w:tcW w:type="dxa" w:w="2436"/>
            <w:vAlign w:val="center"/>
          </w:tcPr>
          <w:p>
            <w:pPr>
              <w:spacing w:line="276" w:lineRule="auto" w:before="0" w:after="0"/>
            </w:pPr>
            <w:r/>
            <w:r>
              <w:rPr>
                <w:rFonts w:ascii="Figtree" w:hAnsi="Figtree"/>
                <w:b w:val="0"/>
                <w:i w:val="0"/>
                <w:sz w:val="20"/>
              </w:rPr>
              <w:t>99.9%</w:t>
            </w:r>
          </w:p>
        </w:tc>
      </w:tr>
      <w:tr>
        <w:trPr>
          <w:trHeight w:val="425" w:hRule="atLeast"/>
        </w:trPr>
        <w:tc>
          <w:tcPr>
            <w:tcW w:type="dxa" w:w="2436"/>
            <w:vAlign w:val="center"/>
          </w:tcPr>
          <w:p>
            <w:pPr>
              <w:spacing w:line="276" w:lineRule="auto" w:before="0" w:after="0"/>
            </w:pPr>
            <w:r/>
            <w:r>
              <w:rPr>
                <w:rFonts w:ascii="Figtree" w:hAnsi="Figtree"/>
                <w:b/>
                <w:i w:val="0"/>
                <w:sz w:val="20"/>
              </w:rPr>
              <w:t>Premium</w:t>
            </w:r>
          </w:p>
        </w:tc>
        <w:tc>
          <w:tcPr>
            <w:tcW w:type="dxa" w:w="2436"/>
            <w:vAlign w:val="center"/>
          </w:tcPr>
          <w:p>
            <w:pPr>
              <w:spacing w:line="276" w:lineRule="auto" w:before="0" w:after="0"/>
            </w:pPr>
            <w:r/>
            <w:r>
              <w:rPr>
                <w:rFonts w:ascii="Figtree" w:hAnsi="Figtree"/>
                <w:b w:val="0"/>
                <w:i w:val="0"/>
                <w:sz w:val="20"/>
              </w:rPr>
              <w:t>24/7/365</w:t>
            </w:r>
          </w:p>
        </w:tc>
        <w:tc>
          <w:tcPr>
            <w:tcW w:type="dxa" w:w="2436"/>
            <w:vAlign w:val="center"/>
          </w:tcPr>
          <w:p>
            <w:pPr>
              <w:spacing w:line="276" w:lineRule="auto" w:before="0" w:after="0"/>
            </w:pPr>
            <w:r/>
            <w:r>
              <w:rPr>
                <w:rFonts w:ascii="Figtree" w:hAnsi="Figtree"/>
                <w:b w:val="0"/>
                <w:i w:val="0"/>
                <w:sz w:val="20"/>
              </w:rPr>
              <w:t>Email, Ticket, Phone, Dedicated Slack</w:t>
            </w:r>
          </w:p>
        </w:tc>
        <w:tc>
          <w:tcPr>
            <w:tcW w:type="dxa" w:w="2436"/>
            <w:vAlign w:val="center"/>
          </w:tcPr>
          <w:p>
            <w:pPr>
              <w:spacing w:line="276" w:lineRule="auto" w:before="0" w:after="0"/>
            </w:pPr>
            <w:r/>
            <w:r>
              <w:rPr>
                <w:rFonts w:ascii="Figtree" w:hAnsi="Figtree"/>
                <w:b w:val="0"/>
                <w:i w:val="0"/>
                <w:sz w:val="20"/>
              </w:rPr>
              <w:t>99.95%</w:t>
            </w:r>
          </w:p>
        </w:tc>
      </w:tr>
    </w:tbl>
    <w:p>
      <w:pPr>
        <w:spacing w:before="0" w:after="0" w:line="120" w:lineRule="exact"/>
      </w:pPr>
    </w:p>
    <w:p>
      <w:pPr>
        <w:pStyle w:val="H2"/>
        <w:numPr>
          <w:ilvl w:val="1"/>
          <w:numId w:val="1"/>
        </w:numPr>
      </w:pPr>
      <w:r>
        <w:t>Severity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0"/>
        <w:gridCol w:w="4342"/>
        <w:gridCol w:w="1447"/>
        <w:gridCol w:w="16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i w:val="0"/>
                <w:sz w:val="20"/>
              </w:rPr>
              <w:t>Critical (P1)</w:t>
            </w:r>
          </w:p>
        </w:tc>
        <w:tc>
          <w:tcPr>
            <w:tcW w:type="dxa" w:w="2436"/>
            <w:vAlign w:val="center"/>
          </w:tcPr>
          <w:p>
            <w:pPr>
              <w:spacing w:line="276" w:lineRule="auto" w:before="0" w:after="0"/>
            </w:pPr>
            <w:r/>
            <w:r>
              <w:rPr>
                <w:rFonts w:ascii="Figtree" w:hAnsi="Figtree"/>
                <w:b w:val="0"/>
                <w:i w:val="0"/>
                <w:sz w:val="20"/>
              </w:rPr>
              <w:t>Production down, complete functional blockage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High (P2)</w:t>
            </w:r>
          </w:p>
        </w:tc>
        <w:tc>
          <w:tcPr>
            <w:tcW w:type="dxa" w:w="2436"/>
            <w:vAlign w:val="center"/>
          </w:tcPr>
          <w:p>
            <w:pPr>
              <w:spacing w:line="276" w:lineRule="auto" w:before="0" w:after="0"/>
            </w:pPr>
            <w:r/>
            <w:r>
              <w:rPr>
                <w:rFonts w:ascii="Figtree" w:hAnsi="Figtree"/>
                <w:b w:val="0"/>
                <w:i w:val="0"/>
                <w:sz w:val="20"/>
              </w:rPr>
              <w:t>Major feature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i w:val="0"/>
                <w:sz w:val="20"/>
              </w:rPr>
              <w:t>Medium (P3)</w:t>
            </w:r>
          </w:p>
        </w:tc>
        <w:tc>
          <w:tcPr>
            <w:tcW w:type="dxa" w:w="2436"/>
            <w:vAlign w:val="center"/>
          </w:tcPr>
          <w:p>
            <w:pPr>
              <w:spacing w:line="276" w:lineRule="auto" w:before="0" w:after="0"/>
            </w:pPr>
            <w:r/>
            <w:r>
              <w:rPr>
                <w:rFonts w:ascii="Figtree" w:hAnsi="Figtree"/>
                <w:b w:val="0"/>
                <w:i w:val="0"/>
                <w:sz w:val="20"/>
              </w:rPr>
              <w:t>Minor feature issue, limited business impact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i w:val="0"/>
                <w:sz w:val="20"/>
              </w:rPr>
              <w:t>Low (P4)</w:t>
            </w:r>
          </w:p>
        </w:tc>
        <w:tc>
          <w:tcPr>
            <w:tcW w:type="dxa" w:w="2436"/>
            <w:vAlign w:val="center"/>
          </w:tcPr>
          <w:p>
            <w:pPr>
              <w:spacing w:line="276" w:lineRule="auto" w:before="0" w:after="0"/>
            </w:pPr>
            <w:r/>
            <w:r>
              <w:rPr>
                <w:rFonts w:ascii="Figtree" w:hAnsi="Figtree"/>
                <w:b w:val="0"/>
                <w:i w:val="0"/>
                <w:sz w:val="20"/>
              </w:rPr>
              <w:t>Cosmetic issue, enhancement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Escalation Path</w:t>
      </w:r>
    </w:p>
    <w:p>
      <w:pPr>
        <w:pStyle w:val="ListParagraph"/>
        <w:numPr>
          <w:ilvl w:val="0"/>
          <w:numId w:val="8"/>
        </w:numPr>
      </w:pPr>
      <w:r>
        <w:rPr>
          <w:rFonts w:ascii="Figtree" w:hAnsi="Figtree"/>
          <w:b/>
          <w:i w:val="0"/>
          <w:sz w:val="22"/>
        </w:rPr>
        <w:t>Level 1</w:t>
      </w:r>
      <w:r>
        <w:rPr>
          <w:rFonts w:ascii="Figtree" w:hAnsi="Figtree"/>
          <w:b w:val="0"/>
          <w:i w:val="0"/>
          <w:sz w:val="22"/>
        </w:rPr>
        <w:t>: Support team (tickets@settlemint.com)</w:t>
      </w:r>
    </w:p>
    <w:p>
      <w:pPr>
        <w:pStyle w:val="ListParagraph"/>
        <w:numPr>
          <w:ilvl w:val="0"/>
          <w:numId w:val="8"/>
        </w:numPr>
      </w:pPr>
      <w:r>
        <w:rPr>
          <w:rFonts w:ascii="Figtree" w:hAnsi="Figtree"/>
          <w:b/>
          <w:i w:val="0"/>
          <w:sz w:val="22"/>
        </w:rPr>
        <w:t>Level 2</w:t>
      </w:r>
      <w:r>
        <w:rPr>
          <w:rFonts w:ascii="Figtree" w:hAnsi="Figtree"/>
          <w:b w:val="0"/>
          <w:i w:val="0"/>
          <w:sz w:val="22"/>
        </w:rPr>
        <w:t>: Support lead — escalation after 2x response target</w:t>
      </w:r>
    </w:p>
    <w:p>
      <w:pPr>
        <w:pStyle w:val="ListParagraph"/>
        <w:numPr>
          <w:ilvl w:val="0"/>
          <w:numId w:val="8"/>
        </w:numPr>
      </w:pPr>
      <w:r>
        <w:rPr>
          <w:rFonts w:ascii="Figtree" w:hAnsi="Figtree"/>
          <w:b/>
          <w:i w:val="0"/>
          <w:sz w:val="22"/>
        </w:rPr>
        <w:t>Level 3</w:t>
      </w:r>
      <w:r>
        <w:rPr>
          <w:rFonts w:ascii="Figtree" w:hAnsi="Figtree"/>
          <w:b w:val="0"/>
          <w:i w:val="0"/>
          <w:sz w:val="22"/>
        </w:rPr>
        <w:t>: Customer Success Manager — escalation after resolution target</w:t>
      </w:r>
    </w:p>
    <w:p>
      <w:pPr>
        <w:pStyle w:val="ListParagraph"/>
        <w:numPr>
          <w:ilvl w:val="0"/>
          <w:numId w:val="8"/>
        </w:numPr>
      </w:pPr>
      <w:r>
        <w:rPr>
          <w:rFonts w:ascii="Figtree" w:hAnsi="Figtree"/>
          <w:b/>
          <w:i w:val="0"/>
          <w:sz w:val="22"/>
        </w:rPr>
        <w:t>Level 4</w:t>
      </w:r>
      <w:r>
        <w:rPr>
          <w:rFonts w:ascii="Figtree" w:hAnsi="Figtree"/>
          <w:b w:val="0"/>
          <w:i w:val="0"/>
          <w:sz w:val="22"/>
        </w:rPr>
        <w:t>: VP Engineering — critical escalations only</w:t>
      </w:r>
    </w:p>
    <w:p>
      <w:r>
        <w:br w:type="page"/>
      </w:r>
    </w:p>
    <w:p>
      <w:pPr>
        <w:pStyle w:val="H1"/>
        <w:numPr>
          <w:ilvl w:val="0"/>
          <w:numId w:val="1"/>
        </w:numPr>
      </w:pPr>
      <w:r>
        <w:t>10.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2"/>
        <w:gridCol w:w="707"/>
        <w:gridCol w:w="5227"/>
        <w:gridCol w:w="80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2436"/>
            <w:vAlign w:val="center"/>
          </w:tcPr>
          <w:p>
            <w:pPr>
              <w:spacing w:line="276" w:lineRule="auto" w:before="0" w:after="0"/>
            </w:pPr>
            <w:r/>
            <w:r>
              <w:rPr>
                <w:rFonts w:ascii="Figtree" w:hAnsi="Figtree"/>
                <w:b/>
                <w:i w:val="0"/>
                <w:sz w:val="20"/>
              </w:rPr>
              <w:t>Integration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integration scoping; mock services for parallel development</w:t>
            </w:r>
          </w:p>
        </w:tc>
        <w:tc>
          <w:tcPr>
            <w:tcW w:type="dxa" w:w="2436"/>
            <w:vAlign w:val="center"/>
          </w:tcPr>
          <w:p>
            <w:pPr>
              <w:spacing w:line="276" w:lineRule="auto" w:before="0" w:after="0"/>
            </w:pPr>
            <w:r/>
            <w:r>
              <w:rPr>
                <w:rFonts w:ascii="Figtree" w:hAnsi="Figtree"/>
                <w:b w:val="0"/>
                <w:i w:val="0"/>
                <w:sz w:val="20"/>
              </w:rPr>
              <w:t>SettleMint</w:t>
            </w:r>
          </w:p>
        </w:tc>
      </w:tr>
      <w:tr>
        <w:trPr>
          <w:trHeight w:val="425" w:hRule="atLeast"/>
        </w:trPr>
        <w:tc>
          <w:tcPr>
            <w:tcW w:type="dxa" w:w="2436"/>
            <w:vAlign w:val="center"/>
          </w:tcPr>
          <w:p>
            <w:pPr>
              <w:spacing w:line="276" w:lineRule="auto" w:before="0" w:after="0"/>
            </w:pPr>
            <w:r/>
            <w:r>
              <w:rPr>
                <w:rFonts w:ascii="Figtree" w:hAnsi="Figtree"/>
                <w:b/>
                <w:i w:val="0"/>
                <w:sz w:val="20"/>
              </w:rPr>
              <w:t>Client dependency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Clear dependency tracking; weekly review; escalation path</w:t>
            </w:r>
          </w:p>
        </w:tc>
        <w:tc>
          <w:tcPr>
            <w:tcW w:type="dxa" w:w="2436"/>
            <w:vAlign w:val="center"/>
          </w:tcPr>
          <w:p>
            <w:pPr>
              <w:spacing w:line="276" w:lineRule="auto" w:before="0" w:after="0"/>
            </w:pPr>
            <w:r/>
            <w:r>
              <w:rPr>
                <w:rFonts w:ascii="Figtree" w:hAnsi="Figtree"/>
                <w:b w:val="0"/>
                <w:i w:val="0"/>
                <w:sz w:val="20"/>
              </w:rPr>
              <w:t>SET</w:t>
            </w:r>
          </w:p>
        </w:tc>
      </w:tr>
      <w:tr>
        <w:trPr>
          <w:trHeight w:val="425" w:hRule="atLeast"/>
        </w:trPr>
        <w:tc>
          <w:tcPr>
            <w:tcW w:type="dxa" w:w="2436"/>
            <w:vAlign w:val="center"/>
          </w:tcPr>
          <w:p>
            <w:pPr>
              <w:spacing w:line="276" w:lineRule="auto" w:before="0" w:after="0"/>
            </w:pPr>
            <w:r/>
            <w:r>
              <w:rPr>
                <w:rFonts w:ascii="Figtree" w:hAnsi="Figtree"/>
                <w:b/>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Modular compliance architecture; configuration-driven rules</w:t>
            </w:r>
          </w:p>
        </w:tc>
        <w:tc>
          <w:tcPr>
            <w:tcW w:type="dxa" w:w="2436"/>
            <w:vAlign w:val="center"/>
          </w:tcPr>
          <w:p>
            <w:pPr>
              <w:spacing w:line="276" w:lineRule="auto" w:before="0" w:after="0"/>
            </w:pPr>
            <w:r/>
            <w:r>
              <w:rPr>
                <w:rFonts w:ascii="Figtree" w:hAnsi="Figtree"/>
                <w:b w:val="0"/>
                <w:i w:val="0"/>
                <w:sz w:val="20"/>
              </w:rPr>
              <w:t>Joint</w:t>
            </w:r>
          </w:p>
        </w:tc>
      </w:tr>
      <w:tr>
        <w:trPr>
          <w:trHeight w:val="425" w:hRule="atLeast"/>
        </w:trPr>
        <w:tc>
          <w:tcPr>
            <w:tcW w:type="dxa" w:w="2436"/>
            <w:vAlign w:val="center"/>
          </w:tcPr>
          <w:p>
            <w:pPr>
              <w:spacing w:line="276" w:lineRule="auto" w:before="0" w:after="0"/>
            </w:pPr>
            <w:r/>
            <w:r>
              <w:rPr>
                <w:rFonts w:ascii="Figtree" w:hAnsi="Figtree"/>
                <w:b/>
                <w:i w:val="0"/>
                <w:sz w:val="20"/>
              </w:rPr>
              <w:t>Environment readiness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Infrastructure-as-code; flexible deployment options</w:t>
            </w:r>
          </w:p>
        </w:tc>
        <w:tc>
          <w:tcPr>
            <w:tcW w:type="dxa" w:w="2436"/>
            <w:vAlign w:val="center"/>
          </w:tcPr>
          <w:p>
            <w:pPr>
              <w:spacing w:line="276" w:lineRule="auto" w:before="0" w:after="0"/>
            </w:pPr>
            <w:r/>
            <w:r>
              <w:rPr>
                <w:rFonts w:ascii="Figtree" w:hAnsi="Figtree"/>
                <w:b w:val="0"/>
                <w:i w:val="0"/>
                <w:sz w:val="20"/>
              </w:rPr>
              <w:t>SET</w:t>
            </w:r>
          </w:p>
        </w:tc>
      </w:tr>
      <w:tr>
        <w:trPr>
          <w:trHeight w:val="425" w:hRule="atLeast"/>
        </w:trPr>
        <w:tc>
          <w:tcPr>
            <w:tcW w:type="dxa" w:w="2436"/>
            <w:vAlign w:val="center"/>
          </w:tcPr>
          <w:p>
            <w:pPr>
              <w:spacing w:line="276" w:lineRule="auto" w:before="0" w:after="0"/>
            </w:pPr>
            <w:r/>
            <w:r>
              <w:rPr>
                <w:rFonts w:ascii="Figtree" w:hAnsi="Figtree"/>
                <w:b/>
                <w:i w:val="0"/>
                <w:sz w:val="20"/>
              </w:rPr>
              <w:t>Third-party dependency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Fireblocks/DFNS dual-custody option; abstraction layer</w:t>
            </w:r>
          </w:p>
        </w:tc>
        <w:tc>
          <w:tcPr>
            <w:tcW w:type="dxa" w:w="2436"/>
            <w:vAlign w:val="center"/>
          </w:tcPr>
          <w:p>
            <w:pPr>
              <w:spacing w:line="276" w:lineRule="auto" w:before="0" w:after="0"/>
            </w:pPr>
            <w:r/>
            <w:r>
              <w:rPr>
                <w:rFonts w:ascii="Figtree" w:hAnsi="Figtree"/>
                <w:b w:val="0"/>
                <w:i w:val="0"/>
                <w:sz w:val="20"/>
              </w:rPr>
              <w:t>SettleMint</w:t>
            </w:r>
          </w:p>
        </w:tc>
      </w:tr>
      <w:tr>
        <w:trPr>
          <w:trHeight w:val="425" w:hRule="atLeast"/>
        </w:trPr>
        <w:tc>
          <w:tcPr>
            <w:tcW w:type="dxa" w:w="2436"/>
            <w:vAlign w:val="center"/>
          </w:tcPr>
          <w:p>
            <w:pPr>
              <w:spacing w:line="276" w:lineRule="auto" w:before="0" w:after="0"/>
            </w:pPr>
            <w:r/>
            <w:r>
              <w:rPr>
                <w:rFonts w:ascii="Figtree" w:hAnsi="Figtree"/>
                <w:b/>
                <w:i w:val="0"/>
                <w:sz w:val="20"/>
              </w:rPr>
              <w:t>Key management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HSM integration guidance; break-glass runbooks</w:t>
            </w:r>
          </w:p>
        </w:tc>
        <w:tc>
          <w:tcPr>
            <w:tcW w:type="dxa" w:w="2436"/>
            <w:vAlign w:val="center"/>
          </w:tcPr>
          <w:p>
            <w:pPr>
              <w:spacing w:line="276" w:lineRule="auto" w:before="0" w:after="0"/>
            </w:pPr>
            <w:r/>
            <w:r>
              <w:rPr>
                <w:rFonts w:ascii="Figtree" w:hAnsi="Figtree"/>
                <w:b w:val="0"/>
                <w:i w:val="0"/>
                <w:sz w:val="20"/>
              </w:rPr>
              <w:t>Joint</w:t>
            </w:r>
          </w:p>
        </w:tc>
      </w:tr>
      <w:tr>
        <w:trPr>
          <w:trHeight w:val="425" w:hRule="atLeast"/>
        </w:trPr>
        <w:tc>
          <w:tcPr>
            <w:tcW w:type="dxa" w:w="2436"/>
            <w:vAlign w:val="center"/>
          </w:tcPr>
          <w:p>
            <w:pPr>
              <w:spacing w:line="276" w:lineRule="auto" w:before="0" w:after="0"/>
            </w:pPr>
            <w:r/>
            <w:r>
              <w:rPr>
                <w:rFonts w:ascii="Figtree" w:hAnsi="Figtree"/>
                <w:b/>
                <w:i w:val="0"/>
                <w:sz w:val="20"/>
              </w:rPr>
              <w:t>Operational training</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Structured KT programme; shadow period; runbook delivery</w:t>
            </w:r>
          </w:p>
        </w:tc>
        <w:tc>
          <w:tcPr>
            <w:tcW w:type="dxa" w:w="2436"/>
            <w:vAlign w:val="center"/>
          </w:tcPr>
          <w:p>
            <w:pPr>
              <w:spacing w:line="276" w:lineRule="auto" w:before="0" w:after="0"/>
            </w:pPr>
            <w:r/>
            <w:r>
              <w:rPr>
                <w:rFonts w:ascii="Figtree" w:hAnsi="Figtree"/>
                <w:b w:val="0"/>
                <w:i w:val="0"/>
                <w:sz w:val="20"/>
              </w:rPr>
              <w:t>SettleMint</w:t>
            </w:r>
          </w:p>
        </w:tc>
      </w:tr>
    </w:tbl>
    <w:p>
      <w:pPr>
        <w:spacing w:before="0" w:after="0" w:line="120" w:lineRule="exact"/>
      </w:pPr>
    </w:p>
    <w:p>
      <w:r>
        <w:br w:type="page"/>
      </w:r>
    </w:p>
    <w:p>
      <w:pPr>
        <w:pStyle w:val="H1"/>
        <w:numPr>
          <w:ilvl w:val="0"/>
          <w:numId w:val="1"/>
        </w:numPr>
      </w:pPr>
      <w:r>
        <w:t>11. Project Implementation &amp; Delivery</w:t>
      </w:r>
    </w:p>
    <w:p>
      <w:pPr>
        <w:pStyle w:val="H2"/>
        <w:numPr>
          <w:ilvl w:val="1"/>
          <w:numId w:val="1"/>
        </w:numPr>
      </w:pPr>
      <w:r>
        <w:t>Delivery Methodology</w:t>
      </w:r>
    </w:p>
    <w:p>
      <w:r>
        <w:rPr>
          <w:rFonts w:ascii="Figtree" w:hAnsi="Figtree"/>
          <w:b w:val="0"/>
          <w:i w:val="0"/>
          <w:sz w:val="22"/>
        </w:rPr>
        <w:t xml:space="preserve">SettleMint follows a </w:t>
      </w:r>
      <w:r>
        <w:rPr>
          <w:rFonts w:ascii="Figtree" w:hAnsi="Figtree"/>
          <w:b/>
          <w:i w:val="0"/>
          <w:sz w:val="22"/>
        </w:rPr>
        <w:t>phased delivery methodology</w:t>
      </w:r>
      <w:r>
        <w:rPr>
          <w:rFonts w:ascii="Figtree" w:hAnsi="Figtree"/>
          <w:b w:val="0"/>
          <w:i w:val="0"/>
          <w:sz w:val="22"/>
        </w:rPr>
        <w:t xml:space="preserve"> tailored for regulated institutional programmes:</w:t>
      </w:r>
    </w:p>
    <w:p>
      <w:pPr>
        <w:pStyle w:val="ListParagraph"/>
        <w:numPr>
          <w:ilvl w:val="0"/>
          <w:numId w:val="9"/>
        </w:numPr>
      </w:pPr>
      <w:r>
        <w:rPr>
          <w:rFonts w:ascii="Figtree" w:hAnsi="Figtree"/>
          <w:b/>
          <w:i w:val="0"/>
          <w:sz w:val="22"/>
        </w:rPr>
        <w:t>Governed delivery</w:t>
      </w:r>
      <w:r>
        <w:rPr>
          <w:rFonts w:ascii="Figtree" w:hAnsi="Figtree"/>
          <w:b w:val="0"/>
          <w:i w:val="0"/>
          <w:sz w:val="22"/>
        </w:rPr>
        <w:t>: Every phase has defined entry and exit criteria</w:t>
      </w:r>
    </w:p>
    <w:p>
      <w:pPr>
        <w:pStyle w:val="ListParagraph"/>
        <w:numPr>
          <w:ilvl w:val="0"/>
          <w:numId w:val="9"/>
        </w:numPr>
      </w:pPr>
      <w:r>
        <w:rPr>
          <w:rFonts w:ascii="Figtree" w:hAnsi="Figtree"/>
          <w:b/>
          <w:i w:val="0"/>
          <w:sz w:val="22"/>
        </w:rPr>
        <w:t>Iterative configuration</w:t>
      </w:r>
      <w:r>
        <w:rPr>
          <w:rFonts w:ascii="Figtree" w:hAnsi="Figtree"/>
          <w:b w:val="0"/>
          <w:i w:val="0"/>
          <w:sz w:val="22"/>
        </w:rPr>
        <w:t>: Business rules and workflows refined through UAT feedback</w:t>
      </w:r>
    </w:p>
    <w:p>
      <w:pPr>
        <w:pStyle w:val="ListParagraph"/>
        <w:numPr>
          <w:ilvl w:val="0"/>
          <w:numId w:val="9"/>
        </w:numPr>
      </w:pPr>
      <w:r>
        <w:rPr>
          <w:rFonts w:ascii="Figtree" w:hAnsi="Figtree"/>
          <w:b/>
          <w:i w:val="0"/>
          <w:sz w:val="22"/>
        </w:rPr>
        <w:t>Evidence-driven</w:t>
      </w:r>
      <w:r>
        <w:rPr>
          <w:rFonts w:ascii="Figtree" w:hAnsi="Figtree"/>
          <w:b w:val="0"/>
          <w:i w:val="0"/>
          <w:sz w:val="22"/>
        </w:rPr>
        <w:t>: Test evidence, configuration documents, and audit artifacts produced at each gate</w:t>
      </w:r>
    </w:p>
    <w:p>
      <w:pPr>
        <w:pStyle w:val="ListParagraph"/>
        <w:numPr>
          <w:ilvl w:val="0"/>
          <w:numId w:val="9"/>
        </w:numPr>
      </w:pPr>
      <w:r>
        <w:rPr>
          <w:rFonts w:ascii="Figtree" w:hAnsi="Figtree"/>
          <w:b/>
          <w:i w:val="0"/>
          <w:sz w:val="22"/>
        </w:rPr>
        <w:t>Risk-aware</w:t>
      </w:r>
      <w:r>
        <w:rPr>
          <w:rFonts w:ascii="Figtree" w:hAnsi="Figtree"/>
          <w:b w:val="0"/>
          <w:i w:val="0"/>
          <w:sz w:val="22"/>
        </w:rPr>
        <w:t>: RAID register maintained weekly with clear ownership and escalation paths</w:t>
      </w:r>
    </w:p>
    <w:p>
      <w:pPr>
        <w:pStyle w:val="H2"/>
        <w:numPr>
          <w:ilvl w:val="1"/>
          <w:numId w:val="1"/>
        </w:numPr>
      </w:pPr>
      <w:r>
        <w:t>Governance Structure</w:t>
      </w:r>
    </w:p>
    <w:p>
      <w:pPr>
        <w:pStyle w:val="ListParagraph"/>
        <w:numPr>
          <w:ilvl w:val="0"/>
          <w:numId w:val="4"/>
        </w:numPr>
      </w:pPr>
      <w:r>
        <w:rPr>
          <w:rFonts w:ascii="Figtree" w:hAnsi="Figtree"/>
          <w:b/>
          <w:i w:val="0"/>
          <w:sz w:val="22"/>
        </w:rPr>
        <w:t>Steering Committee</w:t>
      </w:r>
      <w:r>
        <w:rPr>
          <w:rFonts w:ascii="Figtree" w:hAnsi="Figtree"/>
          <w:b w:val="0"/>
          <w:i w:val="0"/>
          <w:sz w:val="22"/>
        </w:rPr>
        <w:t>: Monthly review, major decision approval</w:t>
      </w:r>
    </w:p>
    <w:p>
      <w:pPr>
        <w:pStyle w:val="ListParagraph"/>
        <w:numPr>
          <w:ilvl w:val="0"/>
          <w:numId w:val="4"/>
        </w:numPr>
      </w:pPr>
      <w:r>
        <w:rPr>
          <w:rFonts w:ascii="Figtree" w:hAnsi="Figtree"/>
          <w:b/>
          <w:i w:val="0"/>
          <w:sz w:val="22"/>
        </w:rPr>
        <w:t>Design Authority</w:t>
      </w:r>
      <w:r>
        <w:rPr>
          <w:rFonts w:ascii="Figtree" w:hAnsi="Figtree"/>
          <w:b w:val="0"/>
          <w:i w:val="0"/>
          <w:sz w:val="22"/>
        </w:rPr>
        <w:t>: Fortnightly architecture and security reviews</w:t>
      </w:r>
    </w:p>
    <w:p>
      <w:pPr>
        <w:pStyle w:val="ListParagraph"/>
        <w:numPr>
          <w:ilvl w:val="0"/>
          <w:numId w:val="4"/>
        </w:numPr>
      </w:pPr>
      <w:r>
        <w:rPr>
          <w:rFonts w:ascii="Figtree" w:hAnsi="Figtree"/>
          <w:b/>
          <w:i w:val="0"/>
          <w:sz w:val="22"/>
        </w:rPr>
        <w:t>Project Working Group</w:t>
      </w:r>
      <w:r>
        <w:rPr>
          <w:rFonts w:ascii="Figtree" w:hAnsi="Figtree"/>
          <w:b w:val="0"/>
          <w:i w:val="0"/>
          <w:sz w:val="22"/>
        </w:rPr>
        <w:t>: Weekly sync, day-to-day coordination</w:t>
      </w:r>
    </w:p>
    <w:p>
      <w:pPr>
        <w:pStyle w:val="ListParagraph"/>
        <w:numPr>
          <w:ilvl w:val="0"/>
          <w:numId w:val="4"/>
        </w:numPr>
      </w:pPr>
      <w:r>
        <w:rPr>
          <w:rFonts w:ascii="Figtree" w:hAnsi="Figtree"/>
          <w:b/>
          <w:i w:val="0"/>
          <w:sz w:val="22"/>
        </w:rPr>
        <w:t>Change Control Board</w:t>
      </w:r>
      <w:r>
        <w:rPr>
          <w:rFonts w:ascii="Figtree" w:hAnsi="Figtree"/>
          <w:b w:val="0"/>
          <w:i w:val="0"/>
          <w:sz w:val="22"/>
        </w:rPr>
        <w:t>: Ad-hoc, for scope changes impacting timeline</w:t>
      </w:r>
    </w:p>
    <w:p>
      <w:pPr>
        <w:pStyle w:val="H2"/>
        <w:numPr>
          <w:ilvl w:val="1"/>
          <w:numId w:val="1"/>
        </w:numPr>
      </w:pPr>
      <w:r>
        <w:t>RACI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33"/>
        <w:gridCol w:w="804"/>
        <w:gridCol w:w="22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Business requirements definition</w:t>
            </w:r>
          </w:p>
        </w:tc>
        <w:tc>
          <w:tcPr>
            <w:tcW w:type="dxa" w:w="3249"/>
            <w:vAlign w:val="center"/>
          </w:tcPr>
          <w:p>
            <w:pPr>
              <w:spacing w:line="276" w:lineRule="auto" w:before="0" w:after="0"/>
            </w:pPr>
            <w:r/>
            <w:r>
              <w:rPr>
                <w:rFonts w:ascii="Figtree" w:hAnsi="Figtree"/>
                <w:b w:val="0"/>
                <w:i w:val="0"/>
                <w:sz w:val="20"/>
              </w:rPr>
              <w:t>A</w:t>
            </w:r>
          </w:p>
        </w:tc>
        <w:tc>
          <w:tcPr>
            <w:tcW w:type="dxa" w:w="3249"/>
            <w:vAlign w:val="center"/>
          </w:tcPr>
          <w:p>
            <w:pPr>
              <w:spacing w:line="276" w:lineRule="auto" w:before="0" w:after="0"/>
            </w:pPr>
            <w:r/>
            <w:r>
              <w:rPr>
                <w:rFonts w:ascii="Figtree" w:hAnsi="Figtree"/>
                <w:b w:val="0"/>
                <w:i w:val="0"/>
                <w:sz w:val="20"/>
              </w:rPr>
              <w:t>C</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architecture</w:t>
            </w:r>
          </w:p>
        </w:tc>
        <w:tc>
          <w:tcPr>
            <w:tcW w:type="dxa" w:w="3249"/>
            <w:vAlign w:val="center"/>
          </w:tcPr>
          <w:p>
            <w:pPr>
              <w:spacing w:line="276" w:lineRule="auto" w:before="0" w:after="0"/>
            </w:pPr>
            <w:r/>
            <w:r>
              <w:rPr>
                <w:rFonts w:ascii="Figtree" w:hAnsi="Figtree"/>
                <w:b w:val="0"/>
                <w:i w:val="0"/>
                <w:sz w:val="20"/>
              </w:rPr>
              <w:t>C</w:t>
            </w:r>
          </w:p>
        </w:tc>
        <w:tc>
          <w:tcPr>
            <w:tcW w:type="dxa" w:w="3249"/>
            <w:vAlign w:val="center"/>
          </w:tcPr>
          <w:p>
            <w:pPr>
              <w:spacing w:line="276" w:lineRule="auto" w:before="0" w:after="0"/>
            </w:pPr>
            <w:r/>
            <w:r>
              <w:rPr>
                <w:rFonts w:ascii="Figtree" w:hAnsi="Figtree"/>
                <w:b w:val="0"/>
                <w:i w:val="0"/>
                <w:sz w:val="20"/>
              </w:rPr>
              <w:t>A</w:t>
            </w:r>
          </w:p>
        </w:tc>
      </w:tr>
      <w:tr>
        <w:trPr>
          <w:trHeight w:val="425" w:hRule="atLeast"/>
        </w:trPr>
        <w:tc>
          <w:tcPr>
            <w:tcW w:type="dxa" w:w="3249"/>
            <w:vAlign w:val="center"/>
          </w:tcPr>
          <w:p>
            <w:pPr>
              <w:spacing w:line="276" w:lineRule="auto" w:before="0" w:after="0"/>
            </w:pPr>
            <w:r/>
            <w:r>
              <w:rPr>
                <w:rFonts w:ascii="Figtree" w:hAnsi="Figtree"/>
                <w:b w:val="0"/>
                <w:i w:val="0"/>
                <w:sz w:val="20"/>
              </w:rPr>
              <w:t>Platform configuration</w:t>
            </w:r>
          </w:p>
        </w:tc>
        <w:tc>
          <w:tcPr>
            <w:tcW w:type="dxa" w:w="3249"/>
            <w:vAlign w:val="center"/>
          </w:tcPr>
          <w:p>
            <w:pPr>
              <w:spacing w:line="276" w:lineRule="auto" w:before="0" w:after="0"/>
            </w:pPr>
            <w:r/>
            <w:r>
              <w:rPr>
                <w:rFonts w:ascii="Figtree" w:hAnsi="Figtree"/>
                <w:b w:val="0"/>
                <w:i w:val="0"/>
                <w:sz w:val="20"/>
              </w:rPr>
              <w:t>C</w:t>
            </w:r>
          </w:p>
        </w:tc>
        <w:tc>
          <w:tcPr>
            <w:tcW w:type="dxa" w:w="3249"/>
            <w:vAlign w:val="center"/>
          </w:tcPr>
          <w:p>
            <w:pPr>
              <w:spacing w:line="276" w:lineRule="auto" w:before="0" w:after="0"/>
            </w:pPr>
            <w:r/>
            <w:r>
              <w:rPr>
                <w:rFonts w:ascii="Figtree" w:hAnsi="Figtree"/>
                <w:b w:val="0"/>
                <w:i w:val="0"/>
                <w:sz w:val="20"/>
              </w:rPr>
              <w:t>A</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C</w:t>
            </w:r>
          </w:p>
        </w:tc>
        <w:tc>
          <w:tcPr>
            <w:tcW w:type="dxa" w:w="3249"/>
            <w:vAlign w:val="center"/>
          </w:tcPr>
          <w:p>
            <w:pPr>
              <w:spacing w:line="276" w:lineRule="auto" w:before="0" w:after="0"/>
            </w:pPr>
            <w:r/>
            <w:r>
              <w:rPr>
                <w:rFonts w:ascii="Figtree" w:hAnsi="Figtree"/>
                <w:b w:val="0"/>
                <w:i w:val="0"/>
                <w:sz w:val="20"/>
              </w:rPr>
              <w:t>A</w:t>
            </w:r>
          </w:p>
        </w:tc>
      </w:tr>
      <w:tr>
        <w:trPr>
          <w:trHeight w:val="425" w:hRule="atLeast"/>
        </w:trPr>
        <w:tc>
          <w:tcPr>
            <w:tcW w:type="dxa" w:w="3249"/>
            <w:vAlign w:val="center"/>
          </w:tcPr>
          <w:p>
            <w:pPr>
              <w:spacing w:line="276" w:lineRule="auto" w:before="0" w:after="0"/>
            </w:pPr>
            <w:r/>
            <w:r>
              <w:rPr>
                <w:rFonts w:ascii="Figtree" w:hAnsi="Figtree"/>
                <w:b w:val="0"/>
                <w:i w:val="0"/>
                <w:sz w:val="20"/>
              </w:rPr>
              <w:t>Testing (SIT/UAT)</w:t>
            </w:r>
          </w:p>
        </w:tc>
        <w:tc>
          <w:tcPr>
            <w:tcW w:type="dxa" w:w="3249"/>
            <w:vAlign w:val="center"/>
          </w:tcPr>
          <w:p>
            <w:pPr>
              <w:spacing w:line="276" w:lineRule="auto" w:before="0" w:after="0"/>
            </w:pPr>
            <w:r/>
            <w:r>
              <w:rPr>
                <w:rFonts w:ascii="Figtree" w:hAnsi="Figtree"/>
                <w:b w:val="0"/>
                <w:i w:val="0"/>
                <w:sz w:val="20"/>
              </w:rPr>
              <w:t>C</w:t>
            </w:r>
          </w:p>
        </w:tc>
        <w:tc>
          <w:tcPr>
            <w:tcW w:type="dxa" w:w="3249"/>
            <w:vAlign w:val="center"/>
          </w:tcPr>
          <w:p>
            <w:pPr>
              <w:spacing w:line="276" w:lineRule="auto" w:before="0" w:after="0"/>
            </w:pPr>
            <w:r/>
            <w:r>
              <w:rPr>
                <w:rFonts w:ascii="Figtree" w:hAnsi="Figtree"/>
                <w:b w:val="0"/>
                <w:i w:val="0"/>
                <w:sz w:val="20"/>
              </w:rPr>
              <w:t>A</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w:t>
            </w:r>
          </w:p>
        </w:tc>
        <w:tc>
          <w:tcPr>
            <w:tcW w:type="dxa" w:w="3249"/>
            <w:vAlign w:val="center"/>
          </w:tcPr>
          <w:p>
            <w:pPr>
              <w:spacing w:line="276" w:lineRule="auto" w:before="0" w:after="0"/>
            </w:pPr>
            <w:r/>
            <w:r>
              <w:rPr>
                <w:rFonts w:ascii="Figtree" w:hAnsi="Figtree"/>
                <w:b w:val="0"/>
                <w:i w:val="0"/>
                <w:sz w:val="20"/>
              </w:rPr>
              <w:t>A</w:t>
            </w:r>
          </w:p>
        </w:tc>
        <w:tc>
          <w:tcPr>
            <w:tcW w:type="dxa" w:w="3249"/>
            <w:vAlign w:val="center"/>
          </w:tcPr>
          <w:p>
            <w:pPr>
              <w:spacing w:line="276" w:lineRule="auto" w:before="0" w:after="0"/>
            </w:pPr>
            <w:r/>
            <w:r>
              <w:rPr>
                <w:rFonts w:ascii="Figtree" w:hAnsi="Figtree"/>
                <w:b w:val="0"/>
                <w:i w:val="0"/>
                <w:sz w:val="20"/>
              </w:rPr>
              <w:t>R</w:t>
            </w:r>
          </w:p>
        </w:tc>
      </w:tr>
      <w:tr>
        <w:trPr>
          <w:trHeight w:val="425" w:hRule="atLeast"/>
        </w:trPr>
        <w:tc>
          <w:tcPr>
            <w:tcW w:type="dxa" w:w="3249"/>
            <w:vAlign w:val="center"/>
          </w:tcPr>
          <w:p>
            <w:pPr>
              <w:spacing w:line="276" w:lineRule="auto" w:before="0" w:after="0"/>
            </w:pPr>
            <w:r/>
            <w:r>
              <w:rPr>
                <w:rFonts w:ascii="Figtree" w:hAnsi="Figtree"/>
                <w:b w:val="0"/>
                <w:i w:val="0"/>
                <w:sz w:val="20"/>
              </w:rPr>
              <w:t>Compliance validation</w:t>
            </w:r>
          </w:p>
        </w:tc>
        <w:tc>
          <w:tcPr>
            <w:tcW w:type="dxa" w:w="3249"/>
            <w:vAlign w:val="center"/>
          </w:tcPr>
          <w:p>
            <w:pPr>
              <w:spacing w:line="276" w:lineRule="auto" w:before="0" w:after="0"/>
            </w:pPr>
            <w:r/>
            <w:r>
              <w:rPr>
                <w:rFonts w:ascii="Figtree" w:hAnsi="Figtree"/>
                <w:b w:val="0"/>
                <w:i w:val="0"/>
                <w:sz w:val="20"/>
              </w:rPr>
              <w:t>A</w:t>
            </w:r>
          </w:p>
        </w:tc>
        <w:tc>
          <w:tcPr>
            <w:tcW w:type="dxa" w:w="3249"/>
            <w:vAlign w:val="center"/>
          </w:tcPr>
          <w:p>
            <w:pPr>
              <w:spacing w:line="276" w:lineRule="auto" w:before="0" w:after="0"/>
            </w:pPr>
            <w:r/>
            <w:r>
              <w:rPr>
                <w:rFonts w:ascii="Figtree" w:hAnsi="Figtree"/>
                <w:b w:val="0"/>
                <w:i w:val="0"/>
                <w:sz w:val="20"/>
              </w:rPr>
              <w:t>C</w:t>
            </w:r>
          </w:p>
        </w:tc>
      </w:tr>
      <w:tr>
        <w:trPr>
          <w:trHeight w:val="425" w:hRule="atLeast"/>
        </w:trPr>
        <w:tc>
          <w:tcPr>
            <w:tcW w:type="dxa" w:w="3249"/>
            <w:vAlign w:val="center"/>
          </w:tcPr>
          <w:p>
            <w:pPr>
              <w:spacing w:line="276" w:lineRule="auto" w:before="0" w:after="0"/>
            </w:pPr>
            <w:r/>
            <w:r>
              <w:rPr>
                <w:rFonts w:ascii="Figtree" w:hAnsi="Figtree"/>
                <w:b w:val="0"/>
                <w:i w:val="0"/>
                <w:sz w:val="20"/>
              </w:rPr>
              <w:t>Cutover execution</w:t>
            </w:r>
          </w:p>
        </w:tc>
        <w:tc>
          <w:tcPr>
            <w:tcW w:type="dxa" w:w="3249"/>
            <w:vAlign w:val="center"/>
          </w:tcPr>
          <w:p>
            <w:pPr>
              <w:spacing w:line="276" w:lineRule="auto" w:before="0" w:after="0"/>
            </w:pPr>
            <w:r/>
            <w:r>
              <w:rPr>
                <w:rFonts w:ascii="Figtree" w:hAnsi="Figtree"/>
                <w:b w:val="0"/>
                <w:i w:val="0"/>
                <w:sz w:val="20"/>
              </w:rPr>
              <w:t>C</w:t>
            </w:r>
          </w:p>
        </w:tc>
        <w:tc>
          <w:tcPr>
            <w:tcW w:type="dxa" w:w="3249"/>
            <w:vAlign w:val="center"/>
          </w:tcPr>
          <w:p>
            <w:pPr>
              <w:spacing w:line="276" w:lineRule="auto" w:before="0" w:after="0"/>
            </w:pPr>
            <w:r/>
            <w:r>
              <w:rPr>
                <w:rFonts w:ascii="Figtree" w:hAnsi="Figtree"/>
                <w:b w:val="0"/>
                <w:i w:val="0"/>
                <w:sz w:val="20"/>
              </w:rPr>
              <w:t>A</w:t>
            </w:r>
          </w:p>
        </w:tc>
      </w:tr>
      <w:tr>
        <w:trPr>
          <w:trHeight w:val="425" w:hRule="atLeast"/>
        </w:trPr>
        <w:tc>
          <w:tcPr>
            <w:tcW w:type="dxa" w:w="3249"/>
            <w:vAlign w:val="center"/>
          </w:tcPr>
          <w:p>
            <w:pPr>
              <w:spacing w:line="276" w:lineRule="auto" w:before="0" w:after="0"/>
            </w:pPr>
            <w:r/>
            <w:r>
              <w:rPr>
                <w:rFonts w:ascii="Figtree" w:hAnsi="Figtree"/>
                <w:b w:val="0"/>
                <w:i w:val="0"/>
                <w:sz w:val="20"/>
              </w:rPr>
              <w:t>Hypercare support</w:t>
            </w:r>
          </w:p>
        </w:tc>
        <w:tc>
          <w:tcPr>
            <w:tcW w:type="dxa" w:w="3249"/>
            <w:vAlign w:val="center"/>
          </w:tcPr>
          <w:p>
            <w:pPr>
              <w:spacing w:line="276" w:lineRule="auto" w:before="0" w:after="0"/>
            </w:pPr>
            <w:r/>
            <w:r>
              <w:rPr>
                <w:rFonts w:ascii="Figtree" w:hAnsi="Figtree"/>
                <w:b w:val="0"/>
                <w:i w:val="0"/>
                <w:sz w:val="20"/>
              </w:rPr>
              <w:t>C</w:t>
            </w:r>
          </w:p>
        </w:tc>
        <w:tc>
          <w:tcPr>
            <w:tcW w:type="dxa" w:w="3249"/>
            <w:vAlign w:val="center"/>
          </w:tcPr>
          <w:p>
            <w:pPr>
              <w:spacing w:line="276" w:lineRule="auto" w:before="0" w:after="0"/>
            </w:pPr>
            <w:r/>
            <w:r>
              <w:rPr>
                <w:rFonts w:ascii="Figtree" w:hAnsi="Figtree"/>
                <w:b w:val="0"/>
                <w:i w:val="0"/>
                <w:sz w:val="20"/>
              </w:rPr>
              <w:t>A</w:t>
            </w:r>
          </w:p>
        </w:tc>
      </w:tr>
      <w:tr>
        <w:trPr>
          <w:trHeight w:val="425" w:hRule="atLeast"/>
        </w:trPr>
        <w:tc>
          <w:tcPr>
            <w:tcW w:type="dxa" w:w="3249"/>
            <w:vAlign w:val="center"/>
          </w:tcPr>
          <w:p>
            <w:pPr>
              <w:spacing w:line="276" w:lineRule="auto" w:before="0" w:after="0"/>
            </w:pPr>
            <w:r/>
            <w:r>
              <w:rPr>
                <w:rFonts w:ascii="Figtree" w:hAnsi="Figtree"/>
                <w:b w:val="0"/>
                <w:i w:val="0"/>
                <w:sz w:val="20"/>
              </w:rPr>
              <w:t>BAU handover</w:t>
            </w:r>
          </w:p>
        </w:tc>
        <w:tc>
          <w:tcPr>
            <w:tcW w:type="dxa" w:w="3249"/>
            <w:vAlign w:val="center"/>
          </w:tcPr>
          <w:p>
            <w:pPr>
              <w:spacing w:line="276" w:lineRule="auto" w:before="0" w:after="0"/>
            </w:pPr>
            <w:r/>
            <w:r>
              <w:rPr>
                <w:rFonts w:ascii="Figtree" w:hAnsi="Figtree"/>
                <w:b w:val="0"/>
                <w:i w:val="0"/>
                <w:sz w:val="20"/>
              </w:rPr>
              <w:t>A</w:t>
            </w:r>
          </w:p>
        </w:tc>
        <w:tc>
          <w:tcPr>
            <w:tcW w:type="dxa" w:w="3249"/>
            <w:vAlign w:val="center"/>
          </w:tcPr>
          <w:p>
            <w:pPr>
              <w:spacing w:line="276" w:lineRule="auto" w:before="0" w:after="0"/>
            </w:pPr>
            <w:r/>
            <w:r>
              <w:rPr>
                <w:rFonts w:ascii="Figtree" w:hAnsi="Figtree"/>
                <w:b w:val="0"/>
                <w:i w:val="0"/>
                <w:sz w:val="20"/>
              </w:rPr>
              <w:t>C</w:t>
            </w:r>
          </w:p>
        </w:tc>
      </w:tr>
    </w:tbl>
    <w:p>
      <w:pPr>
        <w:spacing w:before="0" w:after="0" w:line="120" w:lineRule="exact"/>
      </w:pPr>
    </w:p>
    <w:p>
      <w:r>
        <w:rPr>
          <w:rFonts w:ascii="Figtree" w:hAnsi="Figtree"/>
          <w:b w:val="0"/>
          <w:i/>
          <w:sz w:val="22"/>
        </w:rPr>
        <w:t>A = Accountable, R = Responsible, C = Consulted</w:t>
      </w:r>
    </w:p>
    <w:p>
      <w:r>
        <w:br w:type="page"/>
      </w:r>
    </w:p>
    <w:p>
      <w:pPr>
        <w:pStyle w:val="H1"/>
        <w:numPr>
          <w:ilvl w:val="0"/>
          <w:numId w:val="1"/>
        </w:numPr>
      </w:pPr>
      <w:r>
        <w:t>12. Deployment</w:t>
      </w:r>
    </w:p>
    <w:p>
      <w:pPr>
        <w:pStyle w:val="H2"/>
        <w:numPr>
          <w:ilvl w:val="1"/>
          <w:numId w:val="1"/>
        </w:numPr>
      </w:pPr>
      <w:r>
        <w:t>Recommended Deployment Model</w:t>
      </w:r>
    </w:p>
    <w:p>
      <w:r>
        <w:rPr>
          <w:rFonts w:ascii="Figtree" w:hAnsi="Figtree"/>
          <w:b/>
          <w:i w:val="0"/>
          <w:sz w:val="22"/>
        </w:rPr>
        <w:t>Dedicated Private Cloud</w:t>
      </w:r>
      <w:r>
        <w:rPr>
          <w:rFonts w:ascii="Figtree" w:hAnsi="Figtree"/>
          <w:b w:val="0"/>
          <w:i w:val="0"/>
          <w:sz w:val="22"/>
        </w:rPr>
        <w:t xml:space="preserve"> — single-tenant deployment on cloud infrastructure of SET's choice.</w:t>
      </w:r>
    </w:p>
    <w:p>
      <w:pPr>
        <w:pStyle w:val="H3"/>
        <w:numPr>
          <w:ilvl w:val="2"/>
          <w:numId w:val="1"/>
        </w:numPr>
      </w:pPr>
      <w:r>
        <w:t>Comparison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0"/>
        <w:gridCol w:w="1551"/>
        <w:gridCol w:w="1671"/>
        <w:gridCol w:w="1313"/>
        <w:gridCol w:w="274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Features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 Control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Shared region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No — regulatory concern</w:t>
            </w:r>
          </w:p>
        </w:tc>
      </w:tr>
      <w:tr>
        <w:trPr>
          <w:trHeight w:val="425" w:hRule="atLeast"/>
        </w:trPr>
        <w:tc>
          <w:tcPr>
            <w:tcW w:type="dxa" w:w="1949"/>
            <w:vAlign w:val="center"/>
          </w:tcPr>
          <w:p>
            <w:pPr>
              <w:spacing w:line="276" w:lineRule="auto" w:before="0" w:after="0"/>
            </w:pPr>
            <w:r/>
            <w:r>
              <w:rPr>
                <w:rFonts w:ascii="Figtree" w:hAnsi="Figtree"/>
                <w:b w:val="0"/>
                <w:i w:val="0"/>
                <w:sz w:val="20"/>
              </w:rPr>
              <w:t>Dedicated Cloud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Thailand</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On-site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Future option</w:t>
            </w:r>
          </w:p>
        </w:tc>
      </w:tr>
    </w:tbl>
    <w:p>
      <w:pPr>
        <w:spacing w:before="0" w:after="0" w:line="120" w:lineRule="exact"/>
      </w:pPr>
    </w:p>
    <w:p>
      <w:pPr>
        <w:pStyle w:val="H3"/>
        <w:numPr>
          <w:ilvl w:val="2"/>
          <w:numId w:val="1"/>
        </w:numPr>
      </w:pPr>
      <w:r>
        <w:t>Logical Topology</w:t>
      </w:r>
    </w:p>
    <w:p>
      <w:pPr>
        <w:pStyle w:val="H3"/>
        <w:numPr>
          <w:ilvl w:val="2"/>
          <w:numId w:val="1"/>
        </w:numPr>
      </w:pPr>
      <w:r>
        <w:t>Infrastructure Prerequisites</w:t>
      </w:r>
    </w:p>
    <w:p>
      <w:pPr>
        <w:pStyle w:val="ListParagraph"/>
        <w:numPr>
          <w:ilvl w:val="0"/>
          <w:numId w:val="4"/>
        </w:numPr>
      </w:pPr>
      <w:r>
        <w:rPr>
          <w:rFonts w:ascii="Figtree" w:hAnsi="Figtree"/>
          <w:b/>
          <w:i w:val="0"/>
          <w:sz w:val="22"/>
        </w:rPr>
        <w:t>Kubernetes</w:t>
      </w:r>
      <w:r>
        <w:rPr>
          <w:rFonts w:ascii="Figtree" w:hAnsi="Figtree"/>
          <w:b w:val="0"/>
          <w:i w:val="0"/>
          <w:sz w:val="22"/>
        </w:rPr>
        <w:t>: 1.28+ (self-managed, EKS, AKS, or GKE)</w:t>
      </w:r>
    </w:p>
    <w:p>
      <w:pPr>
        <w:pStyle w:val="ListParagraph"/>
        <w:numPr>
          <w:ilvl w:val="0"/>
          <w:numId w:val="4"/>
        </w:numPr>
      </w:pPr>
      <w:r>
        <w:rPr>
          <w:rFonts w:ascii="Figtree" w:hAnsi="Figtree"/>
          <w:b/>
          <w:i w:val="0"/>
          <w:sz w:val="22"/>
        </w:rPr>
        <w:t>PostgreSQL</w:t>
      </w:r>
      <w:r>
        <w:rPr>
          <w:rFonts w:ascii="Figtree" w:hAnsi="Figtree"/>
          <w:b w:val="0"/>
          <w:i w:val="0"/>
          <w:sz w:val="22"/>
        </w:rPr>
        <w:t>: 15+ with read replicas</w:t>
      </w:r>
    </w:p>
    <w:p>
      <w:pPr>
        <w:pStyle w:val="ListParagraph"/>
        <w:numPr>
          <w:ilvl w:val="0"/>
          <w:numId w:val="4"/>
        </w:numPr>
      </w:pPr>
      <w:r>
        <w:rPr>
          <w:rFonts w:ascii="Figtree" w:hAnsi="Figtree"/>
          <w:b/>
          <w:i w:val="0"/>
          <w:sz w:val="22"/>
        </w:rPr>
        <w:t>Redis</w:t>
      </w:r>
      <w:r>
        <w:rPr>
          <w:rFonts w:ascii="Figtree" w:hAnsi="Figtree"/>
          <w:b w:val="0"/>
          <w:i w:val="0"/>
          <w:sz w:val="22"/>
        </w:rPr>
        <w:t>: 7+ cluster mode</w:t>
      </w:r>
    </w:p>
    <w:p>
      <w:pPr>
        <w:pStyle w:val="ListParagraph"/>
        <w:numPr>
          <w:ilvl w:val="0"/>
          <w:numId w:val="4"/>
        </w:numPr>
      </w:pPr>
      <w:r>
        <w:rPr>
          <w:rFonts w:ascii="Figtree" w:hAnsi="Figtree"/>
          <w:b/>
          <w:i w:val="0"/>
          <w:sz w:val="22"/>
        </w:rPr>
        <w:t>Object Storage</w:t>
      </w:r>
      <w:r>
        <w:rPr>
          <w:rFonts w:ascii="Figtree" w:hAnsi="Figtree"/>
          <w:b w:val="0"/>
          <w:i w:val="0"/>
          <w:sz w:val="22"/>
        </w:rPr>
        <w:t>: S3-compatible</w:t>
      </w:r>
    </w:p>
    <w:p>
      <w:pPr>
        <w:pStyle w:val="ListParagraph"/>
        <w:numPr>
          <w:ilvl w:val="0"/>
          <w:numId w:val="4"/>
        </w:numPr>
      </w:pPr>
      <w:r>
        <w:rPr>
          <w:rFonts w:ascii="Figtree" w:hAnsi="Figtree"/>
          <w:b/>
          <w:i w:val="0"/>
          <w:sz w:val="22"/>
        </w:rPr>
        <w:t>Ingress</w:t>
      </w:r>
      <w:r>
        <w:rPr>
          <w:rFonts w:ascii="Figtree" w:hAnsi="Figtree"/>
          <w:b w:val="0"/>
          <w:i w:val="0"/>
          <w:sz w:val="22"/>
        </w:rPr>
        <w:t>: NGINX or cloud-native</w:t>
      </w:r>
    </w:p>
    <w:p>
      <w:pPr>
        <w:pStyle w:val="ListParagraph"/>
        <w:numPr>
          <w:ilvl w:val="0"/>
          <w:numId w:val="4"/>
        </w:numPr>
      </w:pPr>
      <w:r>
        <w:rPr>
          <w:rFonts w:ascii="Figtree" w:hAnsi="Figtree"/>
          <w:b/>
          <w:i w:val="0"/>
          <w:sz w:val="22"/>
        </w:rPr>
        <w:t>Certificates</w:t>
      </w:r>
      <w:r>
        <w:rPr>
          <w:rFonts w:ascii="Figtree" w:hAnsi="Figtree"/>
          <w:b w:val="0"/>
          <w:i w:val="0"/>
          <w:sz w:val="22"/>
        </w:rPr>
        <w:t>: TLS 1.3 via cert-manager</w:t>
      </w:r>
    </w:p>
    <w:p>
      <w:r>
        <w:br w:type="page"/>
      </w:r>
    </w:p>
    <w:p>
      <w:pPr>
        <w:pStyle w:val="H1"/>
        <w:numPr>
          <w:ilvl w:val="0"/>
          <w:numId w:val="1"/>
        </w:numPr>
      </w:pPr>
      <w:r>
        <w:t>13. Appendix: Support Details</w:t>
      </w:r>
    </w:p>
    <w:p>
      <w:pPr>
        <w:pStyle w:val="H2"/>
        <w:numPr>
          <w:ilvl w:val="1"/>
          <w:numId w:val="1"/>
        </w:numPr>
      </w:pPr>
      <w:r>
        <w:t>Support Tiers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2"/>
        <w:gridCol w:w="2316"/>
        <w:gridCol w:w="2316"/>
        <w:gridCol w:w="202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Extended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2436"/>
            <w:vAlign w:val="center"/>
          </w:tcPr>
          <w:p>
            <w:pPr>
              <w:spacing w:line="276" w:lineRule="auto" w:before="0" w:after="0"/>
            </w:pPr>
            <w:r/>
            <w:r>
              <w:rPr>
                <w:rFonts w:ascii="Figtree" w:hAnsi="Figtree"/>
                <w:b w:val="0"/>
                <w:i w:val="0"/>
                <w:sz w:val="20"/>
              </w:rPr>
              <w:t>Hours</w:t>
            </w:r>
          </w:p>
        </w:tc>
        <w:tc>
          <w:tcPr>
            <w:tcW w:type="dxa" w:w="2436"/>
            <w:vAlign w:val="center"/>
          </w:tcPr>
          <w:p>
            <w:pPr>
              <w:spacing w:line="276" w:lineRule="auto" w:before="0" w:after="0"/>
            </w:pPr>
            <w:r/>
            <w:r>
              <w:rPr>
                <w:rFonts w:ascii="Figtree" w:hAnsi="Figtree"/>
                <w:b w:val="0"/>
                <w:i w:val="0"/>
                <w:sz w:val="20"/>
              </w:rPr>
              <w:t>09:00-18:00 ICT, Mon-Fri</w:t>
            </w:r>
          </w:p>
        </w:tc>
        <w:tc>
          <w:tcPr>
            <w:tcW w:type="dxa" w:w="2436"/>
            <w:vAlign w:val="center"/>
          </w:tcPr>
          <w:p>
            <w:pPr>
              <w:spacing w:line="276" w:lineRule="auto" w:before="0" w:after="0"/>
            </w:pPr>
            <w:r/>
            <w:r>
              <w:rPr>
                <w:rFonts w:ascii="Figtree" w:hAnsi="Figtree"/>
                <w:b w:val="0"/>
                <w:i w:val="0"/>
                <w:sz w:val="20"/>
              </w:rPr>
              <w:t>07:00-22:00 ICT, Mon-Sat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Channel</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Phone</w:t>
            </w:r>
          </w:p>
        </w:tc>
        <w:tc>
          <w:tcPr>
            <w:tcW w:type="dxa" w:w="2436"/>
            <w:vAlign w:val="center"/>
          </w:tcPr>
          <w:p>
            <w:pPr>
              <w:spacing w:line="276" w:lineRule="auto" w:before="0" w:after="0"/>
            </w:pPr>
            <w:r/>
            <w:r>
              <w:rPr>
                <w:rFonts w:ascii="Figtree" w:hAnsi="Figtree"/>
                <w:b w:val="0"/>
                <w:i w:val="0"/>
                <w:sz w:val="20"/>
              </w:rPr>
              <w:t>All + Dedicated Slack</w:t>
            </w:r>
          </w:p>
        </w:tc>
      </w:tr>
      <w:tr>
        <w:trPr>
          <w:trHeight w:val="425" w:hRule="atLeast"/>
        </w:trPr>
        <w:tc>
          <w:tcPr>
            <w:tcW w:type="dxa" w:w="2436"/>
            <w:vAlign w:val="center"/>
          </w:tcPr>
          <w:p>
            <w:pPr>
              <w:spacing w:line="276" w:lineRule="auto" w:before="0" w:after="0"/>
            </w:pPr>
            <w:r/>
            <w:r>
              <w:rPr>
                <w:rFonts w:ascii="Figtree" w:hAnsi="Figtree"/>
                <w:b w:val="0"/>
                <w:i w:val="0"/>
                <w:sz w:val="20"/>
              </w:rPr>
              <w:t>Named Support Lead</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SLA Response (P1)</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15 min</w:t>
            </w:r>
          </w:p>
        </w:tc>
      </w:tr>
      <w:tr>
        <w:trPr>
          <w:trHeight w:val="425" w:hRule="atLeast"/>
        </w:trPr>
        <w:tc>
          <w:tcPr>
            <w:tcW w:type="dxa" w:w="2436"/>
            <w:vAlign w:val="center"/>
          </w:tcPr>
          <w:p>
            <w:pPr>
              <w:spacing w:line="276" w:lineRule="auto" w:before="0" w:after="0"/>
            </w:pPr>
            <w:r/>
            <w:r>
              <w:rPr>
                <w:rFonts w:ascii="Figtree" w:hAnsi="Figtree"/>
                <w:b w:val="0"/>
                <w:i w:val="0"/>
                <w:sz w:val="20"/>
              </w:rPr>
              <w:t>SLA Resolution (P1)</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On-site Support</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Optional</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2"/>
        <w:numPr>
          <w:ilvl w:val="1"/>
          <w:numId w:val="1"/>
        </w:numPr>
      </w:pPr>
      <w:r>
        <w:t>Severity Definitions</w:t>
      </w:r>
    </w:p>
    <w:p>
      <w:pPr>
        <w:pStyle w:val="ListParagraph"/>
        <w:numPr>
          <w:ilvl w:val="0"/>
          <w:numId w:val="4"/>
        </w:numPr>
      </w:pPr>
      <w:r>
        <w:rPr>
          <w:rFonts w:ascii="Figtree" w:hAnsi="Figtree"/>
          <w:b/>
          <w:i w:val="0"/>
          <w:sz w:val="22"/>
        </w:rPr>
        <w:t>P1 — Critical</w:t>
      </w:r>
      <w:r>
        <w:rPr>
          <w:rFonts w:ascii="Figtree" w:hAnsi="Figtree"/>
          <w:b w:val="0"/>
          <w:i w:val="0"/>
          <w:sz w:val="22"/>
        </w:rPr>
        <w:t>: Production system unavailable or core functionality completely blocked. No workaround. Impact to all users or high-value transactions.</w:t>
      </w:r>
    </w:p>
    <w:p>
      <w:pPr>
        <w:pStyle w:val="ListParagraph"/>
        <w:numPr>
          <w:ilvl w:val="0"/>
          <w:numId w:val="4"/>
        </w:numPr>
      </w:pPr>
      <w:r>
        <w:rPr>
          <w:rFonts w:ascii="Figtree" w:hAnsi="Figtree"/>
          <w:b/>
          <w:i w:val="0"/>
          <w:sz w:val="22"/>
        </w:rPr>
        <w:t>P2 — High</w:t>
      </w:r>
      <w:r>
        <w:rPr>
          <w:rFonts w:ascii="Figtree" w:hAnsi="Figtree"/>
          <w:b w:val="0"/>
          <w:i w:val="0"/>
          <w:sz w:val="22"/>
        </w:rPr>
        <w:t>: Major functionality impaired. Workaround exists but is unsatisfactory. Impact to significant user population.</w:t>
      </w:r>
    </w:p>
    <w:p>
      <w:pPr>
        <w:pStyle w:val="ListParagraph"/>
        <w:numPr>
          <w:ilvl w:val="0"/>
          <w:numId w:val="4"/>
        </w:numPr>
      </w:pPr>
      <w:r>
        <w:rPr>
          <w:rFonts w:ascii="Figtree" w:hAnsi="Figtree"/>
          <w:b/>
          <w:i w:val="0"/>
          <w:sz w:val="22"/>
        </w:rPr>
        <w:t>P3 — Medium</w:t>
      </w:r>
      <w:r>
        <w:rPr>
          <w:rFonts w:ascii="Figtree" w:hAnsi="Figtree"/>
          <w:b w:val="0"/>
          <w:i w:val="0"/>
          <w:sz w:val="22"/>
        </w:rPr>
        <w:t>: Minor functionality affected. Workaround available. Limited business impact.</w:t>
      </w:r>
    </w:p>
    <w:p>
      <w:pPr>
        <w:pStyle w:val="ListParagraph"/>
        <w:numPr>
          <w:ilvl w:val="0"/>
          <w:numId w:val="4"/>
        </w:numPr>
      </w:pPr>
      <w:r>
        <w:rPr>
          <w:rFonts w:ascii="Figtree" w:hAnsi="Figtree"/>
          <w:b/>
          <w:i w:val="0"/>
          <w:sz w:val="22"/>
        </w:rPr>
        <w:t>P4 — Low</w:t>
      </w:r>
      <w:r>
        <w:rPr>
          <w:rFonts w:ascii="Figtree" w:hAnsi="Figtree"/>
          <w:b w:val="0"/>
          <w:i w:val="0"/>
          <w:sz w:val="22"/>
        </w:rPr>
        <w:t>: Cosmetic issue, documentation error, or enhancement request. Minimal business impact.</w:t>
      </w:r>
    </w:p>
    <w:p>
      <w:pPr>
        <w:pStyle w:val="H2"/>
        <w:numPr>
          <w:ilvl w:val="1"/>
          <w:numId w:val="1"/>
        </w:numPr>
      </w:pPr>
      <w:r>
        <w:t>Maintenance Windows</w:t>
      </w:r>
    </w:p>
    <w:p>
      <w:pPr>
        <w:pStyle w:val="ListParagraph"/>
        <w:numPr>
          <w:ilvl w:val="0"/>
          <w:numId w:val="4"/>
        </w:numPr>
      </w:pPr>
      <w:r>
        <w:rPr>
          <w:rFonts w:ascii="Figtree" w:hAnsi="Figtree"/>
          <w:b/>
          <w:i w:val="0"/>
          <w:sz w:val="22"/>
        </w:rPr>
        <w:t>Scheduled maintenance</w:t>
      </w:r>
      <w:r>
        <w:rPr>
          <w:rFonts w:ascii="Figtree" w:hAnsi="Figtree"/>
          <w:b w:val="0"/>
          <w:i w:val="0"/>
          <w:sz w:val="22"/>
        </w:rPr>
        <w:t>: Monthly, Saturday 02:00-06:00 ICT (notification 7 days prior)</w:t>
      </w:r>
    </w:p>
    <w:p>
      <w:pPr>
        <w:pStyle w:val="ListParagraph"/>
        <w:numPr>
          <w:ilvl w:val="0"/>
          <w:numId w:val="4"/>
        </w:numPr>
      </w:pPr>
      <w:r>
        <w:rPr>
          <w:rFonts w:ascii="Figtree" w:hAnsi="Figtree"/>
          <w:b/>
          <w:i w:val="0"/>
          <w:sz w:val="22"/>
        </w:rPr>
        <w:t>Emergency maintenance</w:t>
      </w:r>
      <w:r>
        <w:rPr>
          <w:rFonts w:ascii="Figtree" w:hAnsi="Figtree"/>
          <w:b w:val="0"/>
          <w:i w:val="0"/>
          <w:sz w:val="22"/>
        </w:rPr>
        <w:t>: As required (notification within 24 hours post-event)</w:t>
      </w:r>
    </w:p>
    <w:p>
      <w:pPr>
        <w:pStyle w:val="ListParagraph"/>
        <w:numPr>
          <w:ilvl w:val="0"/>
          <w:numId w:val="4"/>
        </w:numPr>
      </w:pPr>
      <w:r>
        <w:rPr>
          <w:rFonts w:ascii="Figtree" w:hAnsi="Figtree"/>
          <w:b/>
          <w:i w:val="0"/>
          <w:sz w:val="22"/>
        </w:rPr>
        <w:t>Platform upgrades</w:t>
      </w:r>
      <w:r>
        <w:rPr>
          <w:rFonts w:ascii="Figtree" w:hAnsi="Figtree"/>
          <w:b w:val="0"/>
          <w:i w:val="0"/>
          <w:sz w:val="22"/>
        </w:rPr>
        <w:t>: Quarterly, with 30-day advance notice</w:t>
      </w:r>
    </w:p>
    <w:p>
      <w:r>
        <w:br w:type="page"/>
      </w:r>
    </w:p>
    <w:p>
      <w:pPr>
        <w:pStyle w:val="H1"/>
        <w:numPr>
          <w:ilvl w:val="0"/>
          <w:numId w:val="1"/>
        </w:numPr>
      </w:pPr>
      <w:r>
        <w:t>14. Writer's Checklist</w:t>
      </w:r>
    </w:p>
    <w:p>
      <w:pPr>
        <w:pStyle w:val="ListParagraph"/>
        <w:numPr>
          <w:ilvl w:val="0"/>
          <w:numId w:val="4"/>
        </w:numPr>
      </w:pPr>
      <w:r>
        <w:rPr>
          <w:rFonts w:ascii="Figtree" w:hAnsi="Figtree"/>
          <w:b w:val="0"/>
          <w:i w:val="0"/>
          <w:sz w:val="22"/>
        </w:rPr>
        <w:t>[x] Headings unnumbered (per skeleton requirement)</w:t>
      </w:r>
    </w:p>
    <w:p>
      <w:pPr>
        <w:pStyle w:val="ListParagraph"/>
        <w:numPr>
          <w:ilvl w:val="0"/>
          <w:numId w:val="4"/>
        </w:numPr>
      </w:pPr>
      <w:r>
        <w:rPr>
          <w:rFonts w:ascii="Figtree" w:hAnsi="Figtree"/>
          <w:b w:val="0"/>
          <w:i w:val="0"/>
          <w:sz w:val="22"/>
        </w:rPr>
        <w:t>[x] Placeholders resolved with SET-specific context</w:t>
      </w:r>
    </w:p>
    <w:p>
      <w:pPr>
        <w:pStyle w:val="ListParagraph"/>
        <w:numPr>
          <w:ilvl w:val="0"/>
          <w:numId w:val="4"/>
        </w:numPr>
      </w:pPr>
      <w:r>
        <w:rPr>
          <w:rFonts w:ascii="Figtree" w:hAnsi="Figtree"/>
          <w:b w:val="0"/>
          <w:i w:val="0"/>
          <w:sz w:val="22"/>
        </w:rPr>
        <w:t>[x] Deployment model consistent throughout (Dedicated Private Cloud)</w:t>
      </w:r>
    </w:p>
    <w:p>
      <w:pPr>
        <w:pStyle w:val="ListParagraph"/>
        <w:numPr>
          <w:ilvl w:val="0"/>
          <w:numId w:val="4"/>
        </w:numPr>
      </w:pPr>
      <w:r>
        <w:rPr>
          <w:rFonts w:ascii="Figtree" w:hAnsi="Figtree"/>
          <w:b w:val="0"/>
          <w:i w:val="0"/>
          <w:sz w:val="22"/>
        </w:rPr>
        <w:t>[x] All claims source-backed (references to DALP docs, reference projects)</w:t>
      </w:r>
    </w:p>
    <w:p>
      <w:pPr>
        <w:pStyle w:val="ListParagraph"/>
        <w:numPr>
          <w:ilvl w:val="0"/>
          <w:numId w:val="4"/>
        </w:numPr>
      </w:pPr>
      <w:r>
        <w:rPr>
          <w:rFonts w:ascii="Figtree" w:hAnsi="Figtree"/>
          <w:b w:val="0"/>
          <w:i w:val="0"/>
          <w:sz w:val="22"/>
        </w:rPr>
        <w:t>[x] No unsupported metrics (all SLA numbers from standard framework)</w:t>
      </w:r>
    </w:p>
    <w:p>
      <w:pPr>
        <w:pStyle w:val="ListParagraph"/>
        <w:numPr>
          <w:ilvl w:val="0"/>
          <w:numId w:val="4"/>
        </w:numPr>
      </w:pPr>
      <w:r>
        <w:rPr>
          <w:rFonts w:ascii="Figtree" w:hAnsi="Figtree"/>
          <w:b w:val="0"/>
          <w:i w:val="0"/>
          <w:sz w:val="22"/>
        </w:rPr>
        <w:t>[x] Tables concise and Word-friendly</w:t>
      </w:r>
    </w:p>
    <w:p>
      <w:pPr>
        <w:pStyle w:val="ListParagraph"/>
        <w:numPr>
          <w:ilvl w:val="0"/>
          <w:numId w:val="4"/>
        </w:numPr>
      </w:pPr>
      <w:r>
        <w:rPr>
          <w:rFonts w:ascii="Figtree" w:hAnsi="Figtree"/>
          <w:b w:val="0"/>
          <w:i w:val="0"/>
          <w:sz w:val="22"/>
        </w:rPr>
        <w:t>[x] Selected references relevant to SET context (Asian banks, market infrastructures)</w:t>
      </w:r>
    </w:p>
    <w:p>
      <w:pPr>
        <w:pStyle w:val="ListParagraph"/>
        <w:numPr>
          <w:ilvl w:val="0"/>
          <w:numId w:val="4"/>
        </w:numPr>
      </w:pPr>
      <w:r>
        <w:rPr>
          <w:rFonts w:ascii="Figtree" w:hAnsi="Figtree"/>
          <w:b w:val="0"/>
          <w:i w:val="0"/>
          <w:sz w:val="22"/>
        </w:rPr>
        <w:t>[x] Visuals limited to essential diagrams and tables</w:t>
      </w:r>
    </w:p>
    <w:p>
      <w:pPr>
        <w:pStyle w:val="ListParagraph"/>
        <w:numPr>
          <w:ilvl w:val="0"/>
          <w:numId w:val="4"/>
        </w:numPr>
      </w:pPr>
      <w:r>
        <w:rPr>
          <w:rFonts w:ascii="Figtree" w:hAnsi="Figtree"/>
          <w:b w:val="0"/>
          <w:i w:val="0"/>
          <w:sz w:val="22"/>
        </w:rPr>
        <w:t>[x] Tone precise and non-promotional (institutional, evidence-led)</w:t>
      </w:r>
    </w:p>
    <w:p>
      <w:r>
        <w:br w:type="page"/>
      </w:r>
    </w:p>
    <w:p>
      <w:r>
        <w:rPr>
          <w:rFonts w:ascii="Figtree" w:hAnsi="Figtree"/>
          <w:b/>
          <w:i w:val="0"/>
          <w:sz w:val="22"/>
        </w:rPr>
        <w:t>End of Proposal</w:t>
      </w:r>
    </w:p>
    <w:p>
      <w:r>
        <w:rPr>
          <w:rFonts w:ascii="Figtree" w:hAnsi="Figtree"/>
          <w:b w:val="0"/>
          <w:i/>
          <w:sz w:val="22"/>
        </w:rPr>
        <w:t>Submitted by SettleMint — 16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