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Mashreq Bank</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Pr>
                        <w:color w:val="000099"/>
                        <w:sz w:val="74"/>
                        <w:szCs w:val="420"/>
                      </w:rPr>
                      <w:t xml:space="preserve">Technical Proposal</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Digital Asset Lifecycle Platform</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30 June 2026. In the absence of confirmation to proceed, SettleMint and Mashreq Bank</w:t>
      </w:r>
      <w:r w:rsidRPr="00E86454">
        <w:rPr>
          <w:color w:val="FF0000"/>
        </w:rPr>
      </w:r>
      <w:r>
        <w:rPr>
          <w:color w:val="FF0000"/>
        </w:rPr>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Gyan Jain</w:t>
      </w:r>
    </w:p>
    <w:p w14:paraId="78CD750E" w14:textId="77777777" w:rsidR="00E86454" w:rsidRDefault="00E86454" w:rsidP="00E86454">
      <w:r>
        <w:t>Head of Growth</w:t>
      </w:r>
    </w:p>
    <w:p w14:paraId="7D10800F" w14:textId="77777777" w:rsidR="00E86454" w:rsidRDefault="00E86454" w:rsidP="00E86454">
      <w:r>
        <w:t>Email: gyan@settlemint.com</w:t>
      </w:r>
    </w:p>
    <w:p w14:paraId="7D0DC7E4" w14:textId="77777777" w:rsidR="00AD4564" w:rsidRDefault="00E86454" w:rsidP="00E86454">
      <w:r>
        <w:t>Phone: +971 XX XXX XXXX</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"2-4" \h \z \u </w:instrText>
            <w:fldChar w:fldCharType="separate"/>
          </w:r>
        </w:p>
        <w:p>
          <w:pPr>
            <w:pStyle w:val="TOC2"/>
            <w:tabs>
              <w:tab w:val="right" w:leader="dot" w:pos="9072"/>
            </w:tabs>
          </w:pPr>
          <w:r>
            <w:t xml:space="preserve">1. Executive Summary</w:t>
          </w:r>
          <w:r>
            <w:tab/>
          </w:r>
          <w:r>
            <w:t xml:space="preserve">3</w:t>
          </w:r>
        </w:p>
        <w:p>
          <w:pPr>
            <w:pStyle w:val="TOC3"/>
            <w:tabs>
              <w:tab w:val="right" w:leader="dot" w:pos="9072"/>
            </w:tabs>
          </w:pPr>
          <w:r>
            <w:t xml:space="preserve">Key Differentiators for Mashreq Bank</w:t>
          </w:r>
          <w:r>
            <w:tab/>
          </w:r>
          <w:r>
            <w:t xml:space="preserve">4</w:t>
          </w:r>
        </w:p>
        <w:p>
          <w:pPr>
            <w:pStyle w:val="TOC3"/>
            <w:tabs>
              <w:tab w:val="right" w:leader="dot" w:pos="9072"/>
            </w:tabs>
          </w:pPr>
          <w:r>
            <w:t xml:space="preserve">Engagement Summary</w:t>
          </w:r>
          <w:r>
            <w:tab/>
          </w:r>
          <w:r>
            <w:t xml:space="preserve">5</w:t>
          </w:r>
        </w:p>
        <w:p>
          <w:pPr>
            <w:pStyle w:val="TOC2"/>
            <w:tabs>
              <w:tab w:val="right" w:leader="dot" w:pos="9072"/>
            </w:tabs>
          </w:pPr>
          <w:r>
            <w:t xml:space="preserve">2. About SettleMint</w:t>
          </w:r>
          <w:r>
            <w:tab/>
          </w:r>
          <w:r>
            <w:t xml:space="preserve">6</w:t>
          </w:r>
        </w:p>
        <w:p>
          <w:pPr>
            <w:pStyle w:val="TOC3"/>
            <w:tabs>
              <w:tab w:val="right" w:leader="dot" w:pos="9072"/>
            </w:tabs>
          </w:pPr>
          <w:r>
            <w:t xml:space="preserve">Company Overview</w:t>
          </w:r>
          <w:r>
            <w:tab/>
          </w:r>
          <w:r>
            <w:t xml:space="preserve">7</w:t>
          </w:r>
        </w:p>
        <w:p>
          <w:pPr>
            <w:pStyle w:val="TOC3"/>
            <w:tabs>
              <w:tab w:val="right" w:leader="dot" w:pos="9072"/>
            </w:tabs>
          </w:pPr>
          <w:r>
            <w:t xml:space="preserve">Focus on Regulated Markets</w:t>
          </w:r>
          <w:r>
            <w:tab/>
          </w:r>
          <w:r>
            <w:t xml:space="preserve">8</w:t>
          </w:r>
        </w:p>
        <w:p>
          <w:pPr>
            <w:pStyle w:val="TOC3"/>
            <w:tabs>
              <w:tab w:val="right" w:leader="dot" w:pos="9072"/>
            </w:tabs>
          </w:pPr>
          <w:r>
            <w:t xml:space="preserve">Client Base and Deployments</w:t>
          </w:r>
          <w:r>
            <w:tab/>
          </w:r>
          <w:r>
            <w:t xml:space="preserve">9</w:t>
          </w:r>
        </w:p>
        <w:p>
          <w:pPr>
            <w:pStyle w:val="TOC3"/>
            <w:tabs>
              <w:tab w:val="right" w:leader="dot" w:pos="9072"/>
            </w:tabs>
          </w:pPr>
          <w:r>
            <w:t xml:space="preserve">Sovereign Programs</w:t>
          </w:r>
          <w:r>
            <w:tab/>
          </w:r>
          <w:r>
            <w:t xml:space="preserve">10</w:t>
          </w:r>
        </w:p>
        <w:p>
          <w:pPr>
            <w:pStyle w:val="TOC3"/>
            <w:tabs>
              <w:tab w:val="right" w:leader="dot" w:pos="9072"/>
            </w:tabs>
          </w:pPr>
          <w:r>
            <w:t xml:space="preserve">Team Expertise</w:t>
          </w:r>
          <w:r>
            <w:tab/>
          </w:r>
          <w:r>
            <w:t xml:space="preserve">11</w:t>
          </w:r>
        </w:p>
        <w:p>
          <w:pPr>
            <w:pStyle w:val="TOC2"/>
            <w:tabs>
              <w:tab w:val="right" w:leader="dot" w:pos="9072"/>
            </w:tabs>
          </w:pPr>
          <w:r>
            <w:t xml:space="preserve">3. Understanding Mashreq Bank's Requirements</w:t>
          </w:r>
          <w:r>
            <w:tab/>
          </w:r>
          <w:r>
            <w:t xml:space="preserve">12</w:t>
          </w:r>
        </w:p>
        <w:p>
          <w:pPr>
            <w:pStyle w:val="TOC3"/>
            <w:tabs>
              <w:tab w:val="right" w:leader="dot" w:pos="9072"/>
            </w:tabs>
          </w:pPr>
          <w:r>
            <w:t xml:space="preserve">Mashreq's Digital Strategy and UAE Market Context</w:t>
          </w:r>
          <w:r>
            <w:tab/>
          </w:r>
          <w:r>
            <w:t xml:space="preserve">13</w:t>
          </w:r>
        </w:p>
        <w:p>
          <w:pPr>
            <w:pStyle w:val="TOC3"/>
            <w:tabs>
              <w:tab w:val="right" w:leader="dot" w:pos="9072"/>
            </w:tabs>
          </w:pPr>
          <w:r>
            <w:t xml:space="preserve">Operational Challenges</w:t>
          </w:r>
          <w:r>
            <w:tab/>
          </w:r>
          <w:r>
            <w:t xml:space="preserve">14</w:t>
          </w:r>
        </w:p>
        <w:p>
          <w:pPr>
            <w:pStyle w:val="TOC3"/>
            <w:tabs>
              <w:tab w:val="right" w:leader="dot" w:pos="9072"/>
            </w:tabs>
          </w:pPr>
          <w:r>
            <w:t xml:space="preserve">Regulatory Landscape</w:t>
          </w:r>
          <w:r>
            <w:tab/>
          </w:r>
          <w:r>
            <w:t xml:space="preserve">15</w:t>
          </w:r>
        </w:p>
        <w:p>
          <w:pPr>
            <w:pStyle w:val="TOC3"/>
            <w:tabs>
              <w:tab w:val="right" w:leader="dot" w:pos="9072"/>
            </w:tabs>
          </w:pPr>
          <w:r>
            <w:t xml:space="preserve">Strategic Objectives Mapped to Platform Capabilities</w:t>
          </w:r>
          <w:r>
            <w:tab/>
          </w:r>
          <w:r>
            <w:t xml:space="preserve">16</w:t>
          </w:r>
        </w:p>
        <w:p>
          <w:pPr>
            <w:pStyle w:val="TOC2"/>
            <w:tabs>
              <w:tab w:val="right" w:leader="dot" w:pos="9072"/>
            </w:tabs>
          </w:pPr>
          <w:r>
            <w:t xml:space="preserve">4. DALP Platform Overview</w:t>
          </w:r>
          <w:r>
            <w:tab/>
          </w:r>
          <w:r>
            <w:t xml:space="preserve">17</w:t>
          </w:r>
        </w:p>
        <w:p>
          <w:pPr>
            <w:pStyle w:val="TOC3"/>
            <w:tabs>
              <w:tab w:val="right" w:leader="dot" w:pos="9072"/>
            </w:tabs>
          </w:pPr>
          <w:r>
            <w:t xml:space="preserve">Architecture Overview</w:t>
          </w:r>
          <w:r>
            <w:tab/>
          </w:r>
          <w:r>
            <w:t xml:space="preserve">18</w:t>
          </w:r>
        </w:p>
        <w:p>
          <w:pPr>
            <w:pStyle w:val="TOC3"/>
            <w:tabs>
              <w:tab w:val="right" w:leader="dot" w:pos="9072"/>
            </w:tabs>
          </w:pPr>
          <w:r>
            <w:t xml:space="preserve">Seven Asset Templates</w:t>
          </w:r>
          <w:r>
            <w:tab/>
          </w:r>
          <w:r>
            <w:t xml:space="preserve">19</w:t>
          </w:r>
        </w:p>
        <w:p>
          <w:pPr>
            <w:pStyle w:val="TOC3"/>
            <w:tabs>
              <w:tab w:val="right" w:leader="dot" w:pos="9072"/>
            </w:tabs>
          </w:pPr>
          <w:r>
            <w:t xml:space="preserve">Compliance Engine</w:t>
          </w:r>
          <w:r>
            <w:tab/>
          </w:r>
          <w:r>
            <w:t xml:space="preserve">20</w:t>
          </w:r>
        </w:p>
        <w:p>
          <w:pPr>
            <w:pStyle w:val="TOC3"/>
            <w:tabs>
              <w:tab w:val="right" w:leader="dot" w:pos="9072"/>
            </w:tabs>
          </w:pPr>
          <w:r>
            <w:t xml:space="preserve">Identity and Access Control</w:t>
          </w:r>
          <w:r>
            <w:tab/>
          </w:r>
          <w:r>
            <w:t xml:space="preserve">21</w:t>
          </w:r>
        </w:p>
        <w:p>
          <w:pPr>
            <w:pStyle w:val="TOC2"/>
            <w:tabs>
              <w:tab w:val="right" w:leader="dot" w:pos="9072"/>
            </w:tabs>
          </w:pPr>
          <w:r>
            <w:t xml:space="preserve">5. Asset Lifecycle Management</w:t>
          </w:r>
          <w:r>
            <w:tab/>
          </w:r>
          <w:r>
            <w:t xml:space="preserve">22</w:t>
          </w:r>
        </w:p>
        <w:p>
          <w:pPr>
            <w:pStyle w:val="TOC3"/>
            <w:tabs>
              <w:tab w:val="right" w:leader="dot" w:pos="9072"/>
            </w:tabs>
          </w:pPr>
          <w:r>
            <w:t xml:space="preserve">Issuance Workflow</w:t>
          </w:r>
          <w:r>
            <w:tab/>
          </w:r>
          <w:r>
            <w:t xml:space="preserve">23</w:t>
          </w:r>
        </w:p>
        <w:p>
          <w:pPr>
            <w:pStyle w:val="TOC3"/>
            <w:tabs>
              <w:tab w:val="right" w:leader="dot" w:pos="9072"/>
            </w:tabs>
          </w:pPr>
          <w:r>
            <w:t xml:space="preserve">Transfer and Settlement</w:t>
          </w:r>
          <w:r>
            <w:tab/>
          </w:r>
          <w:r>
            <w:t xml:space="preserve">24</w:t>
          </w:r>
        </w:p>
        <w:p>
          <w:pPr>
            <w:pStyle w:val="TOC3"/>
            <w:tabs>
              <w:tab w:val="right" w:leader="dot" w:pos="9072"/>
            </w:tabs>
          </w:pPr>
          <w:r>
            <w:t xml:space="preserve">Corporate Actions</w:t>
          </w:r>
          <w:r>
            <w:tab/>
          </w:r>
          <w:r>
            <w:t xml:space="preserve">25</w:t>
          </w:r>
        </w:p>
        <w:p>
          <w:pPr>
            <w:pStyle w:val="TOC3"/>
            <w:tabs>
              <w:tab w:val="right" w:leader="dot" w:pos="9072"/>
            </w:tabs>
          </w:pPr>
          <w:r>
            <w:t xml:space="preserve">Bond Lifecycle Detail</w:t>
          </w:r>
          <w:r>
            <w:tab/>
          </w:r>
          <w:r>
            <w:t xml:space="preserve">26</w:t>
          </w:r>
        </w:p>
        <w:p>
          <w:pPr>
            <w:pStyle w:val="TOC3"/>
            <w:tabs>
              <w:tab w:val="right" w:leader="dot" w:pos="9072"/>
            </w:tabs>
          </w:pPr>
          <w:r>
            <w:t xml:space="preserve">Deposit Token and Stablecoin Operations</w:t>
          </w:r>
          <w:r>
            <w:tab/>
          </w:r>
          <w:r>
            <w:t xml:space="preserve">27</w:t>
          </w:r>
        </w:p>
        <w:p>
          <w:pPr>
            <w:pStyle w:val="TOC2"/>
            <w:tabs>
              <w:tab w:val="right" w:leader="dot" w:pos="9072"/>
            </w:tabs>
          </w:pPr>
          <w:r>
            <w:t xml:space="preserve">6. Compliance and Regulatory Framework</w:t>
          </w:r>
          <w:r>
            <w:tab/>
          </w:r>
          <w:r>
            <w:t xml:space="preserve">28</w:t>
          </w:r>
        </w:p>
        <w:p>
          <w:pPr>
            <w:pStyle w:val="TOC3"/>
            <w:tabs>
              <w:tab w:val="right" w:leader="dot" w:pos="9072"/>
            </w:tabs>
          </w:pPr>
          <w:r>
            <w:t xml:space="preserve">Three-Tier Compliance Architecture</w:t>
          </w:r>
          <w:r>
            <w:tab/>
          </w:r>
          <w:r>
            <w:t xml:space="preserve">29</w:t>
          </w:r>
        </w:p>
        <w:p>
          <w:pPr>
            <w:pStyle w:val="TOC3"/>
            <w:tabs>
              <w:tab w:val="right" w:leader="dot" w:pos="9072"/>
            </w:tabs>
          </w:pPr>
          <w:r>
            <w:t xml:space="preserve">18 Compliance Module Types</w:t>
          </w:r>
          <w:r>
            <w:tab/>
          </w:r>
          <w:r>
            <w:t xml:space="preserve">30</w:t>
          </w:r>
        </w:p>
        <w:p>
          <w:pPr>
            <w:pStyle w:val="TOC3"/>
            <w:tabs>
              <w:tab w:val="right" w:leader="dot" w:pos="9072"/>
            </w:tabs>
          </w:pPr>
          <w:r>
            <w:t xml:space="preserve">UAE Regulatory Alignment</w:t>
          </w:r>
          <w:r>
            <w:tab/>
          </w:r>
          <w:r>
            <w:t xml:space="preserve">31</w:t>
          </w:r>
        </w:p>
        <w:p>
          <w:pPr>
            <w:pStyle w:val="TOC3"/>
            <w:tabs>
              <w:tab w:val="right" w:leader="dot" w:pos="9072"/>
            </w:tabs>
          </w:pPr>
          <w:r>
            <w:t xml:space="preserve">Identity Verification and KYC/KYB Integration</w:t>
          </w:r>
          <w:r>
            <w:tab/>
          </w:r>
          <w:r>
            <w:t xml:space="preserve">32</w:t>
          </w:r>
        </w:p>
        <w:p>
          <w:pPr>
            <w:pStyle w:val="TOC3"/>
            <w:tabs>
              <w:tab w:val="right" w:leader="dot" w:pos="9072"/>
            </w:tabs>
          </w:pPr>
          <w:r>
            <w:t xml:space="preserve">Audit Trails and Regulatory Reporting</w:t>
          </w:r>
          <w:r>
            <w:tab/>
          </w:r>
          <w:r>
            <w:t xml:space="preserve">33</w:t>
          </w:r>
        </w:p>
        <w:p>
          <w:pPr>
            <w:pStyle w:val="TOC2"/>
            <w:tabs>
              <w:tab w:val="right" w:leader="dot" w:pos="9072"/>
            </w:tabs>
          </w:pPr>
          <w:r>
            <w:t xml:space="preserve">7. Technical Architecture</w:t>
          </w:r>
          <w:r>
            <w:tab/>
          </w:r>
          <w:r>
            <w:t xml:space="preserve">34</w:t>
          </w:r>
        </w:p>
        <w:p>
          <w:pPr>
            <w:pStyle w:val="TOC3"/>
            <w:tabs>
              <w:tab w:val="right" w:leader="dot" w:pos="9072"/>
            </w:tabs>
          </w:pPr>
          <w:r>
            <w:t xml:space="preserve">Component Architecture</w:t>
          </w:r>
          <w:r>
            <w:tab/>
          </w:r>
          <w:r>
            <w:t xml:space="preserve">35</w:t>
          </w:r>
        </w:p>
        <w:p>
          <w:pPr>
            <w:pStyle w:val="TOC3"/>
            <w:tabs>
              <w:tab w:val="right" w:leader="dot" w:pos="9072"/>
            </w:tabs>
          </w:pPr>
          <w:r>
            <w:t xml:space="preserve">Smart Contract Layer</w:t>
          </w:r>
          <w:r>
            <w:tab/>
          </w:r>
          <w:r>
            <w:t xml:space="preserve">36</w:t>
          </w:r>
        </w:p>
        <w:p>
          <w:pPr>
            <w:pStyle w:val="TOC3"/>
            <w:tabs>
              <w:tab w:val="right" w:leader="dot" w:pos="9072"/>
            </w:tabs>
          </w:pPr>
          <w:r>
            <w:t xml:space="preserve">Blockchain Infrastructure</w:t>
          </w:r>
          <w:r>
            <w:tab/>
          </w:r>
          <w:r>
            <w:t xml:space="preserve">37</w:t>
          </w:r>
        </w:p>
        <w:p>
          <w:pPr>
            <w:pStyle w:val="TOC3"/>
            <w:tabs>
              <w:tab w:val="right" w:leader="dot" w:pos="9072"/>
            </w:tabs>
          </w:pPr>
          <w:r>
            <w:t xml:space="preserve">API Layer</w:t>
          </w:r>
          <w:r>
            <w:tab/>
          </w:r>
          <w:r>
            <w:t xml:space="preserve">38</w:t>
          </w:r>
        </w:p>
        <w:p>
          <w:pPr>
            <w:pStyle w:val="TOC3"/>
            <w:tabs>
              <w:tab w:val="right" w:leader="dot" w:pos="9072"/>
            </w:tabs>
          </w:pPr>
          <w:r>
            <w:t xml:space="preserve">Observability</w:t>
          </w:r>
          <w:r>
            <w:tab/>
          </w:r>
          <w:r>
            <w:t xml:space="preserve">39</w:t>
          </w:r>
        </w:p>
        <w:p>
          <w:pPr>
            <w:pStyle w:val="TOC3"/>
            <w:tabs>
              <w:tab w:val="right" w:leader="dot" w:pos="9072"/>
            </w:tabs>
          </w:pPr>
          <w:r>
            <w:t xml:space="preserve">Data Feeds and Oracle Integration</w:t>
          </w:r>
          <w:r>
            <w:tab/>
          </w:r>
          <w:r>
            <w:t xml:space="preserve">40</w:t>
          </w:r>
        </w:p>
        <w:p>
          <w:pPr>
            <w:pStyle w:val="TOC2"/>
            <w:tabs>
              <w:tab w:val="right" w:leader="dot" w:pos="9072"/>
            </w:tabs>
          </w:pPr>
          <w:r>
            <w:t xml:space="preserve">8. Integration Architecture</w:t>
          </w:r>
          <w:r>
            <w:tab/>
          </w:r>
          <w:r>
            <w:t xml:space="preserve">41</w:t>
          </w:r>
        </w:p>
        <w:p>
          <w:pPr>
            <w:pStyle w:val="TOC3"/>
            <w:tabs>
              <w:tab w:val="right" w:leader="dot" w:pos="9072"/>
            </w:tabs>
          </w:pPr>
          <w:r>
            <w:t xml:space="preserve">Core Banking Integration Patterns</w:t>
          </w:r>
          <w:r>
            <w:tab/>
          </w:r>
          <w:r>
            <w:t xml:space="preserve">42</w:t>
          </w:r>
        </w:p>
        <w:p>
          <w:pPr>
            <w:pStyle w:val="TOC3"/>
            <w:tabs>
              <w:tab w:val="right" w:leader="dot" w:pos="9072"/>
            </w:tabs>
          </w:pPr>
          <w:r>
            <w:t xml:space="preserve">Custody Integration</w:t>
          </w:r>
          <w:r>
            <w:tab/>
          </w:r>
          <w:r>
            <w:t xml:space="preserve">43</w:t>
          </w:r>
        </w:p>
        <w:p>
          <w:pPr>
            <w:pStyle w:val="TOC3"/>
            <w:tabs>
              <w:tab w:val="right" w:leader="dot" w:pos="9072"/>
            </w:tabs>
          </w:pPr>
          <w:r>
            <w:t xml:space="preserve">Payment Rails</w:t>
          </w:r>
          <w:r>
            <w:tab/>
          </w:r>
          <w:r>
            <w:t xml:space="preserve">44</w:t>
          </w:r>
        </w:p>
        <w:p>
          <w:pPr>
            <w:pStyle w:val="TOC3"/>
            <w:tabs>
              <w:tab w:val="right" w:leader="dot" w:pos="9072"/>
            </w:tabs>
          </w:pPr>
          <w:r>
            <w:t xml:space="preserve">Market Infrastructure Connectivity</w:t>
          </w:r>
          <w:r>
            <w:tab/>
          </w:r>
          <w:r>
            <w:t xml:space="preserve">45</w:t>
          </w:r>
        </w:p>
        <w:p>
          <w:pPr>
            <w:pStyle w:val="TOC3"/>
            <w:tabs>
              <w:tab w:val="right" w:leader="dot" w:pos="9072"/>
            </w:tabs>
          </w:pPr>
          <w:r>
            <w:t xml:space="preserve">SSO/IAM and SIEM Integration</w:t>
          </w:r>
          <w:r>
            <w:tab/>
          </w:r>
          <w:r>
            <w:t xml:space="preserve">46</w:t>
          </w:r>
        </w:p>
        <w:p>
          <w:pPr>
            <w:pStyle w:val="TOC2"/>
            <w:tabs>
              <w:tab w:val="right" w:leader="dot" w:pos="9072"/>
            </w:tabs>
          </w:pPr>
          <w:r>
            <w:t xml:space="preserve">9. Deployment Model</w:t>
          </w:r>
          <w:r>
            <w:tab/>
          </w:r>
          <w:r>
            <w:t xml:space="preserve">47</w:t>
          </w:r>
        </w:p>
        <w:p>
          <w:pPr>
            <w:pStyle w:val="TOC3"/>
            <w:tabs>
              <w:tab w:val="right" w:leader="dot" w:pos="9072"/>
            </w:tabs>
          </w:pPr>
          <w:r>
            <w:t xml:space="preserve">On-Premises Deployment in UAE</w:t>
          </w:r>
          <w:r>
            <w:tab/>
          </w:r>
          <w:r>
            <w:t xml:space="preserve">48</w:t>
          </w:r>
        </w:p>
        <w:p>
          <w:pPr>
            <w:pStyle w:val="TOC3"/>
            <w:tabs>
              <w:tab w:val="right" w:leader="dot" w:pos="9072"/>
            </w:tabs>
          </w:pPr>
          <w:r>
            <w:t xml:space="preserve">Infrastructure Requirements</w:t>
          </w:r>
          <w:r>
            <w:tab/>
          </w:r>
          <w:r>
            <w:t xml:space="preserve">49</w:t>
          </w:r>
        </w:p>
        <w:p>
          <w:pPr>
            <w:pStyle w:val="TOC3"/>
            <w:tabs>
              <w:tab w:val="right" w:leader="dot" w:pos="9072"/>
            </w:tabs>
          </w:pPr>
          <w:r>
            <w:t xml:space="preserve">High Availability Architecture</w:t>
          </w:r>
          <w:r>
            <w:tab/>
          </w:r>
          <w:r>
            <w:t xml:space="preserve">50</w:t>
          </w:r>
        </w:p>
        <w:p>
          <w:pPr>
            <w:pStyle w:val="TOC3"/>
            <w:tabs>
              <w:tab w:val="right" w:leader="dot" w:pos="9072"/>
            </w:tabs>
          </w:pPr>
          <w:r>
            <w:t xml:space="preserve">Disaster Recovery and Business Continuity</w:t>
          </w:r>
          <w:r>
            <w:tab/>
          </w:r>
          <w:r>
            <w:t xml:space="preserve">51</w:t>
          </w:r>
        </w:p>
        <w:p>
          <w:pPr>
            <w:pStyle w:val="TOC3"/>
            <w:tabs>
              <w:tab w:val="right" w:leader="dot" w:pos="9072"/>
            </w:tabs>
          </w:pPr>
          <w:r>
            <w:t xml:space="preserve">Environment Strategy</w:t>
          </w:r>
          <w:r>
            <w:tab/>
          </w:r>
          <w:r>
            <w:t xml:space="preserve">52</w:t>
          </w:r>
        </w:p>
        <w:p>
          <w:pPr>
            <w:pStyle w:val="TOC2"/>
            <w:tabs>
              <w:tab w:val="right" w:leader="dot" w:pos="9072"/>
            </w:tabs>
          </w:pPr>
          <w:r>
            <w:t xml:space="preserve">10. Security</w:t>
          </w:r>
          <w:r>
            <w:tab/>
          </w:r>
          <w:r>
            <w:t xml:space="preserve">53</w:t>
          </w:r>
        </w:p>
        <w:p>
          <w:pPr>
            <w:pStyle w:val="TOC3"/>
            <w:tabs>
              <w:tab w:val="right" w:leader="dot" w:pos="9072"/>
            </w:tabs>
          </w:pPr>
          <w:r>
            <w:t xml:space="preserve">Security Architecture</w:t>
          </w:r>
          <w:r>
            <w:tab/>
          </w:r>
          <w:r>
            <w:t xml:space="preserve">54</w:t>
          </w:r>
        </w:p>
        <w:p>
          <w:pPr>
            <w:pStyle w:val="TOC3"/>
            <w:tabs>
              <w:tab w:val="right" w:leader="dot" w:pos="9072"/>
            </w:tabs>
          </w:pPr>
          <w:r>
            <w:t xml:space="preserve">Key Management</w:t>
          </w:r>
          <w:r>
            <w:tab/>
          </w:r>
          <w:r>
            <w:t xml:space="preserve">55</w:t>
          </w:r>
        </w:p>
        <w:p>
          <w:pPr>
            <w:pStyle w:val="TOC3"/>
            <w:tabs>
              <w:tab w:val="right" w:leader="dot" w:pos="9072"/>
            </w:tabs>
          </w:pPr>
          <w:r>
            <w:t xml:space="preserve">Access Control</w:t>
          </w:r>
          <w:r>
            <w:tab/>
          </w:r>
          <w:r>
            <w:t xml:space="preserve">56</w:t>
          </w:r>
        </w:p>
        <w:p>
          <w:pPr>
            <w:pStyle w:val="TOC3"/>
            <w:tabs>
              <w:tab w:val="right" w:leader="dot" w:pos="9072"/>
            </w:tabs>
          </w:pPr>
          <w:r>
            <w:t xml:space="preserve">Data Protection</w:t>
          </w:r>
          <w:r>
            <w:tab/>
          </w:r>
          <w:r>
            <w:t xml:space="preserve">57</w:t>
          </w:r>
        </w:p>
        <w:p>
          <w:pPr>
            <w:pStyle w:val="TOC3"/>
            <w:tabs>
              <w:tab w:val="right" w:leader="dot" w:pos="9072"/>
            </w:tabs>
          </w:pPr>
          <w:r>
            <w:t xml:space="preserve">Security Certifications</w:t>
          </w:r>
          <w:r>
            <w:tab/>
          </w:r>
          <w:r>
            <w:t xml:space="preserve">58</w:t>
          </w:r>
        </w:p>
        <w:p>
          <w:pPr>
            <w:pStyle w:val="TOC2"/>
            <w:tabs>
              <w:tab w:val="right" w:leader="dot" w:pos="9072"/>
            </w:tabs>
          </w:pPr>
          <w:r>
            <w:t xml:space="preserve">11. Implementation Approach</w:t>
          </w:r>
          <w:r>
            <w:tab/>
          </w:r>
          <w:r>
            <w:t xml:space="preserve">59</w:t>
          </w:r>
        </w:p>
        <w:p>
          <w:pPr>
            <w:pStyle w:val="TOC3"/>
            <w:tabs>
              <w:tab w:val="right" w:leader="dot" w:pos="9072"/>
            </w:tabs>
          </w:pPr>
          <w:r>
            <w:t xml:space="preserve">Phase 1: Foundation and Bond Lifecycle (Months 1-4)</w:t>
          </w:r>
          <w:r>
            <w:tab/>
          </w:r>
          <w:r>
            <w:t xml:space="preserve">60</w:t>
          </w:r>
        </w:p>
        <w:p>
          <w:pPr>
            <w:pStyle w:val="TOC3"/>
            <w:tabs>
              <w:tab w:val="right" w:leader="dot" w:pos="9072"/>
            </w:tabs>
          </w:pPr>
          <w:r>
            <w:t xml:space="preserve">Phase 2: Multi-Asset Expansion (Months 5-8)</w:t>
          </w:r>
          <w:r>
            <w:tab/>
          </w:r>
          <w:r>
            <w:t xml:space="preserve">61</w:t>
          </w:r>
        </w:p>
        <w:p>
          <w:pPr>
            <w:pStyle w:val="TOC3"/>
            <w:tabs>
              <w:tab w:val="right" w:leader="dot" w:pos="9072"/>
            </w:tabs>
          </w:pPr>
          <w:r>
            <w:t xml:space="preserve">Phase 3: Advanced Settlement and Cross-Border (Months 9-12)</w:t>
          </w:r>
          <w:r>
            <w:tab/>
          </w:r>
          <w:r>
            <w:t xml:space="preserve">62</w:t>
          </w:r>
        </w:p>
        <w:p>
          <w:pPr>
            <w:pStyle w:val="TOC3"/>
            <w:tabs>
              <w:tab w:val="right" w:leader="dot" w:pos="9072"/>
            </w:tabs>
          </w:pPr>
          <w:r>
            <w:t xml:space="preserve">Governance Model</w:t>
          </w:r>
          <w:r>
            <w:tab/>
          </w:r>
          <w:r>
            <w:t xml:space="preserve">63</w:t>
          </w:r>
        </w:p>
        <w:p>
          <w:pPr>
            <w:pStyle w:val="TOC3"/>
            <w:tabs>
              <w:tab w:val="right" w:leader="dot" w:pos="9072"/>
            </w:tabs>
          </w:pPr>
          <w:r>
            <w:t xml:space="preserve">Testing Strategy</w:t>
          </w:r>
          <w:r>
            <w:tab/>
          </w:r>
          <w:r>
            <w:t xml:space="preserve">64</w:t>
          </w:r>
        </w:p>
        <w:p>
          <w:pPr>
            <w:pStyle w:val="TOC3"/>
            <w:tabs>
              <w:tab w:val="right" w:leader="dot" w:pos="9072"/>
            </w:tabs>
          </w:pPr>
          <w:r>
            <w:t xml:space="preserve">Training and Knowledge Transfer</w:t>
          </w:r>
          <w:r>
            <w:tab/>
          </w:r>
          <w:r>
            <w:t xml:space="preserve">65</w:t>
          </w:r>
        </w:p>
        <w:p>
          <w:pPr>
            <w:pStyle w:val="TOC2"/>
            <w:tabs>
              <w:tab w:val="right" w:leader="dot" w:pos="9072"/>
            </w:tabs>
          </w:pPr>
          <w:r>
            <w:t xml:space="preserve">12. Support and SLA Framework</w:t>
          </w:r>
          <w:r>
            <w:tab/>
          </w:r>
          <w:r>
            <w:t xml:space="preserve">66</w:t>
          </w:r>
        </w:p>
        <w:p>
          <w:pPr>
            <w:pStyle w:val="TOC3"/>
            <w:tabs>
              <w:tab w:val="right" w:leader="dot" w:pos="9072"/>
            </w:tabs>
          </w:pPr>
          <w:r>
            <w:t xml:space="preserve">SLA Targets</w:t>
          </w:r>
          <w:r>
            <w:tab/>
          </w:r>
          <w:r>
            <w:t xml:space="preserve">67</w:t>
          </w:r>
        </w:p>
        <w:p>
          <w:pPr>
            <w:pStyle w:val="TOC3"/>
            <w:tabs>
              <w:tab w:val="right" w:leader="dot" w:pos="9072"/>
            </w:tabs>
          </w:pPr>
          <w:r>
            <w:t xml:space="preserve">Support Tiers</w:t>
          </w:r>
          <w:r>
            <w:tab/>
          </w:r>
          <w:r>
            <w:t xml:space="preserve">68</w:t>
          </w:r>
        </w:p>
        <w:p>
          <w:pPr>
            <w:pStyle w:val="TOC3"/>
            <w:tabs>
              <w:tab w:val="right" w:leader="dot" w:pos="9072"/>
            </w:tabs>
          </w:pPr>
          <w:r>
            <w:t xml:space="preserve">Maintenance Windows</w:t>
          </w:r>
          <w:r>
            <w:tab/>
          </w:r>
          <w:r>
            <w:t xml:space="preserve">69</w:t>
          </w:r>
        </w:p>
        <w:p>
          <w:pPr>
            <w:pStyle w:val="TOC3"/>
            <w:tabs>
              <w:tab w:val="right" w:leader="dot" w:pos="9072"/>
            </w:tabs>
          </w:pPr>
          <w:r>
            <w:t xml:space="preserve">Platform Updates and Regulatory Change Management</w:t>
          </w:r>
          <w:r>
            <w:tab/>
          </w:r>
          <w:r>
            <w:t xml:space="preserve">70</w:t>
          </w:r>
        </w:p>
        <w:p>
          <w:pPr>
            <w:pStyle w:val="TOC2"/>
            <w:tabs>
              <w:tab w:val="right" w:leader="dot" w:pos="9072"/>
            </w:tabs>
          </w:pPr>
          <w:r>
            <w:t xml:space="preserve">13. Commercial Framework</w:t>
          </w:r>
          <w:r>
            <w:tab/>
          </w:r>
          <w:r>
            <w:t xml:space="preserve">71</w:t>
          </w:r>
        </w:p>
        <w:p>
          <w:pPr>
            <w:pStyle w:val="TOC3"/>
            <w:tabs>
              <w:tab w:val="right" w:leader="dot" w:pos="9072"/>
            </w:tabs>
          </w:pPr>
          <w:r>
            <w:t xml:space="preserve">Platform Licensing</w:t>
          </w:r>
          <w:r>
            <w:tab/>
          </w:r>
          <w:r>
            <w:t xml:space="preserve">72</w:t>
          </w:r>
        </w:p>
        <w:p>
          <w:pPr>
            <w:pStyle w:val="TOC3"/>
            <w:tabs>
              <w:tab w:val="right" w:leader="dot" w:pos="9072"/>
            </w:tabs>
          </w:pPr>
          <w:r>
            <w:t xml:space="preserve">Implementation Services</w:t>
          </w:r>
          <w:r>
            <w:tab/>
          </w:r>
          <w:r>
            <w:t xml:space="preserve">73</w:t>
          </w:r>
        </w:p>
        <w:p>
          <w:pPr>
            <w:pStyle w:val="TOC3"/>
            <w:tabs>
              <w:tab w:val="right" w:leader="dot" w:pos="9072"/>
            </w:tabs>
          </w:pPr>
          <w:r>
            <w:t xml:space="preserve">Annual Support</w:t>
          </w:r>
          <w:r>
            <w:tab/>
          </w:r>
          <w:r>
            <w:t xml:space="preserve">74</w:t>
          </w:r>
        </w:p>
        <w:p>
          <w:pPr>
            <w:pStyle w:val="TOC3"/>
            <w:tabs>
              <w:tab w:val="right" w:leader="dot" w:pos="9072"/>
            </w:tabs>
          </w:pPr>
          <w:r>
            <w:t xml:space="preserve">Commercial Principles</w:t>
          </w:r>
          <w:r>
            <w:tab/>
          </w:r>
          <w:r>
            <w:t xml:space="preserve">75</w:t>
          </w:r>
        </w:p>
        <w:p>
          <w:pPr>
            <w:pStyle w:val="TOC2"/>
            <w:tabs>
              <w:tab w:val="right" w:leader="dot" w:pos="9072"/>
            </w:tabs>
          </w:pPr>
          <w:r>
            <w:t xml:space="preserve">14. Why SettleMint</w:t>
          </w:r>
          <w:r>
            <w:tab/>
          </w:r>
          <w:r>
            <w:t xml:space="preserve">76</w:t>
          </w:r>
        </w:p>
        <w:p>
          <w:pPr>
            <w:pStyle w:val="TOC3"/>
            <w:tabs>
              <w:tab w:val="right" w:leader="dot" w:pos="9072"/>
            </w:tabs>
          </w:pPr>
          <w:r>
            <w:t xml:space="preserve">Summary of Key Advantages</w:t>
          </w:r>
          <w:r>
            <w:tab/>
          </w:r>
          <w:r>
            <w:t xml:space="preserve">77</w:t>
          </w:r>
        </w:p>
        <w:p>
          <w:pPr>
            <w:pStyle w:val="TOC3"/>
            <w:tabs>
              <w:tab w:val="right" w:leader="dot" w:pos="9072"/>
            </w:tabs>
          </w:pPr>
          <w:r>
            <w:t xml:space="preserve">Reference Experience Relevant to Mashreq</w:t>
          </w:r>
          <w:r>
            <w:tab/>
          </w:r>
          <w:r>
            <w:t xml:space="preserve">78</w:t>
          </w:r>
        </w:p>
        <w:p>
          <w:pPr>
            <w:pStyle w:val="TOC3"/>
            <w:tabs>
              <w:tab w:val="right" w:leader="dot" w:pos="9072"/>
            </w:tabs>
          </w:pPr>
          <w:r>
            <w:t xml:space="preserve">Commitment</w:t>
          </w:r>
          <w:r>
            <w:tab/>
          </w:r>
          <w:r>
            <w:t xml:space="preserve">79</w:t>
          </w:r>
        </w:p>
        <w:p>
          <w:pPr>
            <w:pStyle w:val="TOC2"/>
            <w:tabs>
              <w:tab w:val="right" w:leader="dot" w:pos="9072"/>
            </w:tabs>
          </w:pPr>
          <w:r>
            <w:t xml:space="preserve">Appendices</w:t>
          </w:r>
          <w:r>
            <w:tab/>
          </w:r>
          <w:r>
            <w:t xml:space="preserve">80</w:t>
          </w:r>
        </w:p>
        <w:p>
          <w:pPr>
            <w:pStyle w:val="TOC3"/>
            <w:tabs>
              <w:tab w:val="right" w:leader="dot" w:pos="9072"/>
            </w:tabs>
          </w:pPr>
          <w:r>
            <w:t xml:space="preserve">Appendix A: Technical Specifications</w:t>
          </w:r>
          <w:r>
            <w:tab/>
          </w:r>
          <w:r>
            <w:t xml:space="preserve">81</w:t>
          </w:r>
        </w:p>
        <w:p>
          <w:pPr>
            <w:pStyle w:val="TOC3"/>
            <w:tabs>
              <w:tab w:val="right" w:leader="dot" w:pos="9072"/>
            </w:tabs>
          </w:pPr>
          <w:r>
            <w:t xml:space="preserve">Appendix B: Compliance Modules Summary</w:t>
          </w:r>
          <w:r>
            <w:tab/>
          </w:r>
          <w:r>
            <w:t xml:space="preserve">82</w:t>
          </w:r>
        </w:p>
        <w:p>
          <w:pPr>
            <w:pStyle w:val="TOC3"/>
            <w:tabs>
              <w:tab w:val="right" w:leader="dot" w:pos="9072"/>
            </w:tabs>
          </w:pPr>
          <w:r>
            <w:t xml:space="preserve">Appendix C: Asset Template Capabilities</w:t>
          </w:r>
          <w:r>
            <w:tab/>
          </w:r>
          <w:r>
            <w:t xml:space="preserve">83</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Date:</w:t>
      </w:r>
      <w:r>
        <w:rPr>
          <w:rFonts w:ascii="Figtree" w:hAnsi="Figtree"/>
          <w:b w:val="0"/>
          <w:i w:val="0"/>
          <w:sz w:val="22"/>
        </w:rPr>
        <w:t xml:space="preserve"> April 2026</w:t>
      </w:r>
    </w:p>
    <w:p>
      <w:r>
        <w:rPr>
          <w:rFonts w:ascii="Figtree" w:hAnsi="Figtree"/>
          <w:b/>
          <w:i w:val="0"/>
          <w:sz w:val="22"/>
        </w:rPr>
        <w:t>Classification:</w:t>
      </w:r>
      <w:r>
        <w:rPr>
          <w:rFonts w:ascii="Figtree" w:hAnsi="Figtree"/>
          <w:b w:val="0"/>
          <w:i w:val="0"/>
          <w:sz w:val="22"/>
        </w:rPr>
        <w:t xml:space="preserve"> Confidential</w:t>
      </w:r>
    </w:p>
    <w:p>
      <w:r>
        <w:rPr>
          <w:rFonts w:ascii="Figtree" w:hAnsi="Figtree"/>
          <w:b/>
          <w:i w:val="0"/>
          <w:sz w:val="22"/>
        </w:rPr>
        <w:t>Version:</w:t>
      </w:r>
      <w:r>
        <w:rPr>
          <w:rFonts w:ascii="Figtree" w:hAnsi="Figtree"/>
          <w:b w:val="0"/>
          <w:i w:val="0"/>
          <w:sz w:val="22"/>
        </w:rPr>
        <w:t xml:space="preserve"> 1.0</w:t>
      </w:r>
    </w:p>
    <w:p>
      <w:r>
        <w:br w:type="page"/>
      </w:r>
    </w:p>
    <w:p>
      <w:pPr>
        <w:pStyle w:val="H2"/>
        <w:numPr>
          <w:ilvl w:val="1"/>
          <w:numId w:val="1"/>
        </w:numPr>
      </w:pPr>
      <w:r>
        <w:t>1. Executive Summary</w:t>
      </w:r>
    </w:p>
    <w:p>
      <w:r>
        <w:rPr>
          <w:rFonts w:ascii="Figtree" w:hAnsi="Figtree"/>
          <w:b w:val="0"/>
          <w:i w:val="0"/>
          <w:sz w:val="22"/>
        </w:rPr>
        <w:t>Mashreq Bank stands at an inflection point. As the UAE's oldest privately owned bank and one of its most digitally progressive financial institutions, Mashreq has consistently demonstrated a commitment to technology-led transformation, from its pioneering NEO digital banking platform to its investments in blockchain infrastructure, AI-driven operations, and platform-based banking strategies. The bank's leadership has publicly articulated a vision where blockchain-based tokenization of real assets becomes a serious financial infrastructure shift, particularly for wealth management, capital markets, and cross-border operations.</w:t>
      </w:r>
    </w:p>
    <w:p>
      <w:r>
        <w:rPr>
          <w:rFonts w:ascii="Figtree" w:hAnsi="Figtree"/>
          <w:b w:val="0"/>
          <w:i w:val="0"/>
          <w:sz w:val="22"/>
        </w:rPr>
        <w:t>The UAE's regulatory environment is accelerating this trajectory. The Central Bank of the UAE (CBUAE) has introduced comprehensive frameworks for digital asset oversight, the Virtual Assets Regulatory Authority (VARA) in Dubai has established one of the world's most detailed licensing regimes for virtual asset service providers, and the Dubai Financial Services Authority (DFSA) has extended its regulatory perimeter to cover security tokens and digital assets within the DIFC. The Securities and Commodities Authority (SCA) continues to refine guidelines for tokenized securities issuance and distribution. Together, these regulatory bodies have created a clear, multi-layered framework that gives institutions like Mashreq Bank the certainty needed to move from strategic evaluation to operational deployment.</w:t>
      </w:r>
    </w:p>
    <w:p>
      <w:r>
        <w:rPr>
          <w:rFonts w:ascii="Figtree" w:hAnsi="Figtree"/>
          <w:b w:val="0"/>
          <w:i w:val="0"/>
          <w:sz w:val="22"/>
        </w:rPr>
        <w:t xml:space="preserve">SettleMint proposes the </w:t>
      </w:r>
      <w:r>
        <w:rPr>
          <w:rFonts w:ascii="Figtree" w:hAnsi="Figtree"/>
          <w:b/>
          <w:i w:val="0"/>
          <w:sz w:val="22"/>
        </w:rPr>
        <w:t>Digital Asset Lifecycle Platform (DALP)</w:t>
      </w:r>
      <w:r>
        <w:rPr>
          <w:rFonts w:ascii="Figtree" w:hAnsi="Figtree"/>
          <w:b w:val="0"/>
          <w:i w:val="0"/>
          <w:sz w:val="22"/>
        </w:rPr>
        <w:t xml:space="preserve"> as the foundation for Mashreq Bank's institutional digital asset operations. DALP is not a tokenization toolkit or a point solution for issuance. It is a complete lifecycle platform that unifies asset issuance, compliance enforcement, custody integration, atomic settlement, and ongoing servicing under a single governance model, security posture, and operating framework.</w:t>
      </w:r>
    </w:p>
    <w:p>
      <w:pPr>
        <w:pStyle w:val="H3"/>
        <w:numPr>
          <w:ilvl w:val="2"/>
          <w:numId w:val="1"/>
        </w:numPr>
      </w:pPr>
      <w:r>
        <w:t>Key Differentiators for Mashreq Bank</w:t>
      </w:r>
    </w:p>
    <w:p>
      <w:pPr>
        <w:pStyle w:val="ListParagraph"/>
        <w:numPr>
          <w:ilvl w:val="0"/>
          <w:numId w:val="4"/>
        </w:numPr>
      </w:pPr>
      <w:r>
        <w:rPr>
          <w:rFonts w:ascii="Figtree" w:hAnsi="Figtree"/>
          <w:b/>
          <w:i w:val="0"/>
          <w:sz w:val="22"/>
        </w:rPr>
        <w:t>Full lifecycle coverage in one platform:</w:t>
      </w:r>
      <w:r>
        <w:rPr>
          <w:rFonts w:ascii="Figtree" w:hAnsi="Figtree"/>
          <w:b w:val="0"/>
          <w:i w:val="0"/>
          <w:sz w:val="22"/>
        </w:rPr>
        <w:t xml:space="preserve"> Issuance, compliance, custody orchestration, settlement, and servicing on a single control plane with a unified registry. No vendor sprawl, no integration gaps between issuance and post-trade operations.</w:t>
      </w:r>
    </w:p>
    <w:p>
      <w:pPr>
        <w:pStyle w:val="ListParagraph"/>
        <w:numPr>
          <w:ilvl w:val="0"/>
          <w:numId w:val="4"/>
        </w:numPr>
      </w:pPr>
      <w:r>
        <w:rPr>
          <w:rFonts w:ascii="Figtree" w:hAnsi="Figtree"/>
          <w:b/>
          <w:i w:val="0"/>
          <w:sz w:val="22"/>
        </w:rPr>
        <w:t>Ex-ante compliance enforcement:</w:t>
      </w:r>
      <w:r>
        <w:rPr>
          <w:rFonts w:ascii="Figtree" w:hAnsi="Figtree"/>
          <w:b w:val="0"/>
          <w:i w:val="0"/>
          <w:sz w:val="22"/>
        </w:rPr>
        <w:t xml:space="preserve"> Every transfer is validated against eligibility rules, identity claims, and jurisdictional constraints before execution. This is not retrospective monitoring; it is deterministic prevention of non-compliant transactions at the smart contract layer.</w:t>
      </w:r>
    </w:p>
    <w:p>
      <w:pPr>
        <w:pStyle w:val="ListParagraph"/>
        <w:numPr>
          <w:ilvl w:val="0"/>
          <w:numId w:val="4"/>
        </w:numPr>
      </w:pPr>
      <w:r>
        <w:rPr>
          <w:rFonts w:ascii="Figtree" w:hAnsi="Figtree"/>
          <w:b/>
          <w:i w:val="0"/>
          <w:sz w:val="22"/>
        </w:rPr>
        <w:t>Atomic DvP/XvP settlement:</w:t>
      </w:r>
      <w:r>
        <w:rPr>
          <w:rFonts w:ascii="Figtree" w:hAnsi="Figtree"/>
          <w:b w:val="0"/>
          <w:i w:val="0"/>
          <w:sz w:val="22"/>
        </w:rPr>
        <w:t xml:space="preserve"> Both asset and cash legs complete together or revert together, eliminating counterparty risk and reconciliation overhead. Extends to multi-party settlement scenarios.</w:t>
      </w:r>
    </w:p>
    <w:p>
      <w:pPr>
        <w:pStyle w:val="ListParagraph"/>
        <w:numPr>
          <w:ilvl w:val="0"/>
          <w:numId w:val="4"/>
        </w:numPr>
      </w:pPr>
      <w:r>
        <w:rPr>
          <w:rFonts w:ascii="Figtree" w:hAnsi="Figtree"/>
          <w:b/>
          <w:i w:val="0"/>
          <w:sz w:val="22"/>
        </w:rPr>
        <w:t>UAE regulatory alignment:</w:t>
      </w:r>
      <w:r>
        <w:rPr>
          <w:rFonts w:ascii="Figtree" w:hAnsi="Figtree"/>
          <w:b w:val="0"/>
          <w:i w:val="0"/>
          <w:sz w:val="22"/>
        </w:rPr>
        <w:t xml:space="preserve"> Compliance module architecture supports CBUAE requirements, VARA guidelines, DFSA frameworks, and SCA directives through configurable policy templates, not custom code.</w:t>
      </w:r>
    </w:p>
    <w:p>
      <w:pPr>
        <w:pStyle w:val="ListParagraph"/>
        <w:numPr>
          <w:ilvl w:val="0"/>
          <w:numId w:val="4"/>
        </w:numPr>
      </w:pPr>
      <w:r>
        <w:rPr>
          <w:rFonts w:ascii="Figtree" w:hAnsi="Figtree"/>
          <w:b/>
          <w:i w:val="0"/>
          <w:sz w:val="22"/>
        </w:rPr>
        <w:t>On-premises deployment:</w:t>
      </w:r>
      <w:r>
        <w:rPr>
          <w:rFonts w:ascii="Figtree" w:hAnsi="Figtree"/>
          <w:b w:val="0"/>
          <w:i w:val="0"/>
          <w:sz w:val="22"/>
        </w:rPr>
        <w:t xml:space="preserve"> Full deployment within Mashreq Bank's UAE data center infrastructure with Kubernetes orchestration, meeting data residency and sovereignty requirements.</w:t>
      </w:r>
    </w:p>
    <w:p>
      <w:pPr>
        <w:pStyle w:val="ListParagraph"/>
        <w:numPr>
          <w:ilvl w:val="0"/>
          <w:numId w:val="4"/>
        </w:numPr>
      </w:pPr>
      <w:r>
        <w:rPr>
          <w:rFonts w:ascii="Figtree" w:hAnsi="Figtree"/>
          <w:b/>
          <w:i w:val="0"/>
          <w:sz w:val="22"/>
        </w:rPr>
        <w:t>Institutional custody integration:</w:t>
      </w:r>
      <w:r>
        <w:rPr>
          <w:rFonts w:ascii="Figtree" w:hAnsi="Figtree"/>
          <w:b w:val="0"/>
          <w:i w:val="0"/>
          <w:sz w:val="22"/>
        </w:rPr>
        <w:t xml:space="preserve"> Bring-your-own-custodian model with native Fireblocks and DFNS integrations, maker-checker approval workflows, and HSM-compatible key management.</w:t>
      </w:r>
    </w:p>
    <w:p>
      <w:pPr>
        <w:pStyle w:val="H3"/>
        <w:numPr>
          <w:ilvl w:val="2"/>
          <w:numId w:val="1"/>
        </w:numPr>
      </w:pPr>
      <w:r>
        <w:t>Engagement Summary</w:t>
      </w:r>
    </w:p>
    <w:p>
      <w:r>
        <w:rPr>
          <w:rFonts w:ascii="Figtree" w:hAnsi="Figtree"/>
          <w:b w:val="0"/>
          <w:i w:val="0"/>
          <w:sz w:val="22"/>
        </w:rPr>
        <w:t>SettleMint proposes a three-phase, twelve-month implementation: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259"/>
        <w:gridCol w:w="5831"/>
        <w:gridCol w:w="1979"/>
      </w:tblGrid>
      <w:tr>
        <w:trPr>
          <w:trHeight w:val="488"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Focus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r>
      <w:tr>
        <w:trPr>
          <w:trHeight w:val="488" w:hRule="atLeast"/>
        </w:trPr>
        <w:tc>
          <w:tcPr>
            <w:tcW w:type="dxa" w:w="3249"/>
            <w:vAlign w:val="center"/>
          </w:tcPr>
          <w:p>
            <w:pPr>
              <w:spacing w:line="276" w:lineRule="auto" w:before="0" w:after="0"/>
            </w:pPr>
            <w:r/>
            <w:r>
              <w:rPr>
                <w:rFonts w:ascii="Figtree" w:hAnsi="Figtree"/>
                <w:b w:val="0"/>
                <w:i w:val="0"/>
                <w:sz w:val="20"/>
              </w:rPr>
              <w:t>Phase 1</w:t>
            </w:r>
          </w:p>
        </w:tc>
        <w:tc>
          <w:tcPr>
            <w:tcW w:type="dxa" w:w="3249"/>
            <w:vAlign w:val="center"/>
          </w:tcPr>
          <w:p>
            <w:pPr>
              <w:spacing w:line="276" w:lineRule="auto" w:before="0" w:after="0"/>
            </w:pPr>
            <w:r/>
            <w:r>
              <w:rPr>
                <w:rFonts w:ascii="Figtree" w:hAnsi="Figtree"/>
                <w:b w:val="0"/>
                <w:i w:val="0"/>
                <w:sz w:val="20"/>
              </w:rPr>
              <w:t>Foundation and Bond Lifecycle</w:t>
            </w:r>
          </w:p>
        </w:tc>
        <w:tc>
          <w:tcPr>
            <w:tcW w:type="dxa" w:w="3249"/>
            <w:vAlign w:val="center"/>
          </w:tcPr>
          <w:p>
            <w:pPr>
              <w:spacing w:line="276" w:lineRule="auto" w:before="0" w:after="0"/>
            </w:pPr>
            <w:r/>
            <w:r>
              <w:rPr>
                <w:rFonts w:ascii="Figtree" w:hAnsi="Figtree"/>
                <w:b w:val="0"/>
                <w:i w:val="0"/>
                <w:sz w:val="20"/>
              </w:rPr>
              <w:t>Months 1-4</w:t>
            </w:r>
          </w:p>
        </w:tc>
      </w:tr>
      <w:tr>
        <w:trPr>
          <w:trHeight w:val="488" w:hRule="atLeast"/>
        </w:trPr>
        <w:tc>
          <w:tcPr>
            <w:tcW w:type="dxa" w:w="3249"/>
            <w:vAlign w:val="center"/>
          </w:tcPr>
          <w:p>
            <w:pPr>
              <w:spacing w:line="276" w:lineRule="auto" w:before="0" w:after="0"/>
            </w:pPr>
            <w:r/>
            <w:r>
              <w:rPr>
                <w:rFonts w:ascii="Figtree" w:hAnsi="Figtree"/>
                <w:b w:val="0"/>
                <w:i w:val="0"/>
                <w:sz w:val="20"/>
              </w:rPr>
              <w:t>Phase 2</w:t>
            </w:r>
          </w:p>
        </w:tc>
        <w:tc>
          <w:tcPr>
            <w:tcW w:type="dxa" w:w="3249"/>
            <w:vAlign w:val="center"/>
          </w:tcPr>
          <w:p>
            <w:pPr>
              <w:spacing w:line="276" w:lineRule="auto" w:before="0" w:after="0"/>
            </w:pPr>
            <w:r/>
            <w:r>
              <w:rPr>
                <w:rFonts w:ascii="Figtree" w:hAnsi="Figtree"/>
                <w:b w:val="0"/>
                <w:i w:val="0"/>
                <w:sz w:val="20"/>
              </w:rPr>
              <w:t>Multi-Asset Expansion</w:t>
            </w:r>
          </w:p>
        </w:tc>
        <w:tc>
          <w:tcPr>
            <w:tcW w:type="dxa" w:w="3249"/>
            <w:vAlign w:val="center"/>
          </w:tcPr>
          <w:p>
            <w:pPr>
              <w:spacing w:line="276" w:lineRule="auto" w:before="0" w:after="0"/>
            </w:pPr>
            <w:r/>
            <w:r>
              <w:rPr>
                <w:rFonts w:ascii="Figtree" w:hAnsi="Figtree"/>
                <w:b w:val="0"/>
                <w:i w:val="0"/>
                <w:sz w:val="20"/>
              </w:rPr>
              <w:t>Months 5-8</w:t>
            </w:r>
          </w:p>
        </w:tc>
      </w:tr>
      <w:tr>
        <w:trPr>
          <w:trHeight w:val="488" w:hRule="atLeast"/>
        </w:trPr>
        <w:tc>
          <w:tcPr>
            <w:tcW w:type="dxa" w:w="3249"/>
            <w:vAlign w:val="center"/>
          </w:tcPr>
          <w:p>
            <w:pPr>
              <w:spacing w:line="276" w:lineRule="auto" w:before="0" w:after="0"/>
            </w:pPr>
            <w:r/>
            <w:r>
              <w:rPr>
                <w:rFonts w:ascii="Figtree" w:hAnsi="Figtree"/>
                <w:b w:val="0"/>
                <w:i w:val="0"/>
                <w:sz w:val="20"/>
              </w:rPr>
              <w:t>Phase 3</w:t>
            </w:r>
          </w:p>
        </w:tc>
        <w:tc>
          <w:tcPr>
            <w:tcW w:type="dxa" w:w="3249"/>
            <w:vAlign w:val="center"/>
          </w:tcPr>
          <w:p>
            <w:pPr>
              <w:spacing w:line="276" w:lineRule="auto" w:before="0" w:after="0"/>
            </w:pPr>
            <w:r/>
            <w:r>
              <w:rPr>
                <w:rFonts w:ascii="Figtree" w:hAnsi="Figtree"/>
                <w:b w:val="0"/>
                <w:i w:val="0"/>
                <w:sz w:val="20"/>
              </w:rPr>
              <w:t>Advanced Settlement and Cross-Border</w:t>
            </w:r>
          </w:p>
        </w:tc>
        <w:tc>
          <w:tcPr>
            <w:tcW w:type="dxa" w:w="3249"/>
            <w:vAlign w:val="center"/>
          </w:tcPr>
          <w:p>
            <w:pPr>
              <w:spacing w:line="276" w:lineRule="auto" w:before="0" w:after="0"/>
            </w:pPr>
            <w:r/>
            <w:r>
              <w:rPr>
                <w:rFonts w:ascii="Figtree" w:hAnsi="Figtree"/>
                <w:b w:val="0"/>
                <w:i w:val="0"/>
                <w:sz w:val="20"/>
              </w:rPr>
              <w:t>Months 9-12</w:t>
            </w:r>
          </w:p>
        </w:tc>
      </w:tr>
    </w:tbl>
    <w:p>
      <w:pPr>
        <w:spacing w:before="0" w:after="0" w:line="120" w:lineRule="exact"/>
      </w:pPr>
    </w:p>
    <w:p>
      <w:r>
        <w:rPr>
          <w:rFonts w:ascii="Figtree" w:hAnsi="Figtree"/>
          <w:b w:val="0"/>
          <w:i w:val="0"/>
          <w:sz w:val="22"/>
        </w:rPr>
        <w:t>This phased approach delivers production value from Phase 1 while building toward Mashreq Bank's full digital asset operating model.</w:t>
      </w:r>
    </w:p>
    <w:p>
      <w:r>
        <w:br w:type="page"/>
      </w:r>
    </w:p>
    <w:p>
      <w:pPr>
        <w:pStyle w:val="H2"/>
        <w:numPr>
          <w:ilvl w:val="1"/>
          <w:numId w:val="1"/>
        </w:numPr>
      </w:pPr>
      <w:r>
        <w:t>2. About SettleMint</w:t>
      </w:r>
    </w:p>
    <w:p>
      <w:pPr>
        <w:pStyle w:val="H3"/>
        <w:numPr>
          <w:ilvl w:val="2"/>
          <w:numId w:val="1"/>
        </w:numPr>
      </w:pPr>
      <w:r>
        <w:t>Company Overview</w:t>
      </w:r>
    </w:p>
    <w:p>
      <w:r>
        <w:rPr>
          <w:rFonts w:ascii="Figtree" w:hAnsi="Figtree"/>
          <w:b w:val="0"/>
          <w:i w:val="0"/>
          <w:sz w:val="22"/>
        </w:rPr>
        <w:t>SettleMint is the digital asset lifecycle management company for regulated financial markets and sovereign use cases. Founded in 2016 with a singular focus on building blockchain infrastructure for enterprises and regulated institutions, SettleMint has spent nearly a decade refining the technology, processes, and domain expertise required to operate tokenized assets at institutional scale.</w:t>
      </w:r>
    </w:p>
    <w:p>
      <w:r>
        <w:rPr>
          <w:rFonts w:ascii="Figtree" w:hAnsi="Figtree"/>
          <w:b w:val="0"/>
          <w:i w:val="0"/>
          <w:sz w:val="22"/>
        </w:rPr>
        <w:t>The company is headquartered in Belgium with operations spanning Europe, the Middle East, and Asia-Pacific. SettleMint serves financial institutions, market infrastructure providers, and sovereign entities who require compliant, secure, and scalable digital asset infrastructure.</w:t>
      </w:r>
    </w:p>
    <w:p>
      <w:pPr>
        <w:pStyle w:val="H3"/>
        <w:numPr>
          <w:ilvl w:val="2"/>
          <w:numId w:val="1"/>
        </w:numPr>
      </w:pPr>
      <w:r>
        <w:t>Focus on Regulated Markets</w:t>
      </w:r>
    </w:p>
    <w:p>
      <w:r>
        <w:rPr>
          <w:rFonts w:ascii="Figtree" w:hAnsi="Figtree"/>
          <w:b w:val="0"/>
          <w:i w:val="0"/>
          <w:sz w:val="22"/>
        </w:rPr>
        <w:t>Unlike blockchain vendors that serve broad markets or focus on retail and DeFi applications, SettleMint has maintained an exclusive focus on regulated environments from its founding. This means every architectural decision, every compliance control, and every operational workflow has been designed for institutions where regulatory scrutiny, audit requirements, and operational resilience are non-negotiable.</w:t>
      </w:r>
    </w:p>
    <w:p>
      <w:r>
        <w:rPr>
          <w:rFonts w:ascii="Figtree" w:hAnsi="Figtree"/>
          <w:b w:val="0"/>
          <w:i w:val="0"/>
          <w:sz w:val="22"/>
        </w:rPr>
        <w:t>This focus is reflected in the platform's core capabilities:</w:t>
      </w:r>
    </w:p>
    <w:p>
      <w:pPr>
        <w:pStyle w:val="ListParagraph"/>
        <w:numPr>
          <w:ilvl w:val="0"/>
          <w:numId w:val="4"/>
        </w:numPr>
      </w:pPr>
      <w:r>
        <w:rPr>
          <w:rFonts w:ascii="Figtree" w:hAnsi="Figtree"/>
          <w:b/>
          <w:i w:val="0"/>
          <w:sz w:val="22"/>
        </w:rPr>
        <w:t>Maker-checker custody approvals</w:t>
      </w:r>
      <w:r>
        <w:rPr>
          <w:rFonts w:ascii="Figtree" w:hAnsi="Figtree"/>
          <w:b w:val="0"/>
          <w:i w:val="0"/>
          <w:sz w:val="22"/>
        </w:rPr>
        <w:t xml:space="preserve"> aligned with institutional governance requirements</w:t>
      </w:r>
    </w:p>
    <w:p>
      <w:pPr>
        <w:pStyle w:val="ListParagraph"/>
        <w:numPr>
          <w:ilvl w:val="0"/>
          <w:numId w:val="4"/>
        </w:numPr>
      </w:pPr>
      <w:r>
        <w:rPr>
          <w:rFonts w:ascii="Figtree" w:hAnsi="Figtree"/>
          <w:b/>
          <w:i w:val="0"/>
          <w:sz w:val="22"/>
        </w:rPr>
        <w:t>Ex-ante compliance enforcement</w:t>
      </w:r>
      <w:r>
        <w:rPr>
          <w:rFonts w:ascii="Figtree" w:hAnsi="Figtree"/>
          <w:b w:val="0"/>
          <w:i w:val="0"/>
          <w:sz w:val="22"/>
        </w:rPr>
        <w:t xml:space="preserve"> through ERC-3643 regulated token standards</w:t>
      </w:r>
    </w:p>
    <w:p>
      <w:pPr>
        <w:pStyle w:val="ListParagraph"/>
        <w:numPr>
          <w:ilvl w:val="0"/>
          <w:numId w:val="4"/>
        </w:numPr>
      </w:pPr>
      <w:r>
        <w:rPr>
          <w:rFonts w:ascii="Figtree" w:hAnsi="Figtree"/>
          <w:b/>
          <w:i w:val="0"/>
          <w:sz w:val="22"/>
        </w:rPr>
        <w:t>Atomic DvP/XvP settlement</w:t>
      </w:r>
      <w:r>
        <w:rPr>
          <w:rFonts w:ascii="Figtree" w:hAnsi="Figtree"/>
          <w:b w:val="0"/>
          <w:i w:val="0"/>
          <w:sz w:val="22"/>
        </w:rPr>
        <w:t xml:space="preserve"> with deterministic finality</w:t>
      </w:r>
    </w:p>
    <w:p>
      <w:pPr>
        <w:pStyle w:val="ListParagraph"/>
        <w:numPr>
          <w:ilvl w:val="0"/>
          <w:numId w:val="4"/>
        </w:numPr>
      </w:pPr>
      <w:r>
        <w:rPr>
          <w:rFonts w:ascii="Figtree" w:hAnsi="Figtree"/>
          <w:b/>
          <w:i w:val="0"/>
          <w:sz w:val="22"/>
        </w:rPr>
        <w:t>HSM-compatible key management</w:t>
      </w:r>
      <w:r>
        <w:rPr>
          <w:rFonts w:ascii="Figtree" w:hAnsi="Figtree"/>
          <w:b w:val="0"/>
          <w:i w:val="0"/>
          <w:sz w:val="22"/>
        </w:rPr>
        <w:t xml:space="preserve"> across multiple custody providers</w:t>
      </w:r>
    </w:p>
    <w:p>
      <w:pPr>
        <w:pStyle w:val="ListParagraph"/>
        <w:numPr>
          <w:ilvl w:val="0"/>
          <w:numId w:val="4"/>
        </w:numPr>
      </w:pPr>
      <w:r>
        <w:rPr>
          <w:rFonts w:ascii="Figtree" w:hAnsi="Figtree"/>
          <w:b/>
          <w:i w:val="0"/>
          <w:sz w:val="22"/>
        </w:rPr>
        <w:t>Full audit logging</w:t>
      </w:r>
      <w:r>
        <w:rPr>
          <w:rFonts w:ascii="Figtree" w:hAnsi="Figtree"/>
          <w:b w:val="0"/>
          <w:i w:val="0"/>
          <w:sz w:val="22"/>
        </w:rPr>
        <w:t xml:space="preserve"> with structured, queryable event history</w:t>
      </w:r>
    </w:p>
    <w:p>
      <w:pPr>
        <w:pStyle w:val="H3"/>
        <w:numPr>
          <w:ilvl w:val="2"/>
          <w:numId w:val="1"/>
        </w:numPr>
      </w:pPr>
      <w:r>
        <w:t>Client Base and Deployments</w:t>
      </w:r>
    </w:p>
    <w:p>
      <w:r>
        <w:rPr>
          <w:rFonts w:ascii="Figtree" w:hAnsi="Figtree"/>
          <w:b w:val="0"/>
          <w:i w:val="0"/>
          <w:sz w:val="22"/>
        </w:rPr>
        <w:t>SettleMint's client base spans three regions:</w:t>
      </w:r>
    </w:p>
    <w:p>
      <w:pPr>
        <w:pStyle w:val="ListParagraph"/>
        <w:numPr>
          <w:ilvl w:val="0"/>
          <w:numId w:val="4"/>
        </w:numPr>
      </w:pPr>
      <w:r>
        <w:rPr>
          <w:rFonts w:ascii="Figtree" w:hAnsi="Figtree"/>
          <w:b/>
          <w:i w:val="0"/>
          <w:sz w:val="22"/>
        </w:rPr>
        <w:t>Europe:</w:t>
      </w:r>
      <w:r>
        <w:rPr>
          <w:rFonts w:ascii="Figtree" w:hAnsi="Figtree"/>
          <w:b w:val="0"/>
          <w:i w:val="0"/>
          <w:sz w:val="22"/>
        </w:rPr>
        <w:t xml:space="preserve"> Multi-year continuous production deployments with regulated banks, including live bond issuance and lifecycle management programs. Active engagement with European regulatory frameworks including MiCA.</w:t>
      </w:r>
    </w:p>
    <w:p>
      <w:pPr>
        <w:pStyle w:val="ListParagraph"/>
        <w:numPr>
          <w:ilvl w:val="0"/>
          <w:numId w:val="4"/>
        </w:numPr>
      </w:pPr>
      <w:r>
        <w:rPr>
          <w:rFonts w:ascii="Figtree" w:hAnsi="Figtree"/>
          <w:b/>
          <w:i w:val="0"/>
          <w:sz w:val="22"/>
        </w:rPr>
        <w:t>MENA:</w:t>
      </w:r>
      <w:r>
        <w:rPr>
          <w:rFonts w:ascii="Figtree" w:hAnsi="Figtree"/>
          <w:b w:val="0"/>
          <w:i w:val="0"/>
          <w:sz w:val="22"/>
        </w:rPr>
        <w:t xml:space="preserve"> Active sovereign-scale programs, including national real estate tokenization initiatives and sovereign-backed digital asset infrastructure. Deep familiarity with GCC regulatory frameworks and deployment requirements.</w:t>
      </w:r>
    </w:p>
    <w:p>
      <w:pPr>
        <w:pStyle w:val="ListParagraph"/>
        <w:numPr>
          <w:ilvl w:val="0"/>
          <w:numId w:val="4"/>
        </w:numPr>
      </w:pPr>
      <w:r>
        <w:rPr>
          <w:rFonts w:ascii="Figtree" w:hAnsi="Figtree"/>
          <w:b/>
          <w:i w:val="0"/>
          <w:sz w:val="22"/>
        </w:rPr>
        <w:t>Asia-Pacific:</w:t>
      </w:r>
      <w:r>
        <w:rPr>
          <w:rFonts w:ascii="Figtree" w:hAnsi="Figtree"/>
          <w:b w:val="0"/>
          <w:i w:val="0"/>
          <w:sz w:val="22"/>
        </w:rPr>
        <w:t xml:space="preserve"> Live production deployments with tier-1 banks, including bond fractionalization and corporate bond programs. Experience with MAS, JFSA, and regional regulatory diversity.</w:t>
      </w:r>
    </w:p>
    <w:p>
      <w:pPr>
        <w:pStyle w:val="H3"/>
        <w:numPr>
          <w:ilvl w:val="2"/>
          <w:numId w:val="1"/>
        </w:numPr>
      </w:pPr>
      <w:r>
        <w:t>Sovereign Programs</w:t>
      </w:r>
    </w:p>
    <w:p>
      <w:r>
        <w:rPr>
          <w:rFonts w:ascii="Figtree" w:hAnsi="Figtree"/>
          <w:b w:val="0"/>
          <w:i w:val="0"/>
          <w:sz w:val="22"/>
        </w:rPr>
        <w:t>SettleMint is one of a very small number of platforms powering country-scale tokenization initiatives. These include national real estate registry tokenization programs and sovereign-backed capital markets infrastructure in the Middle East. This sovereign-scale credibility is directly relevant to Mashreq Bank's ambitions within the UAE's national digital asset strategy.</w:t>
      </w:r>
    </w:p>
    <w:p>
      <w:pPr>
        <w:pStyle w:val="H3"/>
        <w:numPr>
          <w:ilvl w:val="2"/>
          <w:numId w:val="1"/>
        </w:numPr>
      </w:pPr>
      <w:r>
        <w:t>Team Expertise</w:t>
      </w:r>
    </w:p>
    <w:p>
      <w:r>
        <w:rPr>
          <w:rFonts w:ascii="Figtree" w:hAnsi="Figtree"/>
          <w:b w:val="0"/>
          <w:i w:val="0"/>
          <w:sz w:val="22"/>
        </w:rPr>
        <w:t>The SettleMint team brings together over 200 years of combined experience across:</w:t>
      </w:r>
    </w:p>
    <w:p>
      <w:pPr>
        <w:pStyle w:val="ListParagraph"/>
        <w:numPr>
          <w:ilvl w:val="0"/>
          <w:numId w:val="4"/>
        </w:numPr>
      </w:pPr>
      <w:r>
        <w:rPr>
          <w:rFonts w:ascii="Figtree" w:hAnsi="Figtree"/>
          <w:b/>
          <w:i w:val="0"/>
          <w:sz w:val="22"/>
        </w:rPr>
        <w:t>Transaction banking and capital markets:</w:t>
      </w:r>
      <w:r>
        <w:rPr>
          <w:rFonts w:ascii="Figtree" w:hAnsi="Figtree"/>
          <w:b w:val="0"/>
          <w:i w:val="0"/>
          <w:sz w:val="22"/>
        </w:rPr>
        <w:t xml:space="preserve"> Deep understanding of settlement flows, custody models, and post-trade operations</w:t>
      </w:r>
    </w:p>
    <w:p>
      <w:pPr>
        <w:pStyle w:val="ListParagraph"/>
        <w:numPr>
          <w:ilvl w:val="0"/>
          <w:numId w:val="4"/>
        </w:numPr>
      </w:pPr>
      <w:r>
        <w:rPr>
          <w:rFonts w:ascii="Figtree" w:hAnsi="Figtree"/>
          <w:b/>
          <w:i w:val="0"/>
          <w:sz w:val="22"/>
        </w:rPr>
        <w:t>Blockchain engineering:</w:t>
      </w:r>
      <w:r>
        <w:rPr>
          <w:rFonts w:ascii="Figtree" w:hAnsi="Figtree"/>
          <w:b w:val="0"/>
          <w:i w:val="0"/>
          <w:sz w:val="22"/>
        </w:rPr>
        <w:t xml:space="preserve"> Protocol-level expertise from the early enterprise adoption wave through current institutional-grade architectures</w:t>
      </w:r>
    </w:p>
    <w:p>
      <w:pPr>
        <w:pStyle w:val="ListParagraph"/>
        <w:numPr>
          <w:ilvl w:val="0"/>
          <w:numId w:val="4"/>
        </w:numPr>
      </w:pPr>
      <w:r>
        <w:rPr>
          <w:rFonts w:ascii="Figtree" w:hAnsi="Figtree"/>
          <w:b/>
          <w:i w:val="0"/>
          <w:sz w:val="22"/>
        </w:rPr>
        <w:t>Regulatory compliance:</w:t>
      </w:r>
      <w:r>
        <w:rPr>
          <w:rFonts w:ascii="Figtree" w:hAnsi="Figtree"/>
          <w:b w:val="0"/>
          <w:i w:val="0"/>
          <w:sz w:val="22"/>
        </w:rPr>
        <w:t xml:space="preserve"> Practical experience navigating MiCA, MAS, JFSA, CBUAE, VARA, and DFSA frameworks</w:t>
      </w:r>
    </w:p>
    <w:p>
      <w:pPr>
        <w:pStyle w:val="ListParagraph"/>
        <w:numPr>
          <w:ilvl w:val="0"/>
          <w:numId w:val="4"/>
        </w:numPr>
      </w:pPr>
      <w:r>
        <w:rPr>
          <w:rFonts w:ascii="Figtree" w:hAnsi="Figtree"/>
          <w:b/>
          <w:i w:val="0"/>
          <w:sz w:val="22"/>
        </w:rPr>
        <w:t>Enterprise delivery:</w:t>
      </w:r>
      <w:r>
        <w:rPr>
          <w:rFonts w:ascii="Figtree" w:hAnsi="Figtree"/>
          <w:b w:val="0"/>
          <w:i w:val="0"/>
          <w:sz w:val="22"/>
        </w:rPr>
        <w:t xml:space="preserve"> Governance, change management, and integration with legacy infrastructure at tier-1 financial institutions</w:t>
      </w:r>
    </w:p>
    <w:p>
      <w:r>
        <w:rPr>
          <w:rFonts w:ascii="Figtree" w:hAnsi="Figtree"/>
          <w:b w:val="0"/>
          <w:i w:val="0"/>
          <w:sz w:val="22"/>
        </w:rPr>
        <w:t>Dedicated solution architects, delivery leads, and customer success teams have implemented tokenization solutions across multiple jurisdictions, navigating security reviews, vendor onboarding processes, and change control procedures with large institutions.</w:t>
      </w:r>
    </w:p>
    <w:p>
      <w:r>
        <w:br w:type="page"/>
      </w:r>
    </w:p>
    <w:p>
      <w:pPr>
        <w:pStyle w:val="H2"/>
        <w:numPr>
          <w:ilvl w:val="1"/>
          <w:numId w:val="1"/>
        </w:numPr>
      </w:pPr>
      <w:r>
        <w:t>3. Understanding Mashreq Bank's Requirements</w:t>
      </w:r>
    </w:p>
    <w:p>
      <w:pPr>
        <w:pStyle w:val="H3"/>
        <w:numPr>
          <w:ilvl w:val="2"/>
          <w:numId w:val="1"/>
        </w:numPr>
      </w:pPr>
      <w:r>
        <w:t>Mashreq's Digital Strategy and UAE Market Context</w:t>
      </w:r>
    </w:p>
    <w:p>
      <w:r>
        <w:rPr>
          <w:rFonts w:ascii="Figtree" w:hAnsi="Figtree"/>
          <w:b w:val="0"/>
          <w:i w:val="0"/>
          <w:sz w:val="22"/>
        </w:rPr>
        <w:t>Mashreq Bank's digital transformation strategy is among the most ambitious in the Gulf region. Under the leadership of Group CEO Ahmed Abdelaal, the bank has articulated a clear vision of evolving into a platform-based banking model, embedding financial services across digital customer journeys. The bank's NEO and NeoBiz platforms serve as the consumer-facing expression of this strategy, while investments in blockchain, AI, and fintech partnerships signal a commitment to infrastructure-level transformation.</w:t>
      </w:r>
    </w:p>
    <w:p>
      <w:r>
        <w:rPr>
          <w:rFonts w:ascii="Figtree" w:hAnsi="Figtree"/>
          <w:b w:val="0"/>
          <w:i w:val="0"/>
          <w:sz w:val="22"/>
        </w:rPr>
        <w:t>The bank has identified blockchain-based tokenization as a serious financial infrastructure shift. This is not an innovation exercise; it is a strategic infrastructure investment aligned with the UAE's national objectives:</w:t>
      </w:r>
    </w:p>
    <w:p>
      <w:pPr>
        <w:pStyle w:val="ListParagraph"/>
        <w:numPr>
          <w:ilvl w:val="0"/>
          <w:numId w:val="4"/>
        </w:numPr>
      </w:pPr>
      <w:r>
        <w:rPr>
          <w:rFonts w:ascii="Figtree" w:hAnsi="Figtree"/>
          <w:b/>
          <w:i w:val="0"/>
          <w:sz w:val="22"/>
        </w:rPr>
        <w:t>UAE Blockchain Strategy:</w:t>
      </w:r>
      <w:r>
        <w:rPr>
          <w:rFonts w:ascii="Figtree" w:hAnsi="Figtree"/>
          <w:b w:val="0"/>
          <w:i w:val="0"/>
          <w:sz w:val="22"/>
        </w:rPr>
        <w:t xml:space="preserve"> Positions the country as a global leader in blockchain adoption across government and financial services</w:t>
      </w:r>
    </w:p>
    <w:p>
      <w:pPr>
        <w:pStyle w:val="ListParagraph"/>
        <w:numPr>
          <w:ilvl w:val="0"/>
          <w:numId w:val="4"/>
        </w:numPr>
      </w:pPr>
      <w:r>
        <w:rPr>
          <w:rFonts w:ascii="Figtree" w:hAnsi="Figtree"/>
          <w:b/>
          <w:i w:val="0"/>
          <w:sz w:val="22"/>
        </w:rPr>
        <w:t>Dubai Tokenization Strategy:</w:t>
      </w:r>
      <w:r>
        <w:rPr>
          <w:rFonts w:ascii="Figtree" w:hAnsi="Figtree"/>
          <w:b w:val="0"/>
          <w:i w:val="0"/>
          <w:sz w:val="22"/>
        </w:rPr>
        <w:t xml:space="preserve"> Aims to tokenize a significant portion of Dubai's real estate and financial assets</w:t>
      </w:r>
    </w:p>
    <w:p>
      <w:pPr>
        <w:pStyle w:val="ListParagraph"/>
        <w:numPr>
          <w:ilvl w:val="0"/>
          <w:numId w:val="4"/>
        </w:numPr>
      </w:pPr>
      <w:r>
        <w:rPr>
          <w:rFonts w:ascii="Figtree" w:hAnsi="Figtree"/>
          <w:b/>
          <w:i w:val="0"/>
          <w:sz w:val="22"/>
        </w:rPr>
        <w:t>CBUAE Digital Currency Initiative:</w:t>
      </w:r>
      <w:r>
        <w:rPr>
          <w:rFonts w:ascii="Figtree" w:hAnsi="Figtree"/>
          <w:b w:val="0"/>
          <w:i w:val="0"/>
          <w:sz w:val="22"/>
        </w:rPr>
        <w:t xml:space="preserve"> Central bank digital currency exploration and digital payment infrastructure modernization</w:t>
      </w:r>
    </w:p>
    <w:p>
      <w:pPr>
        <w:pStyle w:val="ListParagraph"/>
        <w:numPr>
          <w:ilvl w:val="0"/>
          <w:numId w:val="4"/>
        </w:numPr>
      </w:pPr>
      <w:r>
        <w:rPr>
          <w:rFonts w:ascii="Figtree" w:hAnsi="Figtree"/>
          <w:b/>
          <w:i w:val="0"/>
          <w:sz w:val="22"/>
        </w:rPr>
        <w:t>DIFC Innovation Hub:</w:t>
      </w:r>
      <w:r>
        <w:rPr>
          <w:rFonts w:ascii="Figtree" w:hAnsi="Figtree"/>
          <w:b w:val="0"/>
          <w:i w:val="0"/>
          <w:sz w:val="22"/>
        </w:rPr>
        <w:t xml:space="preserve"> Regulatory sandbox and production frameworks for digital asset businesses</w:t>
      </w:r>
    </w:p>
    <w:p>
      <w:r>
        <w:rPr>
          <w:rFonts w:ascii="Figtree" w:hAnsi="Figtree"/>
          <w:b w:val="0"/>
          <w:i w:val="0"/>
          <w:sz w:val="22"/>
        </w:rPr>
        <w:t>Mashreq Bank's position as the UAE's oldest privately owned bank, combined with its digital-first operating model, creates a unique opportunity to lead institutional adoption of digital assets in the region.</w:t>
      </w:r>
    </w:p>
    <w:p>
      <w:pPr>
        <w:pStyle w:val="H3"/>
        <w:numPr>
          <w:ilvl w:val="2"/>
          <w:numId w:val="1"/>
        </w:numPr>
      </w:pPr>
      <w:r>
        <w:t>Operational Challenges</w:t>
      </w:r>
    </w:p>
    <w:p>
      <w:r>
        <w:rPr>
          <w:rFonts w:ascii="Figtree" w:hAnsi="Figtree"/>
          <w:b w:val="0"/>
          <w:i w:val="0"/>
          <w:sz w:val="22"/>
        </w:rPr>
        <w:t>As Mashreq Bank evaluates its digital asset infrastructure requirements, several operational challenges must be addressed:</w:t>
      </w:r>
    </w:p>
    <w:p>
      <w:pPr>
        <w:pStyle w:val="ListParagraph"/>
        <w:numPr>
          <w:ilvl w:val="0"/>
          <w:numId w:val="6"/>
        </w:numPr>
      </w:pPr>
      <w:r>
        <w:rPr>
          <w:rFonts w:ascii="Figtree" w:hAnsi="Figtree"/>
          <w:b/>
          <w:i w:val="0"/>
          <w:sz w:val="22"/>
        </w:rPr>
        <w:t>Disconnected workflows across asset types:</w:t>
      </w:r>
      <w:r>
        <w:rPr>
          <w:rFonts w:ascii="Figtree" w:hAnsi="Figtree"/>
          <w:b w:val="0"/>
          <w:i w:val="0"/>
          <w:sz w:val="22"/>
        </w:rPr>
        <w:t xml:space="preserve"> Without a unified platform, each new digital asset initiative requires separate tooling, separate compliance configurations, and separate operational procedures. This multiplies cost and risk with each new asset class.</w:t>
      </w:r>
    </w:p>
    <w:p>
      <w:pPr>
        <w:pStyle w:val="ListParagraph"/>
        <w:numPr>
          <w:ilvl w:val="0"/>
          <w:numId w:val="6"/>
        </w:numPr>
      </w:pPr>
      <w:r>
        <w:rPr>
          <w:rFonts w:ascii="Figtree" w:hAnsi="Figtree"/>
          <w:b/>
          <w:i w:val="0"/>
          <w:sz w:val="22"/>
        </w:rPr>
        <w:t>Manual compliance processes:</w:t>
      </w:r>
      <w:r>
        <w:rPr>
          <w:rFonts w:ascii="Figtree" w:hAnsi="Figtree"/>
          <w:b w:val="0"/>
          <w:i w:val="0"/>
          <w:sz w:val="22"/>
        </w:rPr>
        <w:t xml:space="preserve"> Retrospective compliance checking creates regulatory exposure. When transfers execute before validation, non-compliant transactions create immutable on-chain evidence of policy violations.</w:t>
      </w:r>
    </w:p>
    <w:p>
      <w:pPr>
        <w:pStyle w:val="ListParagraph"/>
        <w:numPr>
          <w:ilvl w:val="0"/>
          <w:numId w:val="6"/>
        </w:numPr>
      </w:pPr>
      <w:r>
        <w:rPr>
          <w:rFonts w:ascii="Figtree" w:hAnsi="Figtree"/>
          <w:b/>
          <w:i w:val="0"/>
          <w:sz w:val="22"/>
        </w:rPr>
        <w:t>Settlement fragmentation:</w:t>
      </w:r>
      <w:r>
        <w:rPr>
          <w:rFonts w:ascii="Figtree" w:hAnsi="Figtree"/>
          <w:b w:val="0"/>
          <w:i w:val="0"/>
          <w:sz w:val="22"/>
        </w:rPr>
        <w:t xml:space="preserve"> Tokens may settle on-chain while cash clears through traditional rails on different timelines. Without atomic settlement, counterparty risk persists and reconciliation overhead grows.</w:t>
      </w:r>
    </w:p>
    <w:p>
      <w:pPr>
        <w:pStyle w:val="ListParagraph"/>
        <w:numPr>
          <w:ilvl w:val="0"/>
          <w:numId w:val="6"/>
        </w:numPr>
      </w:pPr>
      <w:r>
        <w:rPr>
          <w:rFonts w:ascii="Figtree" w:hAnsi="Figtree"/>
          <w:b/>
          <w:i w:val="0"/>
          <w:sz w:val="22"/>
        </w:rPr>
        <w:t>Custody complexity:</w:t>
      </w:r>
      <w:r>
        <w:rPr>
          <w:rFonts w:ascii="Figtree" w:hAnsi="Figtree"/>
          <w:b w:val="0"/>
          <w:i w:val="0"/>
          <w:sz w:val="22"/>
        </w:rPr>
        <w:t xml:space="preserve"> Managing institutional key management across multiple providers without unified governance, maker-checker approvals, and recovery procedures introduces operational risk that boards and risk committees will not tolerate.</w:t>
      </w:r>
    </w:p>
    <w:p>
      <w:pPr>
        <w:pStyle w:val="ListParagraph"/>
        <w:numPr>
          <w:ilvl w:val="0"/>
          <w:numId w:val="6"/>
        </w:numPr>
      </w:pPr>
      <w:r>
        <w:rPr>
          <w:rFonts w:ascii="Figtree" w:hAnsi="Figtree"/>
          <w:b/>
          <w:i w:val="0"/>
          <w:sz w:val="22"/>
        </w:rPr>
        <w:t>Scaling constraints:</w:t>
      </w:r>
      <w:r>
        <w:rPr>
          <w:rFonts w:ascii="Figtree" w:hAnsi="Figtree"/>
          <w:b w:val="0"/>
          <w:i w:val="0"/>
          <w:sz w:val="22"/>
        </w:rPr>
        <w:t xml:space="preserve"> Point solutions that support individual use cases cannot scale to a multi-asset, multi-jurisdiction operating model without significant re-architecture.</w:t>
      </w:r>
    </w:p>
    <w:p>
      <w:pPr>
        <w:pStyle w:val="H3"/>
        <w:numPr>
          <w:ilvl w:val="2"/>
          <w:numId w:val="1"/>
        </w:numPr>
      </w:pPr>
      <w:r>
        <w:t>Regulatory Landscape</w:t>
      </w:r>
    </w:p>
    <w:p>
      <w:r>
        <w:rPr>
          <w:rFonts w:ascii="Figtree" w:hAnsi="Figtree"/>
          <w:b w:val="0"/>
          <w:i w:val="0"/>
          <w:sz w:val="22"/>
        </w:rPr>
        <w:t>Mashreq Bank operates within a multi-layered regulatory environment: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110"/>
        <w:gridCol w:w="1964"/>
        <w:gridCol w:w="5996"/>
      </w:tblGrid>
      <w:tr>
        <w:trPr>
          <w:trHeight w:val="488"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Regulator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Jurisdiction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Scope</w:t>
            </w:r>
          </w:p>
        </w:tc>
      </w:tr>
      <w:tr>
        <w:trPr>
          <w:trHeight w:val="488" w:hRule="atLeast"/>
        </w:trPr>
        <w:tc>
          <w:tcPr>
            <w:tcW w:type="dxa" w:w="3249"/>
            <w:vAlign w:val="center"/>
          </w:tcPr>
          <w:p>
            <w:pPr>
              <w:spacing w:line="276" w:lineRule="auto" w:before="0" w:after="0"/>
            </w:pPr>
            <w:r/>
            <w:r>
              <w:rPr>
                <w:rFonts w:ascii="Figtree" w:hAnsi="Figtree"/>
                <w:b/>
                <w:i w:val="0"/>
                <w:sz w:val="20"/>
              </w:rPr>
              <w:t>CBUAE</w:t>
            </w:r>
          </w:p>
        </w:tc>
        <w:tc>
          <w:tcPr>
            <w:tcW w:type="dxa" w:w="3249"/>
            <w:vAlign w:val="center"/>
          </w:tcPr>
          <w:p>
            <w:pPr>
              <w:spacing w:line="276" w:lineRule="auto" w:before="0" w:after="0"/>
            </w:pPr>
            <w:r/>
            <w:r>
              <w:rPr>
                <w:rFonts w:ascii="Figtree" w:hAnsi="Figtree"/>
                <w:b w:val="0"/>
                <w:i w:val="0"/>
                <w:sz w:val="20"/>
              </w:rPr>
              <w:t>UAE-wide</w:t>
            </w:r>
          </w:p>
        </w:tc>
        <w:tc>
          <w:tcPr>
            <w:tcW w:type="dxa" w:w="3249"/>
            <w:vAlign w:val="center"/>
          </w:tcPr>
          <w:p>
            <w:pPr>
              <w:spacing w:line="276" w:lineRule="auto" w:before="0" w:after="0"/>
            </w:pPr>
            <w:r/>
            <w:r>
              <w:rPr>
                <w:rFonts w:ascii="Figtree" w:hAnsi="Figtree"/>
                <w:b w:val="0"/>
                <w:i w:val="0"/>
                <w:sz w:val="20"/>
              </w:rPr>
              <w:t>Payment tokens, stored value, deposit tokens, banking supervision</w:t>
            </w:r>
          </w:p>
        </w:tc>
      </w:tr>
      <w:tr>
        <w:trPr>
          <w:trHeight w:val="488" w:hRule="atLeast"/>
        </w:trPr>
        <w:tc>
          <w:tcPr>
            <w:tcW w:type="dxa" w:w="3249"/>
            <w:vAlign w:val="center"/>
          </w:tcPr>
          <w:p>
            <w:pPr>
              <w:spacing w:line="276" w:lineRule="auto" w:before="0" w:after="0"/>
            </w:pPr>
            <w:r/>
            <w:r>
              <w:rPr>
                <w:rFonts w:ascii="Figtree" w:hAnsi="Figtree"/>
                <w:b/>
                <w:i w:val="0"/>
                <w:sz w:val="20"/>
              </w:rPr>
              <w:t>VARA</w:t>
            </w:r>
          </w:p>
        </w:tc>
        <w:tc>
          <w:tcPr>
            <w:tcW w:type="dxa" w:w="3249"/>
            <w:vAlign w:val="center"/>
          </w:tcPr>
          <w:p>
            <w:pPr>
              <w:spacing w:line="276" w:lineRule="auto" w:before="0" w:after="0"/>
            </w:pPr>
            <w:r/>
            <w:r>
              <w:rPr>
                <w:rFonts w:ascii="Figtree" w:hAnsi="Figtree"/>
                <w:b w:val="0"/>
                <w:i w:val="0"/>
                <w:sz w:val="20"/>
              </w:rPr>
              <w:t>Dubai</w:t>
            </w:r>
          </w:p>
        </w:tc>
        <w:tc>
          <w:tcPr>
            <w:tcW w:type="dxa" w:w="3249"/>
            <w:vAlign w:val="center"/>
          </w:tcPr>
          <w:p>
            <w:pPr>
              <w:spacing w:line="276" w:lineRule="auto" w:before="0" w:after="0"/>
            </w:pPr>
            <w:r/>
            <w:r>
              <w:rPr>
                <w:rFonts w:ascii="Figtree" w:hAnsi="Figtree"/>
                <w:b w:val="0"/>
                <w:i w:val="0"/>
                <w:sz w:val="20"/>
              </w:rPr>
              <w:t>Virtual asset service provider licensing, comprehensive activity-based regulation</w:t>
            </w:r>
          </w:p>
        </w:tc>
      </w:tr>
      <w:tr>
        <w:trPr>
          <w:trHeight w:val="488" w:hRule="atLeast"/>
        </w:trPr>
        <w:tc>
          <w:tcPr>
            <w:tcW w:type="dxa" w:w="3249"/>
            <w:vAlign w:val="center"/>
          </w:tcPr>
          <w:p>
            <w:pPr>
              <w:spacing w:line="276" w:lineRule="auto" w:before="0" w:after="0"/>
            </w:pPr>
            <w:r/>
            <w:r>
              <w:rPr>
                <w:rFonts w:ascii="Figtree" w:hAnsi="Figtree"/>
                <w:b/>
                <w:i w:val="0"/>
                <w:sz w:val="20"/>
              </w:rPr>
              <w:t>DFSA</w:t>
            </w:r>
          </w:p>
        </w:tc>
        <w:tc>
          <w:tcPr>
            <w:tcW w:type="dxa" w:w="3249"/>
            <w:vAlign w:val="center"/>
          </w:tcPr>
          <w:p>
            <w:pPr>
              <w:spacing w:line="276" w:lineRule="auto" w:before="0" w:after="0"/>
            </w:pPr>
            <w:r/>
            <w:r>
              <w:rPr>
                <w:rFonts w:ascii="Figtree" w:hAnsi="Figtree"/>
                <w:b w:val="0"/>
                <w:i w:val="0"/>
                <w:sz w:val="20"/>
              </w:rPr>
              <w:t>DIFC</w:t>
            </w:r>
          </w:p>
        </w:tc>
        <w:tc>
          <w:tcPr>
            <w:tcW w:type="dxa" w:w="3249"/>
            <w:vAlign w:val="center"/>
          </w:tcPr>
          <w:p>
            <w:pPr>
              <w:spacing w:line="276" w:lineRule="auto" w:before="0" w:after="0"/>
            </w:pPr>
            <w:r/>
            <w:r>
              <w:rPr>
                <w:rFonts w:ascii="Figtree" w:hAnsi="Figtree"/>
                <w:b w:val="0"/>
                <w:i w:val="0"/>
                <w:sz w:val="20"/>
              </w:rPr>
              <w:t>Security tokens, investment tokens, regulated digital assets within the DIFC</w:t>
            </w:r>
          </w:p>
        </w:tc>
      </w:tr>
      <w:tr>
        <w:trPr>
          <w:trHeight w:val="488" w:hRule="atLeast"/>
        </w:trPr>
        <w:tc>
          <w:tcPr>
            <w:tcW w:type="dxa" w:w="3249"/>
            <w:vAlign w:val="center"/>
          </w:tcPr>
          <w:p>
            <w:pPr>
              <w:spacing w:line="276" w:lineRule="auto" w:before="0" w:after="0"/>
            </w:pPr>
            <w:r/>
            <w:r>
              <w:rPr>
                <w:rFonts w:ascii="Figtree" w:hAnsi="Figtree"/>
                <w:b/>
                <w:i w:val="0"/>
                <w:sz w:val="20"/>
              </w:rPr>
              <w:t>SCA</w:t>
            </w:r>
          </w:p>
        </w:tc>
        <w:tc>
          <w:tcPr>
            <w:tcW w:type="dxa" w:w="3249"/>
            <w:vAlign w:val="center"/>
          </w:tcPr>
          <w:p>
            <w:pPr>
              <w:spacing w:line="276" w:lineRule="auto" w:before="0" w:after="0"/>
            </w:pPr>
            <w:r/>
            <w:r>
              <w:rPr>
                <w:rFonts w:ascii="Figtree" w:hAnsi="Figtree"/>
                <w:b w:val="0"/>
                <w:i w:val="0"/>
                <w:sz w:val="20"/>
              </w:rPr>
              <w:t>UAE Federal</w:t>
            </w:r>
          </w:p>
        </w:tc>
        <w:tc>
          <w:tcPr>
            <w:tcW w:type="dxa" w:w="3249"/>
            <w:vAlign w:val="center"/>
          </w:tcPr>
          <w:p>
            <w:pPr>
              <w:spacing w:line="276" w:lineRule="auto" w:before="0" w:after="0"/>
            </w:pPr>
            <w:r/>
            <w:r>
              <w:rPr>
                <w:rFonts w:ascii="Figtree" w:hAnsi="Figtree"/>
                <w:b w:val="0"/>
                <w:i w:val="0"/>
                <w:sz w:val="20"/>
              </w:rPr>
              <w:t>Securities regulation, tokenized securities issuance and distribution</w:t>
            </w:r>
          </w:p>
        </w:tc>
      </w:tr>
      <w:tr>
        <w:trPr>
          <w:trHeight w:val="488" w:hRule="atLeast"/>
        </w:trPr>
        <w:tc>
          <w:tcPr>
            <w:tcW w:type="dxa" w:w="3249"/>
            <w:vAlign w:val="center"/>
          </w:tcPr>
          <w:p>
            <w:pPr>
              <w:spacing w:line="276" w:lineRule="auto" w:before="0" w:after="0"/>
            </w:pPr>
            <w:r/>
            <w:r>
              <w:rPr>
                <w:rFonts w:ascii="Figtree" w:hAnsi="Figtree"/>
                <w:b/>
                <w:i w:val="0"/>
                <w:sz w:val="20"/>
              </w:rPr>
              <w:t>ADGM/FSRA</w:t>
            </w:r>
          </w:p>
        </w:tc>
        <w:tc>
          <w:tcPr>
            <w:tcW w:type="dxa" w:w="3249"/>
            <w:vAlign w:val="center"/>
          </w:tcPr>
          <w:p>
            <w:pPr>
              <w:spacing w:line="276" w:lineRule="auto" w:before="0" w:after="0"/>
            </w:pPr>
            <w:r/>
            <w:r>
              <w:rPr>
                <w:rFonts w:ascii="Figtree" w:hAnsi="Figtree"/>
                <w:b w:val="0"/>
                <w:i w:val="0"/>
                <w:sz w:val="20"/>
              </w:rPr>
              <w:t>Abu Dhabi Global Market</w:t>
            </w:r>
          </w:p>
        </w:tc>
        <w:tc>
          <w:tcPr>
            <w:tcW w:type="dxa" w:w="3249"/>
            <w:vAlign w:val="center"/>
          </w:tcPr>
          <w:p>
            <w:pPr>
              <w:spacing w:line="276" w:lineRule="auto" w:before="0" w:after="0"/>
            </w:pPr>
            <w:r/>
            <w:r>
              <w:rPr>
                <w:rFonts w:ascii="Figtree" w:hAnsi="Figtree"/>
                <w:b w:val="0"/>
                <w:i w:val="0"/>
                <w:sz w:val="20"/>
              </w:rPr>
              <w:t>Digital asset frameworks for ADGM-registered entities</w:t>
            </w:r>
          </w:p>
        </w:tc>
      </w:tr>
    </w:tbl>
    <w:p>
      <w:pPr>
        <w:spacing w:before="0" w:after="0" w:line="120" w:lineRule="exact"/>
      </w:pPr>
    </w:p>
    <w:p>
      <w:r>
        <w:rPr>
          <w:rFonts w:ascii="Figtree" w:hAnsi="Figtree"/>
          <w:b w:val="0"/>
          <w:i w:val="0"/>
          <w:sz w:val="22"/>
        </w:rPr>
        <w:t>DALP's compliance architecture is designed to operate across these jurisdictions simultaneously, with configurable policy modules that encode the specific requirements of each regulatory body.</w:t>
      </w:r>
    </w:p>
    <w:p>
      <w:pPr>
        <w:pStyle w:val="H3"/>
        <w:numPr>
          <w:ilvl w:val="2"/>
          <w:numId w:val="1"/>
        </w:numPr>
      </w:pPr>
      <w:r>
        <w:t>Strategic Objectives Mapped to Platform Capabilities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823"/>
        <w:gridCol w:w="5248"/>
      </w:tblGrid>
      <w:tr>
        <w:trPr>
          <w:trHeight w:val="488"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Mashreq Objective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DALP Capability</w:t>
            </w:r>
          </w:p>
        </w:tc>
      </w:tr>
      <w:tr>
        <w:trPr>
          <w:trHeight w:val="488" w:hRule="atLeast"/>
        </w:trPr>
        <w:tc>
          <w:tcPr>
            <w:tcW w:type="dxa" w:w="4873"/>
            <w:vAlign w:val="center"/>
          </w:tcPr>
          <w:p>
            <w:pPr>
              <w:spacing w:line="276" w:lineRule="auto" w:before="0" w:after="0"/>
            </w:pPr>
            <w:r/>
            <w:r>
              <w:rPr>
                <w:rFonts w:ascii="Figtree" w:hAnsi="Figtree"/>
                <w:b w:val="0"/>
                <w:i w:val="0"/>
                <w:sz w:val="20"/>
              </w:rPr>
              <w:t>Unified digital asset operating model</w:t>
            </w:r>
          </w:p>
        </w:tc>
        <w:tc>
          <w:tcPr>
            <w:tcW w:type="dxa" w:w="4873"/>
            <w:vAlign w:val="center"/>
          </w:tcPr>
          <w:p>
            <w:pPr>
              <w:spacing w:line="276" w:lineRule="auto" w:before="0" w:after="0"/>
            </w:pPr>
            <w:r/>
            <w:r>
              <w:rPr>
                <w:rFonts w:ascii="Figtree" w:hAnsi="Figtree"/>
                <w:b w:val="0"/>
                <w:i w:val="0"/>
                <w:sz w:val="20"/>
              </w:rPr>
              <w:t>Single platform with unified registry, governance, and control plane</w:t>
            </w:r>
          </w:p>
        </w:tc>
      </w:tr>
      <w:tr>
        <w:trPr>
          <w:trHeight w:val="488" w:hRule="atLeast"/>
        </w:trPr>
        <w:tc>
          <w:tcPr>
            <w:tcW w:type="dxa" w:w="4873"/>
            <w:vAlign w:val="center"/>
          </w:tcPr>
          <w:p>
            <w:pPr>
              <w:spacing w:line="276" w:lineRule="auto" w:before="0" w:after="0"/>
            </w:pPr>
            <w:r/>
            <w:r>
              <w:rPr>
                <w:rFonts w:ascii="Figtree" w:hAnsi="Figtree"/>
                <w:b w:val="0"/>
                <w:i w:val="0"/>
                <w:sz w:val="20"/>
              </w:rPr>
              <w:t>Multi-asset support (bonds, deposits, funds, sukuk)</w:t>
            </w:r>
          </w:p>
        </w:tc>
        <w:tc>
          <w:tcPr>
            <w:tcW w:type="dxa" w:w="4873"/>
            <w:vAlign w:val="center"/>
          </w:tcPr>
          <w:p>
            <w:pPr>
              <w:spacing w:line="276" w:lineRule="auto" w:before="0" w:after="0"/>
            </w:pPr>
            <w:r/>
            <w:r>
              <w:rPr>
                <w:rFonts w:ascii="Figtree" w:hAnsi="Figtree"/>
                <w:b w:val="0"/>
                <w:i w:val="0"/>
                <w:sz w:val="20"/>
              </w:rPr>
              <w:t>Seven pre-built asset templates with configurable lifecycle logic</w:t>
            </w:r>
          </w:p>
        </w:tc>
      </w:tr>
      <w:tr>
        <w:trPr>
          <w:trHeight w:val="488" w:hRule="atLeast"/>
        </w:trPr>
        <w:tc>
          <w:tcPr>
            <w:tcW w:type="dxa" w:w="4873"/>
            <w:vAlign w:val="center"/>
          </w:tcPr>
          <w:p>
            <w:pPr>
              <w:spacing w:line="276" w:lineRule="auto" w:before="0" w:after="0"/>
            </w:pPr>
            <w:r/>
            <w:r>
              <w:rPr>
                <w:rFonts w:ascii="Figtree" w:hAnsi="Figtree"/>
                <w:b w:val="0"/>
                <w:i w:val="0"/>
                <w:sz w:val="20"/>
              </w:rPr>
              <w:t>Regulatory compliance across UAE jurisdictions</w:t>
            </w:r>
          </w:p>
        </w:tc>
        <w:tc>
          <w:tcPr>
            <w:tcW w:type="dxa" w:w="4873"/>
            <w:vAlign w:val="center"/>
          </w:tcPr>
          <w:p>
            <w:pPr>
              <w:spacing w:line="276" w:lineRule="auto" w:before="0" w:after="0"/>
            </w:pPr>
            <w:r/>
            <w:r>
              <w:rPr>
                <w:rFonts w:ascii="Figtree" w:hAnsi="Figtree"/>
                <w:b w:val="0"/>
                <w:i w:val="0"/>
                <w:sz w:val="20"/>
              </w:rPr>
              <w:t>18 compliance module types with jurisdictional templates</w:t>
            </w:r>
          </w:p>
        </w:tc>
      </w:tr>
      <w:tr>
        <w:trPr>
          <w:trHeight w:val="488" w:hRule="atLeast"/>
        </w:trPr>
        <w:tc>
          <w:tcPr>
            <w:tcW w:type="dxa" w:w="4873"/>
            <w:vAlign w:val="center"/>
          </w:tcPr>
          <w:p>
            <w:pPr>
              <w:spacing w:line="276" w:lineRule="auto" w:before="0" w:after="0"/>
            </w:pPr>
            <w:r/>
            <w:r>
              <w:rPr>
                <w:rFonts w:ascii="Figtree" w:hAnsi="Figtree"/>
                <w:b w:val="0"/>
                <w:i w:val="0"/>
                <w:sz w:val="20"/>
              </w:rPr>
              <w:t>Institutional custody and key management</w:t>
            </w:r>
          </w:p>
        </w:tc>
        <w:tc>
          <w:tcPr>
            <w:tcW w:type="dxa" w:w="4873"/>
            <w:vAlign w:val="center"/>
          </w:tcPr>
          <w:p>
            <w:pPr>
              <w:spacing w:line="276" w:lineRule="auto" w:before="0" w:after="0"/>
            </w:pPr>
            <w:r/>
            <w:r>
              <w:rPr>
                <w:rFonts w:ascii="Figtree" w:hAnsi="Figtree"/>
                <w:b w:val="0"/>
                <w:i w:val="0"/>
                <w:sz w:val="20"/>
              </w:rPr>
              <w:t>Bring-your-own-custodian with Fireblocks/DFNS, maker-checker approvals</w:t>
            </w:r>
          </w:p>
        </w:tc>
      </w:tr>
      <w:tr>
        <w:trPr>
          <w:trHeight w:val="488" w:hRule="atLeast"/>
        </w:trPr>
        <w:tc>
          <w:tcPr>
            <w:tcW w:type="dxa" w:w="4873"/>
            <w:vAlign w:val="center"/>
          </w:tcPr>
          <w:p>
            <w:pPr>
              <w:spacing w:line="276" w:lineRule="auto" w:before="0" w:after="0"/>
            </w:pPr>
            <w:r/>
            <w:r>
              <w:rPr>
                <w:rFonts w:ascii="Figtree" w:hAnsi="Figtree"/>
                <w:b w:val="0"/>
                <w:i w:val="0"/>
                <w:sz w:val="20"/>
              </w:rPr>
              <w:t>Atomic settlement</w:t>
            </w:r>
          </w:p>
        </w:tc>
        <w:tc>
          <w:tcPr>
            <w:tcW w:type="dxa" w:w="4873"/>
            <w:vAlign w:val="center"/>
          </w:tcPr>
          <w:p>
            <w:pPr>
              <w:spacing w:line="276" w:lineRule="auto" w:before="0" w:after="0"/>
            </w:pPr>
            <w:r/>
            <w:r>
              <w:rPr>
                <w:rFonts w:ascii="Figtree" w:hAnsi="Figtree"/>
                <w:b w:val="0"/>
                <w:i w:val="0"/>
                <w:sz w:val="20"/>
              </w:rPr>
              <w:t>DvP/XvP with deterministic finality</w:t>
            </w:r>
          </w:p>
        </w:tc>
      </w:tr>
      <w:tr>
        <w:trPr>
          <w:trHeight w:val="488" w:hRule="atLeast"/>
        </w:trPr>
        <w:tc>
          <w:tcPr>
            <w:tcW w:type="dxa" w:w="4873"/>
            <w:vAlign w:val="center"/>
          </w:tcPr>
          <w:p>
            <w:pPr>
              <w:spacing w:line="276" w:lineRule="auto" w:before="0" w:after="0"/>
            </w:pPr>
            <w:r/>
            <w:r>
              <w:rPr>
                <w:rFonts w:ascii="Figtree" w:hAnsi="Figtree"/>
                <w:b w:val="0"/>
                <w:i w:val="0"/>
                <w:sz w:val="20"/>
              </w:rPr>
              <w:t>Integration with existing banking infrastructure</w:t>
            </w:r>
          </w:p>
        </w:tc>
        <w:tc>
          <w:tcPr>
            <w:tcW w:type="dxa" w:w="4873"/>
            <w:vAlign w:val="center"/>
          </w:tcPr>
          <w:p>
            <w:pPr>
              <w:spacing w:line="276" w:lineRule="auto" w:before="0" w:after="0"/>
            </w:pPr>
            <w:r/>
            <w:r>
              <w:rPr>
                <w:rFonts w:ascii="Figtree" w:hAnsi="Figtree"/>
                <w:b w:val="0"/>
                <w:i w:val="0"/>
                <w:sz w:val="20"/>
              </w:rPr>
              <w:t>REST, GraphQL, webhooks, ISO 20022 connectivity</w:t>
            </w:r>
          </w:p>
        </w:tc>
      </w:tr>
      <w:tr>
        <w:trPr>
          <w:trHeight w:val="488" w:hRule="atLeast"/>
        </w:trPr>
        <w:tc>
          <w:tcPr>
            <w:tcW w:type="dxa" w:w="4873"/>
            <w:vAlign w:val="center"/>
          </w:tcPr>
          <w:p>
            <w:pPr>
              <w:spacing w:line="276" w:lineRule="auto" w:before="0" w:after="0"/>
            </w:pPr>
            <w:r/>
            <w:r>
              <w:rPr>
                <w:rFonts w:ascii="Figtree" w:hAnsi="Figtree"/>
                <w:b w:val="0"/>
                <w:i w:val="0"/>
                <w:sz w:val="20"/>
              </w:rPr>
              <w:t>On-premises deployment</w:t>
            </w:r>
          </w:p>
        </w:tc>
        <w:tc>
          <w:tcPr>
            <w:tcW w:type="dxa" w:w="4873"/>
            <w:vAlign w:val="center"/>
          </w:tcPr>
          <w:p>
            <w:pPr>
              <w:spacing w:line="276" w:lineRule="auto" w:before="0" w:after="0"/>
            </w:pPr>
            <w:r/>
            <w:r>
              <w:rPr>
                <w:rFonts w:ascii="Figtree" w:hAnsi="Figtree"/>
                <w:b w:val="0"/>
                <w:i w:val="0"/>
                <w:sz w:val="20"/>
              </w:rPr>
              <w:t>Kubernetes-native with full data residency control</w:t>
            </w:r>
          </w:p>
        </w:tc>
      </w:tr>
    </w:tbl>
    <w:p>
      <w:pPr>
        <w:spacing w:before="0" w:after="0" w:line="120" w:lineRule="exact"/>
      </w:pPr>
    </w:p>
    <w:p>
      <w:r>
        <w:br w:type="page"/>
      </w:r>
    </w:p>
    <w:p>
      <w:pPr>
        <w:pStyle w:val="H2"/>
        <w:numPr>
          <w:ilvl w:val="1"/>
          <w:numId w:val="1"/>
        </w:numPr>
      </w:pPr>
      <w:r>
        <w:t>4. DALP Platform Overview</w:t>
      </w:r>
    </w:p>
    <w:p>
      <w:pPr>
        <w:pStyle w:val="H3"/>
        <w:numPr>
          <w:ilvl w:val="2"/>
          <w:numId w:val="1"/>
        </w:numPr>
      </w:pPr>
      <w:r>
        <w:t>Architecture Overview</w:t>
      </w:r>
    </w:p>
    <w:p>
      <w:r>
        <w:rPr>
          <w:rFonts w:ascii="Figtree" w:hAnsi="Figtree"/>
          <w:b w:val="0"/>
          <w:i w:val="0"/>
          <w:sz w:val="22"/>
        </w:rPr>
        <w:t>DALP is built on three architectural principles that distinguish it from tokenization toolkits and point solutions:</w:t>
      </w:r>
    </w:p>
    <w:p>
      <w:r>
        <w:rPr>
          <w:rFonts w:ascii="Figtree" w:hAnsi="Figtree"/>
          <w:b/>
          <w:i w:val="0"/>
          <w:sz w:val="22"/>
        </w:rPr>
        <w:t>1. EVM-Native Execution</w:t>
      </w:r>
    </w:p>
    <w:p>
      <w:r>
        <w:rPr>
          <w:rFonts w:ascii="Figtree" w:hAnsi="Figtree"/>
          <w:b w:val="0"/>
          <w:i w:val="0"/>
          <w:sz w:val="22"/>
        </w:rPr>
        <w:t>All asset logic, compliance enforcement, and settlement operations execute on EVM-compatible blockchain networks. This is not a layer of abstraction over multiple heterogeneous chains; it is deep, native integration with the Ethereum Virtual Machine and its ecosystem of standards, tooling, and institutional adoption. DALP operates on any blockchain implementing the Ethereum JSON-RPC specification: Hyperledger Besu with IBFT 2.0 or QBFT consensus for private networks, Ethereum mainnet, Polygon, Arbitrum, Base, and other public L1/L2 networks.</w:t>
      </w:r>
    </w:p>
    <w:p>
      <w:r>
        <w:rPr>
          <w:rFonts w:ascii="Figtree" w:hAnsi="Figtree"/>
          <w:b/>
          <w:i w:val="0"/>
          <w:sz w:val="22"/>
        </w:rPr>
        <w:t>2. Gateway Isolation</w:t>
      </w:r>
    </w:p>
    <w:p>
      <w:r>
        <w:rPr>
          <w:rFonts w:ascii="Figtree" w:hAnsi="Figtree"/>
          <w:b w:val="0"/>
          <w:i w:val="0"/>
          <w:sz w:val="22"/>
        </w:rPr>
        <w:t>Every external dependency is isolated behind internal abstraction boundaries. Three gateway components handle this isolation:</w:t>
      </w:r>
    </w:p>
    <w:p>
      <w:pPr>
        <w:pStyle w:val="ListParagraph"/>
        <w:numPr>
          <w:ilvl w:val="0"/>
          <w:numId w:val="4"/>
        </w:numPr>
      </w:pPr>
      <w:r>
        <w:rPr>
          <w:rFonts w:ascii="Figtree" w:hAnsi="Figtree"/>
          <w:b/>
          <w:i w:val="0"/>
          <w:sz w:val="22"/>
        </w:rPr>
        <w:t>Key Guardian:</w:t>
      </w:r>
      <w:r>
        <w:rPr>
          <w:rFonts w:ascii="Figtree" w:hAnsi="Figtree"/>
          <w:b w:val="0"/>
          <w:i w:val="0"/>
          <w:sz w:val="22"/>
        </w:rPr>
        <w:t xml:space="preserve"> Abstracts custody providers (Fireblocks, DFNS, local HSM, cloud secret managers) behind a unified signing and key management interface</w:t>
      </w:r>
    </w:p>
    <w:p>
      <w:pPr>
        <w:pStyle w:val="ListParagraph"/>
        <w:numPr>
          <w:ilvl w:val="0"/>
          <w:numId w:val="4"/>
        </w:numPr>
      </w:pPr>
      <w:r>
        <w:rPr>
          <w:rFonts w:ascii="Figtree" w:hAnsi="Figtree"/>
          <w:b/>
          <w:i w:val="0"/>
          <w:sz w:val="22"/>
        </w:rPr>
        <w:t>Chain Gateway:</w:t>
      </w:r>
      <w:r>
        <w:rPr>
          <w:rFonts w:ascii="Figtree" w:hAnsi="Figtree"/>
          <w:b w:val="0"/>
          <w:i w:val="0"/>
          <w:sz w:val="22"/>
        </w:rPr>
        <w:t xml:space="preserve"> Normalizes blockchain network interactions across public and private chains</w:t>
      </w:r>
    </w:p>
    <w:p>
      <w:pPr>
        <w:pStyle w:val="ListParagraph"/>
        <w:numPr>
          <w:ilvl w:val="0"/>
          <w:numId w:val="4"/>
        </w:numPr>
      </w:pPr>
      <w:r>
        <w:rPr>
          <w:rFonts w:ascii="Figtree" w:hAnsi="Figtree"/>
          <w:b/>
          <w:i w:val="0"/>
          <w:sz w:val="22"/>
        </w:rPr>
        <w:t>Feeds System:</w:t>
      </w:r>
      <w:r>
        <w:rPr>
          <w:rFonts w:ascii="Figtree" w:hAnsi="Figtree"/>
          <w:b w:val="0"/>
          <w:i w:val="0"/>
          <w:sz w:val="22"/>
        </w:rPr>
        <w:t xml:space="preserve"> Isolates market data, price feeds, and oracle integrations</w:t>
      </w:r>
    </w:p>
    <w:p>
      <w:r>
        <w:rPr>
          <w:rFonts w:ascii="Figtree" w:hAnsi="Figtree"/>
          <w:b w:val="0"/>
          <w:i w:val="0"/>
          <w:sz w:val="22"/>
        </w:rPr>
        <w:t>No business logic makes direct external calls. All external system interactions route through dedicated gateway components with retry handling, circuit breaking, and observability.</w:t>
      </w:r>
    </w:p>
    <w:p>
      <w:r>
        <w:rPr>
          <w:rFonts w:ascii="Figtree" w:hAnsi="Figtree"/>
          <w:b/>
          <w:i w:val="0"/>
          <w:sz w:val="22"/>
        </w:rPr>
        <w:t>3. Durable Workflow Execution</w:t>
      </w:r>
    </w:p>
    <w:p>
      <w:r>
        <w:rPr>
          <w:rFonts w:ascii="Figtree" w:hAnsi="Figtree"/>
          <w:b w:val="0"/>
          <w:i w:val="0"/>
          <w:sz w:val="22"/>
        </w:rPr>
        <w:t>All multi-step operations, from asset issuance to corporate actions to settlement, execute as durable workflows powered by Restate. These workflows survive process restarts and infrastructure failures. If a node goes down during a coupon payment distribution, the workflow resumes exactly where it left off when infrastructure recovers. This is not eventual consistency; it is deterministic execution with guaranteed completion.</w:t>
      </w:r>
    </w:p>
    <w:p>
      <w:pPr>
        <w:pStyle w:val="H3"/>
        <w:numPr>
          <w:ilvl w:val="2"/>
          <w:numId w:val="1"/>
        </w:numPr>
      </w:pPr>
      <w:r>
        <w:t>Seven Asset Templates</w:t>
      </w:r>
    </w:p>
    <w:p>
      <w:r>
        <w:rPr>
          <w:rFonts w:ascii="Figtree" w:hAnsi="Figtree"/>
          <w:b w:val="0"/>
          <w:i w:val="0"/>
          <w:sz w:val="22"/>
        </w:rPr>
        <w:t>DALP ships with seven purpose-built asset templates, each carrying the operational logic its lifecycle demands: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55"/>
        <w:gridCol w:w="7316"/>
      </w:tblGrid>
      <w:tr>
        <w:trPr>
          <w:trHeight w:val="488"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Asset Template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Key Lifecycle Features</w:t>
            </w:r>
          </w:p>
        </w:tc>
      </w:tr>
      <w:tr>
        <w:trPr>
          <w:trHeight w:val="488" w:hRule="atLeast"/>
        </w:trPr>
        <w:tc>
          <w:tcPr>
            <w:tcW w:type="dxa" w:w="4873"/>
            <w:vAlign w:val="center"/>
          </w:tcPr>
          <w:p>
            <w:pPr>
              <w:spacing w:line="276" w:lineRule="auto" w:before="0" w:after="0"/>
            </w:pPr>
            <w:r/>
            <w:r>
              <w:rPr>
                <w:rFonts w:ascii="Figtree" w:hAnsi="Figtree"/>
                <w:b/>
                <w:i w:val="0"/>
                <w:sz w:val="20"/>
              </w:rPr>
              <w:t>Bonds</w:t>
            </w:r>
          </w:p>
        </w:tc>
        <w:tc>
          <w:tcPr>
            <w:tcW w:type="dxa" w:w="4873"/>
            <w:vAlign w:val="center"/>
          </w:tcPr>
          <w:p>
            <w:pPr>
              <w:spacing w:line="276" w:lineRule="auto" w:before="0" w:after="0"/>
            </w:pPr>
            <w:r/>
            <w:r>
              <w:rPr>
                <w:rFonts w:ascii="Figtree" w:hAnsi="Figtree"/>
                <w:b w:val="0"/>
                <w:i w:val="0"/>
                <w:sz w:val="20"/>
              </w:rPr>
              <w:t>Configurable coupon schedules, maturity processing, call/put options, face value management, automated redemption</w:t>
            </w:r>
          </w:p>
        </w:tc>
      </w:tr>
      <w:tr>
        <w:trPr>
          <w:trHeight w:val="488" w:hRule="atLeast"/>
        </w:trPr>
        <w:tc>
          <w:tcPr>
            <w:tcW w:type="dxa" w:w="4873"/>
            <w:vAlign w:val="center"/>
          </w:tcPr>
          <w:p>
            <w:pPr>
              <w:spacing w:line="276" w:lineRule="auto" w:before="0" w:after="0"/>
            </w:pPr>
            <w:r/>
            <w:r>
              <w:rPr>
                <w:rFonts w:ascii="Figtree" w:hAnsi="Figtree"/>
                <w:b/>
                <w:i w:val="0"/>
                <w:sz w:val="20"/>
              </w:rPr>
              <w:t>Equity</w:t>
            </w:r>
          </w:p>
        </w:tc>
        <w:tc>
          <w:tcPr>
            <w:tcW w:type="dxa" w:w="4873"/>
            <w:vAlign w:val="center"/>
          </w:tcPr>
          <w:p>
            <w:pPr>
              <w:spacing w:line="276" w:lineRule="auto" w:before="0" w:after="0"/>
            </w:pPr>
            <w:r/>
            <w:r>
              <w:rPr>
                <w:rFonts w:ascii="Figtree" w:hAnsi="Figtree"/>
                <w:b w:val="0"/>
                <w:i w:val="0"/>
                <w:sz w:val="20"/>
              </w:rPr>
              <w:t>Dividend distribution, voting rights (ERC-5805), corporate action processing, shareholder registry</w:t>
            </w:r>
          </w:p>
        </w:tc>
      </w:tr>
      <w:tr>
        <w:trPr>
          <w:trHeight w:val="488" w:hRule="atLeast"/>
        </w:trPr>
        <w:tc>
          <w:tcPr>
            <w:tcW w:type="dxa" w:w="4873"/>
            <w:vAlign w:val="center"/>
          </w:tcPr>
          <w:p>
            <w:pPr>
              <w:spacing w:line="276" w:lineRule="auto" w:before="0" w:after="0"/>
            </w:pPr>
            <w:r/>
            <w:r>
              <w:rPr>
                <w:rFonts w:ascii="Figtree" w:hAnsi="Figtree"/>
                <w:b/>
                <w:i w:val="0"/>
                <w:sz w:val="20"/>
              </w:rPr>
              <w:t>Funds</w:t>
            </w:r>
          </w:p>
        </w:tc>
        <w:tc>
          <w:tcPr>
            <w:tcW w:type="dxa" w:w="4873"/>
            <w:vAlign w:val="center"/>
          </w:tcPr>
          <w:p>
            <w:pPr>
              <w:spacing w:line="276" w:lineRule="auto" w:before="0" w:after="0"/>
            </w:pPr>
            <w:r/>
            <w:r>
              <w:rPr>
                <w:rFonts w:ascii="Figtree" w:hAnsi="Figtree"/>
                <w:b w:val="0"/>
                <w:i w:val="0"/>
                <w:sz w:val="20"/>
              </w:rPr>
              <w:t>NAV integration, subscription/redemption automation, management fee calculation, fractional units</w:t>
            </w:r>
          </w:p>
        </w:tc>
      </w:tr>
      <w:tr>
        <w:trPr>
          <w:trHeight w:val="488" w:hRule="atLeast"/>
        </w:trPr>
        <w:tc>
          <w:tcPr>
            <w:tcW w:type="dxa" w:w="4873"/>
            <w:vAlign w:val="center"/>
          </w:tcPr>
          <w:p>
            <w:pPr>
              <w:spacing w:line="276" w:lineRule="auto" w:before="0" w:after="0"/>
            </w:pPr>
            <w:r/>
            <w:r>
              <w:rPr>
                <w:rFonts w:ascii="Figtree" w:hAnsi="Figtree"/>
                <w:b/>
                <w:i w:val="0"/>
                <w:sz w:val="20"/>
              </w:rPr>
              <w:t>Stablecoins</w:t>
            </w:r>
          </w:p>
        </w:tc>
        <w:tc>
          <w:tcPr>
            <w:tcW w:type="dxa" w:w="4873"/>
            <w:vAlign w:val="center"/>
          </w:tcPr>
          <w:p>
            <w:pPr>
              <w:spacing w:line="276" w:lineRule="auto" w:before="0" w:after="0"/>
            </w:pPr>
            <w:r/>
            <w:r>
              <w:rPr>
                <w:rFonts w:ascii="Figtree" w:hAnsi="Figtree"/>
                <w:b w:val="0"/>
                <w:i w:val="0"/>
                <w:sz w:val="20"/>
              </w:rPr>
              <w:t>Reserve monitoring, minting/burning controls, transaction limits, regulatory reporting</w:t>
            </w:r>
          </w:p>
        </w:tc>
      </w:tr>
      <w:tr>
        <w:trPr>
          <w:trHeight w:val="488" w:hRule="atLeast"/>
        </w:trPr>
        <w:tc>
          <w:tcPr>
            <w:tcW w:type="dxa" w:w="4873"/>
            <w:vAlign w:val="center"/>
          </w:tcPr>
          <w:p>
            <w:pPr>
              <w:spacing w:line="276" w:lineRule="auto" w:before="0" w:after="0"/>
            </w:pPr>
            <w:r/>
            <w:r>
              <w:rPr>
                <w:rFonts w:ascii="Figtree" w:hAnsi="Figtree"/>
                <w:b/>
                <w:i w:val="0"/>
                <w:sz w:val="20"/>
              </w:rPr>
              <w:t>Deposits</w:t>
            </w:r>
          </w:p>
        </w:tc>
        <w:tc>
          <w:tcPr>
            <w:tcW w:type="dxa" w:w="4873"/>
            <w:vAlign w:val="center"/>
          </w:tcPr>
          <w:p>
            <w:pPr>
              <w:spacing w:line="276" w:lineRule="auto" w:before="0" w:after="0"/>
            </w:pPr>
            <w:r/>
            <w:r>
              <w:rPr>
                <w:rFonts w:ascii="Figtree" w:hAnsi="Figtree"/>
                <w:b w:val="0"/>
                <w:i w:val="0"/>
                <w:sz w:val="20"/>
              </w:rPr>
              <w:t>Interest calculation, maturity management, withdrawal rules, bridge functionality</w:t>
            </w:r>
          </w:p>
        </w:tc>
      </w:tr>
      <w:tr>
        <w:trPr>
          <w:trHeight w:val="488" w:hRule="atLeast"/>
        </w:trPr>
        <w:tc>
          <w:tcPr>
            <w:tcW w:type="dxa" w:w="4873"/>
            <w:vAlign w:val="center"/>
          </w:tcPr>
          <w:p>
            <w:pPr>
              <w:spacing w:line="276" w:lineRule="auto" w:before="0" w:after="0"/>
            </w:pPr>
            <w:r/>
            <w:r>
              <w:rPr>
                <w:rFonts w:ascii="Figtree" w:hAnsi="Figtree"/>
                <w:b/>
                <w:i w:val="0"/>
                <w:sz w:val="20"/>
              </w:rPr>
              <w:t>Real Estate</w:t>
            </w:r>
          </w:p>
        </w:tc>
        <w:tc>
          <w:tcPr>
            <w:tcW w:type="dxa" w:w="4873"/>
            <w:vAlign w:val="center"/>
          </w:tcPr>
          <w:p>
            <w:pPr>
              <w:spacing w:line="276" w:lineRule="auto" w:before="0" w:after="0"/>
            </w:pPr>
            <w:r/>
            <w:r>
              <w:rPr>
                <w:rFonts w:ascii="Figtree" w:hAnsi="Figtree"/>
                <w:b w:val="0"/>
                <w:i w:val="0"/>
                <w:sz w:val="20"/>
              </w:rPr>
              <w:t>Property title tokenization, rental distribution, fractional ownership, provenance tracking</w:t>
            </w:r>
          </w:p>
        </w:tc>
      </w:tr>
      <w:tr>
        <w:trPr>
          <w:trHeight w:val="488" w:hRule="atLeast"/>
        </w:trPr>
        <w:tc>
          <w:tcPr>
            <w:tcW w:type="dxa" w:w="4873"/>
            <w:vAlign w:val="center"/>
          </w:tcPr>
          <w:p>
            <w:pPr>
              <w:spacing w:line="276" w:lineRule="auto" w:before="0" w:after="0"/>
            </w:pPr>
            <w:r/>
            <w:r>
              <w:rPr>
                <w:rFonts w:ascii="Figtree" w:hAnsi="Figtree"/>
                <w:b/>
                <w:i w:val="0"/>
                <w:sz w:val="20"/>
              </w:rPr>
              <w:t>Precious Metals</w:t>
            </w:r>
          </w:p>
        </w:tc>
        <w:tc>
          <w:tcPr>
            <w:tcW w:type="dxa" w:w="4873"/>
            <w:vAlign w:val="center"/>
          </w:tcPr>
          <w:p>
            <w:pPr>
              <w:spacing w:line="276" w:lineRule="auto" w:before="0" w:after="0"/>
            </w:pPr>
            <w:r/>
            <w:r>
              <w:rPr>
                <w:rFonts w:ascii="Figtree" w:hAnsi="Figtree"/>
                <w:b w:val="0"/>
                <w:i w:val="0"/>
                <w:sz w:val="20"/>
              </w:rPr>
              <w:t>Custody verification, provenance chain, fractional ownership, responsible sourcing compliance</w:t>
            </w:r>
          </w:p>
        </w:tc>
      </w:tr>
    </w:tbl>
    <w:p>
      <w:pPr>
        <w:spacing w:before="0" w:after="0" w:line="120" w:lineRule="exact"/>
      </w:pPr>
    </w:p>
    <w:p>
      <w:r>
        <w:rPr>
          <w:rFonts w:ascii="Figtree" w:hAnsi="Figtree"/>
          <w:b w:val="0"/>
          <w:i w:val="0"/>
          <w:sz w:val="22"/>
        </w:rPr>
        <w:t xml:space="preserve">Beyond these seven templates, a </w:t>
      </w:r>
      <w:r>
        <w:rPr>
          <w:rFonts w:ascii="Figtree" w:hAnsi="Figtree"/>
          <w:b/>
          <w:i w:val="0"/>
          <w:sz w:val="22"/>
        </w:rPr>
        <w:t>Configurable Token</w:t>
      </w:r>
      <w:r>
        <w:rPr>
          <w:rFonts w:ascii="Figtree" w:hAnsi="Figtree"/>
          <w:b w:val="0"/>
          <w:i w:val="0"/>
          <w:sz w:val="22"/>
        </w:rPr>
        <w:t xml:space="preserve"> template enables digitization of any asset class using a composable, feature-rich architecture. The SMART Configurable extension system supports up to 32 pluggable features per token, added or reordered post-deployment without redeploying the token itself. Eleven pre-built feature types are available: AUM fees, conversion, external transaction fees, fixed treasury yield, historical balances, maturity redemption, EIP-2612 permits, transaction fees, transaction fee accounting, and voting power.</w:t>
      </w:r>
    </w:p>
    <w:p>
      <w:pPr>
        <w:pStyle w:val="H3"/>
        <w:numPr>
          <w:ilvl w:val="2"/>
          <w:numId w:val="1"/>
        </w:numPr>
      </w:pPr>
      <w:r>
        <w:t>Compliance Engine</w:t>
      </w:r>
    </w:p>
    <w:p>
      <w:r>
        <w:rPr>
          <w:rFonts w:ascii="Figtree" w:hAnsi="Figtree"/>
          <w:b w:val="0"/>
          <w:i w:val="0"/>
          <w:sz w:val="22"/>
        </w:rPr>
        <w:t xml:space="preserve">DALP's compliance engine is the most comprehensive in the market for regulated digital assets. It implements </w:t>
      </w:r>
      <w:r>
        <w:rPr>
          <w:rFonts w:ascii="Figtree" w:hAnsi="Figtree"/>
          <w:b/>
          <w:i w:val="0"/>
          <w:sz w:val="22"/>
        </w:rPr>
        <w:t>18 compliance module types</w:t>
      </w:r>
      <w:r>
        <w:rPr>
          <w:rFonts w:ascii="Figtree" w:hAnsi="Figtree"/>
          <w:b w:val="0"/>
          <w:i w:val="0"/>
          <w:sz w:val="22"/>
        </w:rPr>
        <w:t xml:space="preserve"> organized across </w:t>
      </w:r>
      <w:r>
        <w:rPr>
          <w:rFonts w:ascii="Figtree" w:hAnsi="Figtree"/>
          <w:b/>
          <w:i w:val="0"/>
          <w:sz w:val="22"/>
        </w:rPr>
        <w:t>six categories</w:t>
      </w:r>
      <w:r>
        <w:rPr>
          <w:rFonts w:ascii="Figtree" w:hAnsi="Figtree"/>
          <w:b w:val="0"/>
          <w:i w:val="0"/>
          <w:sz w:val="22"/>
        </w:rPr>
        <w: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36"/>
        <w:gridCol w:w="6435"/>
      </w:tblGrid>
      <w:tr>
        <w:trPr>
          <w:trHeight w:val="488"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Module Types</w:t>
            </w:r>
          </w:p>
        </w:tc>
      </w:tr>
      <w:tr>
        <w:trPr>
          <w:trHeight w:val="488" w:hRule="atLeast"/>
        </w:trPr>
        <w:tc>
          <w:tcPr>
            <w:tcW w:type="dxa" w:w="4873"/>
            <w:vAlign w:val="center"/>
          </w:tcPr>
          <w:p>
            <w:pPr>
              <w:spacing w:line="276" w:lineRule="auto" w:before="0" w:after="0"/>
            </w:pPr>
            <w:r/>
            <w:r>
              <w:rPr>
                <w:rFonts w:ascii="Figtree" w:hAnsi="Figtree"/>
                <w:b/>
                <w:i w:val="0"/>
                <w:sz w:val="20"/>
              </w:rPr>
              <w:t>Eligibility</w:t>
            </w:r>
          </w:p>
        </w:tc>
        <w:tc>
          <w:tcPr>
            <w:tcW w:type="dxa" w:w="4873"/>
            <w:vAlign w:val="center"/>
          </w:tcPr>
          <w:p>
            <w:pPr>
              <w:spacing w:line="276" w:lineRule="auto" w:before="0" w:after="0"/>
            </w:pPr>
            <w:r/>
            <w:r>
              <w:rPr>
                <w:rFonts w:ascii="Figtree" w:hAnsi="Figtree"/>
                <w:b w:val="0"/>
                <w:i w:val="0"/>
                <w:sz w:val="20"/>
              </w:rPr>
              <w:t>Country allow/block lists, investor accreditation status, qualified investor verification</w:t>
            </w:r>
          </w:p>
        </w:tc>
      </w:tr>
      <w:tr>
        <w:trPr>
          <w:trHeight w:val="488" w:hRule="atLeast"/>
        </w:trPr>
        <w:tc>
          <w:tcPr>
            <w:tcW w:type="dxa" w:w="4873"/>
            <w:vAlign w:val="center"/>
          </w:tcPr>
          <w:p>
            <w:pPr>
              <w:spacing w:line="276" w:lineRule="auto" w:before="0" w:after="0"/>
            </w:pPr>
            <w:r/>
            <w:r>
              <w:rPr>
                <w:rFonts w:ascii="Figtree" w:hAnsi="Figtree"/>
                <w:b/>
                <w:i w:val="0"/>
                <w:sz w:val="20"/>
              </w:rPr>
              <w:t>Restrictions</w:t>
            </w:r>
          </w:p>
        </w:tc>
        <w:tc>
          <w:tcPr>
            <w:tcW w:type="dxa" w:w="4873"/>
            <w:vAlign w:val="center"/>
          </w:tcPr>
          <w:p>
            <w:pPr>
              <w:spacing w:line="276" w:lineRule="auto" w:before="0" w:after="0"/>
            </w:pPr>
            <w:r/>
            <w:r>
              <w:rPr>
                <w:rFonts w:ascii="Figtree" w:hAnsi="Figtree"/>
                <w:b w:val="0"/>
                <w:i w:val="0"/>
                <w:sz w:val="20"/>
              </w:rPr>
              <w:t>Maximum holder count, conditional transfer restrictions, time-locked restrictions</w:t>
            </w:r>
          </w:p>
        </w:tc>
      </w:tr>
      <w:tr>
        <w:trPr>
          <w:trHeight w:val="488" w:hRule="atLeast"/>
        </w:trPr>
        <w:tc>
          <w:tcPr>
            <w:tcW w:type="dxa" w:w="4873"/>
            <w:vAlign w:val="center"/>
          </w:tcPr>
          <w:p>
            <w:pPr>
              <w:spacing w:line="276" w:lineRule="auto" w:before="0" w:after="0"/>
            </w:pPr>
            <w:r/>
            <w:r>
              <w:rPr>
                <w:rFonts w:ascii="Figtree" w:hAnsi="Figtree"/>
                <w:b/>
                <w:i w:val="0"/>
                <w:sz w:val="20"/>
              </w:rPr>
              <w:t>Transfer Controls</w:t>
            </w:r>
          </w:p>
        </w:tc>
        <w:tc>
          <w:tcPr>
            <w:tcW w:type="dxa" w:w="4873"/>
            <w:vAlign w:val="center"/>
          </w:tcPr>
          <w:p>
            <w:pPr>
              <w:spacing w:line="276" w:lineRule="auto" w:before="0" w:after="0"/>
            </w:pPr>
            <w:r/>
            <w:r>
              <w:rPr>
                <w:rFonts w:ascii="Figtree" w:hAnsi="Figtree"/>
                <w:b w:val="0"/>
                <w:i w:val="0"/>
                <w:sz w:val="20"/>
              </w:rPr>
              <w:t>Transfer amount limits, maximum balance restrictions, address-specific restrictions</w:t>
            </w:r>
          </w:p>
        </w:tc>
      </w:tr>
      <w:tr>
        <w:trPr>
          <w:trHeight w:val="488" w:hRule="atLeast"/>
        </w:trPr>
        <w:tc>
          <w:tcPr>
            <w:tcW w:type="dxa" w:w="4873"/>
            <w:vAlign w:val="center"/>
          </w:tcPr>
          <w:p>
            <w:pPr>
              <w:spacing w:line="276" w:lineRule="auto" w:before="0" w:after="0"/>
            </w:pPr>
            <w:r/>
            <w:r>
              <w:rPr>
                <w:rFonts w:ascii="Figtree" w:hAnsi="Figtree"/>
                <w:b/>
                <w:i w:val="0"/>
                <w:sz w:val="20"/>
              </w:rPr>
              <w:t>Issuance and Supply</w:t>
            </w:r>
          </w:p>
        </w:tc>
        <w:tc>
          <w:tcPr>
            <w:tcW w:type="dxa" w:w="4873"/>
            <w:vAlign w:val="center"/>
          </w:tcPr>
          <w:p>
            <w:pPr>
              <w:spacing w:line="276" w:lineRule="auto" w:before="0" w:after="0"/>
            </w:pPr>
            <w:r/>
            <w:r>
              <w:rPr>
                <w:rFonts w:ascii="Figtree" w:hAnsi="Figtree"/>
                <w:b w:val="0"/>
                <w:i w:val="0"/>
                <w:sz w:val="20"/>
              </w:rPr>
              <w:t>Supply cap enforcement, minting restrictions</w:t>
            </w:r>
          </w:p>
        </w:tc>
      </w:tr>
      <w:tr>
        <w:trPr>
          <w:trHeight w:val="488" w:hRule="atLeast"/>
        </w:trPr>
        <w:tc>
          <w:tcPr>
            <w:tcW w:type="dxa" w:w="4873"/>
            <w:vAlign w:val="center"/>
          </w:tcPr>
          <w:p>
            <w:pPr>
              <w:spacing w:line="276" w:lineRule="auto" w:before="0" w:after="0"/>
            </w:pPr>
            <w:r/>
            <w:r>
              <w:rPr>
                <w:rFonts w:ascii="Figtree" w:hAnsi="Figtree"/>
                <w:b/>
                <w:i w:val="0"/>
                <w:sz w:val="20"/>
              </w:rPr>
              <w:t>Time-Based Rules</w:t>
            </w:r>
          </w:p>
        </w:tc>
        <w:tc>
          <w:tcPr>
            <w:tcW w:type="dxa" w:w="4873"/>
            <w:vAlign w:val="center"/>
          </w:tcPr>
          <w:p>
            <w:pPr>
              <w:spacing w:line="276" w:lineRule="auto" w:before="0" w:after="0"/>
            </w:pPr>
            <w:r/>
            <w:r>
              <w:rPr>
                <w:rFonts w:ascii="Figtree" w:hAnsi="Figtree"/>
                <w:b w:val="0"/>
                <w:i w:val="0"/>
                <w:sz w:val="20"/>
              </w:rPr>
              <w:t>Holding period enforcement, lock-up windows, time-restricted trading</w:t>
            </w:r>
          </w:p>
        </w:tc>
      </w:tr>
      <w:tr>
        <w:trPr>
          <w:trHeight w:val="488" w:hRule="atLeast"/>
        </w:trPr>
        <w:tc>
          <w:tcPr>
            <w:tcW w:type="dxa" w:w="4873"/>
            <w:vAlign w:val="center"/>
          </w:tcPr>
          <w:p>
            <w:pPr>
              <w:spacing w:line="276" w:lineRule="auto" w:before="0" w:after="0"/>
            </w:pPr>
            <w:r/>
            <w:r>
              <w:rPr>
                <w:rFonts w:ascii="Figtree" w:hAnsi="Figtree"/>
                <w:b/>
                <w:i w:val="0"/>
                <w:sz w:val="20"/>
              </w:rPr>
              <w:t>Settlement and Collateral</w:t>
            </w:r>
          </w:p>
        </w:tc>
        <w:tc>
          <w:tcPr>
            <w:tcW w:type="dxa" w:w="4873"/>
            <w:vAlign w:val="center"/>
          </w:tcPr>
          <w:p>
            <w:pPr>
              <w:spacing w:line="276" w:lineRule="auto" w:before="0" w:after="0"/>
            </w:pPr>
            <w:r/>
            <w:r>
              <w:rPr>
                <w:rFonts w:ascii="Figtree" w:hAnsi="Figtree"/>
                <w:b w:val="0"/>
                <w:i w:val="0"/>
                <w:sz w:val="20"/>
              </w:rPr>
              <w:t>Collateral backing verification, settlement condition enforcement</w:t>
            </w:r>
          </w:p>
        </w:tc>
      </w:tr>
    </w:tbl>
    <w:p>
      <w:pPr>
        <w:spacing w:before="0" w:after="0" w:line="120" w:lineRule="exact"/>
      </w:pPr>
    </w:p>
    <w:p>
      <w:r>
        <w:rPr>
          <w:rFonts w:ascii="Figtree" w:hAnsi="Figtree"/>
          <w:b w:val="0"/>
          <w:i w:val="0"/>
          <w:sz w:val="22"/>
        </w:rPr>
        <w:t xml:space="preserve">Compliance enforcement is </w:t>
      </w:r>
      <w:r>
        <w:rPr>
          <w:rFonts w:ascii="Figtree" w:hAnsi="Figtree"/>
          <w:b/>
          <w:i w:val="0"/>
          <w:sz w:val="22"/>
        </w:rPr>
        <w:t>ex-ante</w:t>
      </w:r>
      <w:r>
        <w:rPr>
          <w:rFonts w:ascii="Figtree" w:hAnsi="Figtree"/>
          <w:b w:val="0"/>
          <w:i w:val="0"/>
          <w:sz w:val="22"/>
        </w:rPr>
        <w:t>: every transfer is validated against active policy sets before the transaction executes on-chain. This is deterministic prevention, not retrospective detection. A non-compliant transfer never reaches the blockchain. The compliance engine uses the ERC-3643 standard for regulated token compliance, with OnchainID providing verifiable, on-chain investor identities.</w:t>
      </w:r>
    </w:p>
    <w:p>
      <w:r>
        <w:rPr>
          <w:rFonts w:ascii="Figtree" w:hAnsi="Figtree"/>
          <w:b w:val="0"/>
          <w:i w:val="0"/>
          <w:sz w:val="22"/>
        </w:rPr>
        <w:t xml:space="preserve">The platform implements a </w:t>
      </w:r>
      <w:r>
        <w:rPr>
          <w:rFonts w:ascii="Figtree" w:hAnsi="Figtree"/>
          <w:b/>
          <w:i w:val="0"/>
          <w:sz w:val="22"/>
        </w:rPr>
        <w:t>three-tier compliance interface hierarchy:</w:t>
      </w:r>
    </w:p>
    <w:p>
      <w:pPr>
        <w:pStyle w:val="ListParagraph"/>
        <w:numPr>
          <w:ilvl w:val="0"/>
          <w:numId w:val="7"/>
        </w:numPr>
      </w:pPr>
      <w:r>
        <w:rPr>
          <w:rFonts w:ascii="Figtree" w:hAnsi="Figtree"/>
          <w:b/>
          <w:i w:val="0"/>
          <w:sz w:val="22"/>
        </w:rPr>
        <w:t>Global Compliance:</w:t>
      </w:r>
      <w:r>
        <w:rPr>
          <w:rFonts w:ascii="Figtree" w:hAnsi="Figtree"/>
          <w:b w:val="0"/>
          <w:i w:val="0"/>
          <w:sz w:val="22"/>
        </w:rPr>
        <w:t xml:space="preserve"> System-wide bypass list, global modules, token-compliance binding</w:t>
      </w:r>
    </w:p>
    <w:p>
      <w:pPr>
        <w:pStyle w:val="ListParagraph"/>
        <w:numPr>
          <w:ilvl w:val="0"/>
          <w:numId w:val="7"/>
        </w:numPr>
      </w:pPr>
      <w:r>
        <w:rPr>
          <w:rFonts w:ascii="Figtree" w:hAnsi="Figtree"/>
          <w:b/>
          <w:i w:val="0"/>
          <w:sz w:val="22"/>
        </w:rPr>
        <w:t>Token Compliance:</w:t>
      </w:r>
      <w:r>
        <w:rPr>
          <w:rFonts w:ascii="Figtree" w:hAnsi="Figtree"/>
          <w:b w:val="0"/>
          <w:i w:val="0"/>
          <w:sz w:val="22"/>
        </w:rPr>
        <w:t xml:space="preserve"> Per-token compliance hooks with dual v1/v2 support</w:t>
      </w:r>
    </w:p>
    <w:p>
      <w:pPr>
        <w:pStyle w:val="ListParagraph"/>
        <w:numPr>
          <w:ilvl w:val="0"/>
          <w:numId w:val="7"/>
        </w:numPr>
      </w:pPr>
      <w:r>
        <w:rPr>
          <w:rFonts w:ascii="Figtree" w:hAnsi="Figtree"/>
          <w:b/>
          <w:i w:val="0"/>
          <w:sz w:val="22"/>
        </w:rPr>
        <w:t>SMART Compliance V2:</w:t>
      </w:r>
      <w:r>
        <w:rPr>
          <w:rFonts w:ascii="Figtree" w:hAnsi="Figtree"/>
          <w:b w:val="0"/>
          <w:i w:val="0"/>
          <w:sz w:val="22"/>
        </w:rPr>
        <w:t xml:space="preserve"> ERC-3643-aligned three-argument compliance hooks</w:t>
      </w:r>
    </w:p>
    <w:p>
      <w:pPr>
        <w:pStyle w:val="H3"/>
        <w:numPr>
          <w:ilvl w:val="2"/>
          <w:numId w:val="1"/>
        </w:numPr>
      </w:pPr>
      <w:r>
        <w:t>Identity and Access Control</w:t>
      </w:r>
    </w:p>
    <w:p>
      <w:r>
        <w:rPr>
          <w:rFonts w:ascii="Figtree" w:hAnsi="Figtree"/>
          <w:b w:val="0"/>
          <w:i w:val="0"/>
          <w:sz w:val="22"/>
        </w:rPr>
        <w:t>DALP embeds a unified identity layer across the entire platform:</w:t>
      </w:r>
    </w:p>
    <w:p>
      <w:pPr>
        <w:pStyle w:val="ListParagraph"/>
        <w:numPr>
          <w:ilvl w:val="0"/>
          <w:numId w:val="4"/>
        </w:numPr>
      </w:pPr>
      <w:r>
        <w:rPr>
          <w:rFonts w:ascii="Figtree" w:hAnsi="Figtree"/>
          <w:b/>
          <w:i w:val="0"/>
          <w:sz w:val="22"/>
        </w:rPr>
        <w:t>OnchainID:</w:t>
      </w:r>
      <w:r>
        <w:rPr>
          <w:rFonts w:ascii="Figtree" w:hAnsi="Figtree"/>
          <w:b w:val="0"/>
          <w:i w:val="0"/>
          <w:sz w:val="22"/>
        </w:rPr>
        <w:t xml:space="preserve"> Verifiable, on-chain investor identities with claim-based verification. KYC/KYB credentials, accreditation status, and jurisdictional eligibility are recorded as verifiable claims, reusable across all assets and transactions.</w:t>
      </w:r>
    </w:p>
    <w:p>
      <w:pPr>
        <w:pStyle w:val="ListParagraph"/>
        <w:numPr>
          <w:ilvl w:val="0"/>
          <w:numId w:val="4"/>
        </w:numPr>
      </w:pPr>
      <w:r>
        <w:rPr>
          <w:rFonts w:ascii="Figtree" w:hAnsi="Figtree"/>
          <w:b/>
          <w:i w:val="0"/>
          <w:sz w:val="22"/>
        </w:rPr>
        <w:t>Identity Registry:</w:t>
      </w:r>
      <w:r>
        <w:rPr>
          <w:rFonts w:ascii="Figtree" w:hAnsi="Figtree"/>
          <w:b w:val="0"/>
          <w:i w:val="0"/>
          <w:sz w:val="22"/>
        </w:rPr>
        <w:t xml:space="preserve"> Manages verified profiles with claim lifecycle control, including issuance, storage, and revocation of digital identity claims.</w:t>
      </w:r>
    </w:p>
    <w:p>
      <w:pPr>
        <w:pStyle w:val="ListParagraph"/>
        <w:numPr>
          <w:ilvl w:val="0"/>
          <w:numId w:val="4"/>
        </w:numPr>
      </w:pPr>
      <w:r>
        <w:rPr>
          <w:rFonts w:ascii="Figtree" w:hAnsi="Figtree"/>
          <w:b/>
          <w:i w:val="0"/>
          <w:sz w:val="22"/>
        </w:rPr>
        <w:t>Role-Based Access Control (RBAC):</w:t>
      </w:r>
      <w:r>
        <w:rPr>
          <w:rFonts w:ascii="Figtree" w:hAnsi="Figtree"/>
          <w:b w:val="0"/>
          <w:i w:val="0"/>
          <w:sz w:val="22"/>
        </w:rPr>
        <w:t xml:space="preserve"> Five defined roles govern every action from token issuance to transfer approval. Four layers of access control ensure separation of duties.</w:t>
      </w:r>
    </w:p>
    <w:p>
      <w:pPr>
        <w:pStyle w:val="ListParagraph"/>
        <w:numPr>
          <w:ilvl w:val="0"/>
          <w:numId w:val="4"/>
        </w:numPr>
      </w:pPr>
      <w:r>
        <w:rPr>
          <w:rFonts w:ascii="Figtree" w:hAnsi="Figtree"/>
          <w:b/>
          <w:i w:val="0"/>
          <w:sz w:val="22"/>
        </w:rPr>
        <w:t>Maker-Checker Workflows:</w:t>
      </w:r>
      <w:r>
        <w:rPr>
          <w:rFonts w:ascii="Figtree" w:hAnsi="Figtree"/>
          <w:b w:val="0"/>
          <w:i w:val="0"/>
          <w:sz w:val="22"/>
        </w:rPr>
        <w:t xml:space="preserve"> All sensitive operations require multi-party approval before execution.</w:t>
      </w:r>
    </w:p>
    <w:p>
      <w:pPr>
        <w:pStyle w:val="ListParagraph"/>
        <w:numPr>
          <w:ilvl w:val="0"/>
          <w:numId w:val="4"/>
        </w:numPr>
      </w:pPr>
      <w:r>
        <w:rPr>
          <w:rFonts w:ascii="Figtree" w:hAnsi="Figtree"/>
          <w:b/>
          <w:i w:val="0"/>
          <w:sz w:val="22"/>
        </w:rPr>
        <w:t>Wallet Verification:</w:t>
      </w:r>
      <w:r>
        <w:rPr>
          <w:rFonts w:ascii="Figtree" w:hAnsi="Figtree"/>
          <w:b w:val="0"/>
          <w:i w:val="0"/>
          <w:sz w:val="22"/>
        </w:rPr>
        <w:t xml:space="preserve"> Multi-factor verification gates (PIN code, TOTP, secret codes) for privileged transaction signing and sensitive recovery operations.</w:t>
      </w:r>
    </w:p>
    <w:p>
      <w:r>
        <w:rPr>
          <w:rFonts w:ascii="Figtree" w:hAnsi="Figtree"/>
          <w:b w:val="0"/>
          <w:i w:val="0"/>
          <w:sz w:val="22"/>
        </w:rPr>
        <w:t xml:space="preserve">A </w:t>
      </w:r>
      <w:r>
        <w:rPr>
          <w:rFonts w:ascii="Figtree" w:hAnsi="Figtree"/>
          <w:b/>
          <w:i w:val="0"/>
          <w:sz w:val="22"/>
        </w:rPr>
        <w:t>Global Trusted Issuers Registry</w:t>
      </w:r>
      <w:r>
        <w:rPr>
          <w:rFonts w:ascii="Figtree" w:hAnsi="Figtree"/>
          <w:b w:val="0"/>
          <w:i w:val="0"/>
          <w:sz w:val="22"/>
        </w:rPr>
        <w:t xml:space="preserve"> centralizes trusted issuer management at the platform level, with three-tier resolution: subject-scoped, system-scoped, and global (most specific wins, global as broadest fallback).</w:t>
      </w:r>
    </w:p>
    <w:p>
      <w:r>
        <w:br w:type="page"/>
      </w:r>
    </w:p>
    <w:p>
      <w:pPr>
        <w:pStyle w:val="H2"/>
        <w:numPr>
          <w:ilvl w:val="1"/>
          <w:numId w:val="1"/>
        </w:numPr>
      </w:pPr>
      <w:r>
        <w:t>5. Asset Lifecycle Management</w:t>
      </w:r>
    </w:p>
    <w:p>
      <w:pPr>
        <w:pStyle w:val="H3"/>
        <w:numPr>
          <w:ilvl w:val="2"/>
          <w:numId w:val="1"/>
        </w:numPr>
      </w:pPr>
      <w:r>
        <w:t>Issuance Workflow</w:t>
      </w:r>
    </w:p>
    <w:p>
      <w:r>
        <w:rPr>
          <w:rFonts w:ascii="Figtree" w:hAnsi="Figtree"/>
          <w:b w:val="0"/>
          <w:i w:val="0"/>
          <w:sz w:val="22"/>
        </w:rPr>
        <w:t>DALP's issuance workflow is a controlled, multi-step process designed for institutional governance:</w:t>
      </w:r>
    </w:p>
    <w:p>
      <w:pPr>
        <w:pStyle w:val="ListParagraph"/>
        <w:numPr>
          <w:ilvl w:val="0"/>
          <w:numId w:val="8"/>
        </w:numPr>
      </w:pPr>
      <w:r>
        <w:rPr>
          <w:rFonts w:ascii="Figtree" w:hAnsi="Figtree"/>
          <w:b/>
          <w:i w:val="0"/>
          <w:sz w:val="22"/>
        </w:rPr>
        <w:t>Template Selection:</w:t>
      </w:r>
      <w:r>
        <w:rPr>
          <w:rFonts w:ascii="Figtree" w:hAnsi="Figtree"/>
          <w:b w:val="0"/>
          <w:i w:val="0"/>
          <w:sz w:val="22"/>
        </w:rPr>
        <w:t xml:space="preserve"> Choose from seven pre-built asset templates or configure a custom token using the SMART extension system. The Asset Designer wizard guides operators through class selection, with four system asset classes (Fixed Income, Flexible Income, Cash Equivalent, Real World Asset) and support for custom organizational classes.</w:t>
      </w:r>
    </w:p>
    <w:p>
      <w:pPr>
        <w:pStyle w:val="ListParagraph"/>
        <w:numPr>
          <w:ilvl w:val="0"/>
          <w:numId w:val="8"/>
        </w:numPr>
      </w:pPr>
      <w:r>
        <w:rPr>
          <w:rFonts w:ascii="Figtree" w:hAnsi="Figtree"/>
          <w:b/>
          <w:i w:val="0"/>
          <w:sz w:val="22"/>
        </w:rPr>
        <w:t>Term Configuration:</w:t>
      </w:r>
      <w:r>
        <w:rPr>
          <w:rFonts w:ascii="Figtree" w:hAnsi="Figtree"/>
          <w:b w:val="0"/>
          <w:i w:val="0"/>
          <w:sz w:val="22"/>
        </w:rPr>
        <w:t xml:space="preserve"> Establish asset-specific economics, distribution parameters, and redemption settings. For bonds: coupon schedules, maturity dates, face value, call/put provisions. For funds: NAV frequency, management fees, subscription windows. Each class carries its own validation rules and lifecycle logic.</w:t>
      </w:r>
    </w:p>
    <w:p>
      <w:pPr>
        <w:pStyle w:val="ListParagraph"/>
        <w:numPr>
          <w:ilvl w:val="0"/>
          <w:numId w:val="8"/>
        </w:numPr>
      </w:pPr>
      <w:r>
        <w:rPr>
          <w:rFonts w:ascii="Figtree" w:hAnsi="Figtree"/>
          <w:b/>
          <w:i w:val="0"/>
          <w:sz w:val="22"/>
        </w:rPr>
        <w:t>Compliance Setup:</w:t>
      </w:r>
      <w:r>
        <w:rPr>
          <w:rFonts w:ascii="Figtree" w:hAnsi="Figtree"/>
          <w:b w:val="0"/>
          <w:i w:val="0"/>
          <w:sz w:val="22"/>
        </w:rPr>
        <w:t xml:space="preserve"> Configure compliance modules from the 18 available types. Select country restrictions, investor eligibility requirements, transfer limits, and holding periods. Compliance modules are configured per asset and enforced at the smart contract layer.</w:t>
      </w:r>
    </w:p>
    <w:p>
      <w:pPr>
        <w:pStyle w:val="ListParagraph"/>
        <w:numPr>
          <w:ilvl w:val="0"/>
          <w:numId w:val="8"/>
        </w:numPr>
      </w:pPr>
      <w:r>
        <w:rPr>
          <w:rFonts w:ascii="Figtree" w:hAnsi="Figtree"/>
          <w:b/>
          <w:i w:val="0"/>
          <w:sz w:val="22"/>
        </w:rPr>
        <w:t>Identity and Claims:</w:t>
      </w:r>
      <w:r>
        <w:rPr>
          <w:rFonts w:ascii="Figtree" w:hAnsi="Figtree"/>
          <w:b w:val="0"/>
          <w:i w:val="0"/>
          <w:sz w:val="22"/>
        </w:rPr>
        <w:t xml:space="preserve"> Issue classification, location, pricing, and identifier claims specific to the asset class. Claim issuance is class-aware and fails terminally on partial claim issuance, ensuring no asset deploys with incomplete identity metadata.</w:t>
      </w:r>
    </w:p>
    <w:p>
      <w:pPr>
        <w:pStyle w:val="ListParagraph"/>
        <w:numPr>
          <w:ilvl w:val="0"/>
          <w:numId w:val="8"/>
        </w:numPr>
      </w:pPr>
      <w:r>
        <w:rPr>
          <w:rFonts w:ascii="Figtree" w:hAnsi="Figtree"/>
          <w:b/>
          <w:i w:val="0"/>
          <w:sz w:val="22"/>
        </w:rPr>
        <w:t>Permission Assignment:</w:t>
      </w:r>
      <w:r>
        <w:rPr>
          <w:rFonts w:ascii="Figtree" w:hAnsi="Figtree"/>
          <w:b w:val="0"/>
          <w:i w:val="0"/>
          <w:sz w:val="22"/>
        </w:rPr>
        <w:t xml:space="preserve"> Define initial role assignments across the five DALP roles. The workflow enforces a minimum creator = governance bootstrap, ensuring every asset has an accountable governance role from deployment.</w:t>
      </w:r>
    </w:p>
    <w:p>
      <w:pPr>
        <w:pStyle w:val="ListParagraph"/>
        <w:numPr>
          <w:ilvl w:val="0"/>
          <w:numId w:val="8"/>
        </w:numPr>
      </w:pPr>
      <w:r>
        <w:rPr>
          <w:rFonts w:ascii="Figtree" w:hAnsi="Figtree"/>
          <w:b/>
          <w:i w:val="0"/>
          <w:sz w:val="22"/>
        </w:rPr>
        <w:t>Deployment:</w:t>
      </w:r>
      <w:r>
        <w:rPr>
          <w:rFonts w:ascii="Figtree" w:hAnsi="Figtree"/>
          <w:b w:val="0"/>
          <w:i w:val="0"/>
          <w:sz w:val="22"/>
        </w:rPr>
        <w:t xml:space="preserve"> Durable workflow execution deploys the asset contract, issues all claims, assigns permissions, and optionally unpauses the asset for trading. The entire sequence is atomic in the workflow sense: if any step fails, the deployment does not proceed to a partial state.</w:t>
      </w:r>
    </w:p>
    <w:p>
      <w:pPr>
        <w:pStyle w:val="H3"/>
        <w:numPr>
          <w:ilvl w:val="2"/>
          <w:numId w:val="1"/>
        </w:numPr>
      </w:pPr>
      <w:r>
        <w:t>Transfer and Settlement</w:t>
      </w:r>
    </w:p>
    <w:p>
      <w:r>
        <w:rPr>
          <w:rFonts w:ascii="Figtree" w:hAnsi="Figtree"/>
          <w:b w:val="0"/>
          <w:i w:val="0"/>
          <w:sz w:val="22"/>
        </w:rPr>
        <w:t>Every transfer in DALP passes through compliance-gated validation before execution:</w:t>
      </w:r>
    </w:p>
    <w:p>
      <w:pPr>
        <w:pStyle w:val="ListParagraph"/>
        <w:numPr>
          <w:ilvl w:val="0"/>
          <w:numId w:val="4"/>
        </w:numPr>
      </w:pPr>
      <w:r>
        <w:rPr>
          <w:rFonts w:ascii="Figtree" w:hAnsi="Figtree"/>
          <w:b/>
          <w:i w:val="0"/>
          <w:sz w:val="22"/>
        </w:rPr>
        <w:t>Pre-transfer compliance check:</w:t>
      </w:r>
      <w:r>
        <w:rPr>
          <w:rFonts w:ascii="Figtree" w:hAnsi="Figtree"/>
          <w:b w:val="0"/>
          <w:i w:val="0"/>
          <w:sz w:val="22"/>
        </w:rPr>
        <w:t xml:space="preserve"> The compliance engine evaluates the transfer against all active modules for the asset. Sender eligibility, receiver eligibility, transfer amount limits, holding period restrictions, and jurisdictional rules are all evaluated deterministically.</w:t>
      </w:r>
    </w:p>
    <w:p>
      <w:pPr>
        <w:pStyle w:val="ListParagraph"/>
        <w:numPr>
          <w:ilvl w:val="0"/>
          <w:numId w:val="4"/>
        </w:numPr>
      </w:pPr>
      <w:r>
        <w:rPr>
          <w:rFonts w:ascii="Figtree" w:hAnsi="Figtree"/>
          <w:b/>
          <w:i w:val="0"/>
          <w:sz w:val="22"/>
        </w:rPr>
        <w:t>Signing workflow:</w:t>
      </w:r>
      <w:r>
        <w:rPr>
          <w:rFonts w:ascii="Figtree" w:hAnsi="Figtree"/>
          <w:b w:val="0"/>
          <w:i w:val="0"/>
          <w:sz w:val="22"/>
        </w:rPr>
        <w:t xml:space="preserve"> Transactions pass through wallet verification, DALP-layer compliance checks, and then external custodian policy evaluation (the two-layer policy model). DALP deterministically gates initiation; the external signer/custodian layer may add provider-specific approval latency.</w:t>
      </w:r>
    </w:p>
    <w:p>
      <w:pPr>
        <w:pStyle w:val="ListParagraph"/>
        <w:numPr>
          <w:ilvl w:val="0"/>
          <w:numId w:val="4"/>
        </w:numPr>
      </w:pPr>
      <w:r>
        <w:rPr>
          <w:rFonts w:ascii="Figtree" w:hAnsi="Figtree"/>
          <w:b/>
          <w:i w:val="0"/>
          <w:sz w:val="22"/>
        </w:rPr>
        <w:t>Settlement finality:</w:t>
      </w:r>
      <w:r>
        <w:rPr>
          <w:rFonts w:ascii="Figtree" w:hAnsi="Figtree"/>
          <w:b w:val="0"/>
          <w:i w:val="0"/>
          <w:sz w:val="22"/>
        </w:rPr>
        <w:t xml:space="preserve"> On-chain settlement provides deterministic finality. For DvP transactions, both asset and cash legs execute atomically.</w:t>
      </w:r>
    </w:p>
    <w:p>
      <w:r>
        <w:rPr>
          <w:rFonts w:ascii="Figtree" w:hAnsi="Figtree"/>
          <w:b/>
          <w:i w:val="0"/>
          <w:sz w:val="22"/>
        </w:rPr>
        <w:t>Atomic DvP/XvP Settlement</w:t>
      </w:r>
    </w:p>
    <w:p>
      <w:r>
        <w:rPr>
          <w:rFonts w:ascii="Figtree" w:hAnsi="Figtree"/>
          <w:b w:val="0"/>
          <w:i w:val="0"/>
          <w:sz w:val="22"/>
        </w:rPr>
        <w:t>The XvP (Exchange-versus-Payment) settlement addon provides:</w:t>
      </w:r>
    </w:p>
    <w:p>
      <w:pPr>
        <w:pStyle w:val="ListParagraph"/>
        <w:numPr>
          <w:ilvl w:val="0"/>
          <w:numId w:val="4"/>
        </w:numPr>
      </w:pPr>
      <w:r>
        <w:rPr>
          <w:rFonts w:ascii="Figtree" w:hAnsi="Figtree"/>
          <w:b w:val="0"/>
          <w:i w:val="0"/>
          <w:sz w:val="22"/>
        </w:rPr>
        <w:t>Multi-party settlement with configurable approval requirements</w:t>
      </w:r>
    </w:p>
    <w:p>
      <w:pPr>
        <w:pStyle w:val="ListParagraph"/>
        <w:numPr>
          <w:ilvl w:val="0"/>
          <w:numId w:val="4"/>
        </w:numPr>
      </w:pPr>
      <w:r>
        <w:rPr>
          <w:rFonts w:ascii="Figtree" w:hAnsi="Figtree"/>
          <w:b w:val="0"/>
          <w:i w:val="0"/>
          <w:sz w:val="22"/>
        </w:rPr>
        <w:t>Hashlock-based cross-chain settlement via HTLC</w:t>
      </w:r>
    </w:p>
    <w:p>
      <w:pPr>
        <w:pStyle w:val="ListParagraph"/>
        <w:numPr>
          <w:ilvl w:val="0"/>
          <w:numId w:val="4"/>
        </w:numPr>
      </w:pPr>
      <w:r>
        <w:rPr>
          <w:rFonts w:ascii="Figtree" w:hAnsi="Figtree"/>
          <w:b w:val="0"/>
          <w:i w:val="0"/>
          <w:sz w:val="22"/>
        </w:rPr>
        <w:t>Same-chain atomic execution for local settlement</w:t>
      </w:r>
    </w:p>
    <w:p>
      <w:pPr>
        <w:pStyle w:val="ListParagraph"/>
        <w:numPr>
          <w:ilvl w:val="0"/>
          <w:numId w:val="4"/>
        </w:numPr>
      </w:pPr>
      <w:r>
        <w:rPr>
          <w:rFonts w:ascii="Figtree" w:hAnsi="Figtree"/>
          <w:b w:val="0"/>
          <w:i w:val="0"/>
          <w:sz w:val="22"/>
        </w:rPr>
        <w:t>Deterministic closure into one of three auditable end-states: executed, cancelled, or expired-withdrawn</w:t>
      </w:r>
    </w:p>
    <w:p>
      <w:pPr>
        <w:pStyle w:val="ListParagraph"/>
        <w:numPr>
          <w:ilvl w:val="0"/>
          <w:numId w:val="4"/>
        </w:numPr>
      </w:pPr>
      <w:r>
        <w:rPr>
          <w:rFonts w:ascii="Figtree" w:hAnsi="Figtree"/>
          <w:b w:val="0"/>
          <w:i w:val="0"/>
          <w:sz w:val="22"/>
        </w:rPr>
        <w:t>Cancellation vote logic for multi-party dispute resolution</w:t>
      </w:r>
    </w:p>
    <w:p>
      <w:pPr>
        <w:pStyle w:val="ListParagraph"/>
        <w:numPr>
          <w:ilvl w:val="0"/>
          <w:numId w:val="4"/>
        </w:numPr>
      </w:pPr>
      <w:r>
        <w:rPr>
          <w:rFonts w:ascii="Figtree" w:hAnsi="Figtree"/>
          <w:b w:val="0"/>
          <w:i w:val="0"/>
          <w:sz w:val="22"/>
        </w:rPr>
        <w:t>Full subgraph projection for settlement state observability</w:t>
      </w:r>
    </w:p>
    <w:p>
      <w:pPr>
        <w:pStyle w:val="H3"/>
        <w:numPr>
          <w:ilvl w:val="2"/>
          <w:numId w:val="1"/>
        </w:numPr>
      </w:pPr>
      <w:r>
        <w:t>Corporate Actions</w:t>
      </w:r>
    </w:p>
    <w:p>
      <w:r>
        <w:rPr>
          <w:rFonts w:ascii="Figtree" w:hAnsi="Figtree"/>
          <w:b w:val="0"/>
          <w:i w:val="0"/>
          <w:sz w:val="22"/>
        </w:rPr>
        <w:t>DALP automates corporate actions across all asset types through its feature system:</w:t>
      </w:r>
    </w:p>
    <w:p>
      <w:pPr>
        <w:pStyle w:val="ListParagraph"/>
        <w:numPr>
          <w:ilvl w:val="0"/>
          <w:numId w:val="4"/>
        </w:numPr>
      </w:pPr>
      <w:r>
        <w:rPr>
          <w:rFonts w:ascii="Figtree" w:hAnsi="Figtree"/>
          <w:b/>
          <w:i w:val="0"/>
          <w:sz w:val="22"/>
        </w:rPr>
        <w:t>Coupon payments:</w:t>
      </w:r>
      <w:r>
        <w:rPr>
          <w:rFonts w:ascii="Figtree" w:hAnsi="Figtree"/>
          <w:b w:val="0"/>
          <w:i w:val="0"/>
          <w:sz w:val="22"/>
        </w:rPr>
        <w:t xml:space="preserve"> Automated coupon calculation and distribution for bonds, executed through the asset-as-treasury capability. The asset contract itself functions as a treasury, with attached features pulling denomination-token payouts directly from the contract.</w:t>
      </w:r>
    </w:p>
    <w:p>
      <w:pPr>
        <w:pStyle w:val="ListParagraph"/>
        <w:numPr>
          <w:ilvl w:val="0"/>
          <w:numId w:val="4"/>
        </w:numPr>
      </w:pPr>
      <w:r>
        <w:rPr>
          <w:rFonts w:ascii="Figtree" w:hAnsi="Figtree"/>
          <w:b/>
          <w:i w:val="0"/>
          <w:sz w:val="22"/>
        </w:rPr>
        <w:t>Dividend distribution:</w:t>
      </w:r>
      <w:r>
        <w:rPr>
          <w:rFonts w:ascii="Figtree" w:hAnsi="Figtree"/>
          <w:b w:val="0"/>
          <w:i w:val="0"/>
          <w:sz w:val="22"/>
        </w:rPr>
        <w:t xml:space="preserve"> Programmable dividend processing for equity tokens with historical balance snapshots (ERC-5805 voting power infrastructure provides checkpoint capability).</w:t>
      </w:r>
    </w:p>
    <w:p>
      <w:pPr>
        <w:pStyle w:val="ListParagraph"/>
        <w:numPr>
          <w:ilvl w:val="0"/>
          <w:numId w:val="4"/>
        </w:numPr>
      </w:pPr>
      <w:r>
        <w:rPr>
          <w:rFonts w:ascii="Figtree" w:hAnsi="Figtree"/>
          <w:b/>
          <w:i w:val="0"/>
          <w:sz w:val="22"/>
        </w:rPr>
        <w:t>Rental distribution:</w:t>
      </w:r>
      <w:r>
        <w:rPr>
          <w:rFonts w:ascii="Figtree" w:hAnsi="Figtree"/>
          <w:b w:val="0"/>
          <w:i w:val="0"/>
          <w:sz w:val="22"/>
        </w:rPr>
        <w:t xml:space="preserve"> Automated rental income distribution for real estate tokens.</w:t>
      </w:r>
    </w:p>
    <w:p>
      <w:pPr>
        <w:pStyle w:val="ListParagraph"/>
        <w:numPr>
          <w:ilvl w:val="0"/>
          <w:numId w:val="4"/>
        </w:numPr>
      </w:pPr>
      <w:r>
        <w:rPr>
          <w:rFonts w:ascii="Figtree" w:hAnsi="Figtree"/>
          <w:b/>
          <w:i w:val="0"/>
          <w:sz w:val="22"/>
        </w:rPr>
        <w:t>Yield distribution:</w:t>
      </w:r>
      <w:r>
        <w:rPr>
          <w:rFonts w:ascii="Figtree" w:hAnsi="Figtree"/>
          <w:b w:val="0"/>
          <w:i w:val="0"/>
          <w:sz w:val="22"/>
        </w:rPr>
        <w:t xml:space="preserve"> Fixed treasury yield features calculate and distribute periodic yield payments through the shared treasury payout library.</w:t>
      </w:r>
    </w:p>
    <w:p>
      <w:pPr>
        <w:pStyle w:val="ListParagraph"/>
        <w:numPr>
          <w:ilvl w:val="0"/>
          <w:numId w:val="4"/>
        </w:numPr>
      </w:pPr>
      <w:r>
        <w:rPr>
          <w:rFonts w:ascii="Figtree" w:hAnsi="Figtree"/>
          <w:b/>
          <w:i w:val="0"/>
          <w:sz w:val="22"/>
        </w:rPr>
        <w:t>Maturity redemption:</w:t>
      </w:r>
      <w:r>
        <w:rPr>
          <w:rFonts w:ascii="Figtree" w:hAnsi="Figtree"/>
          <w:b w:val="0"/>
          <w:i w:val="0"/>
          <w:sz w:val="22"/>
        </w:rPr>
        <w:t xml:space="preserve"> Automated maturity processing with configurable redemption mechanics. The maturity redemption feature burns holder tokens and pays out through the treasury abstraction.</w:t>
      </w:r>
    </w:p>
    <w:p>
      <w:pPr>
        <w:pStyle w:val="H3"/>
        <w:numPr>
          <w:ilvl w:val="2"/>
          <w:numId w:val="1"/>
        </w:numPr>
      </w:pPr>
      <w:r>
        <w:t>Bond Lifecycle Detail</w:t>
      </w:r>
    </w:p>
    <w:p>
      <w:r>
        <w:rPr>
          <w:rFonts w:ascii="Figtree" w:hAnsi="Figtree"/>
          <w:b w:val="0"/>
          <w:i w:val="0"/>
          <w:sz w:val="22"/>
        </w:rPr>
        <w:t>Given the centrality of bonds to UAE capital markets, DALP's bond lifecycle capabilities deserve specific attention: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39"/>
        <w:gridCol w:w="7132"/>
      </w:tblGrid>
      <w:tr>
        <w:trPr>
          <w:trHeight w:val="488"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Lifecycle Stage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DALP Capability</w:t>
            </w:r>
          </w:p>
        </w:tc>
      </w:tr>
      <w:tr>
        <w:trPr>
          <w:trHeight w:val="488" w:hRule="atLeast"/>
        </w:trPr>
        <w:tc>
          <w:tcPr>
            <w:tcW w:type="dxa" w:w="4873"/>
            <w:vAlign w:val="center"/>
          </w:tcPr>
          <w:p>
            <w:pPr>
              <w:spacing w:line="276" w:lineRule="auto" w:before="0" w:after="0"/>
            </w:pPr>
            <w:r/>
            <w:r>
              <w:rPr>
                <w:rFonts w:ascii="Figtree" w:hAnsi="Figtree"/>
                <w:b w:val="0"/>
                <w:i w:val="0"/>
                <w:sz w:val="20"/>
              </w:rPr>
              <w:t>Structuring</w:t>
            </w:r>
          </w:p>
        </w:tc>
        <w:tc>
          <w:tcPr>
            <w:tcW w:type="dxa" w:w="4873"/>
            <w:vAlign w:val="center"/>
          </w:tcPr>
          <w:p>
            <w:pPr>
              <w:spacing w:line="276" w:lineRule="auto" w:before="0" w:after="0"/>
            </w:pPr>
            <w:r/>
            <w:r>
              <w:rPr>
                <w:rFonts w:ascii="Figtree" w:hAnsi="Figtree"/>
                <w:b w:val="0"/>
                <w:i w:val="0"/>
                <w:sz w:val="20"/>
              </w:rPr>
              <w:t>Configurable term sheets: coupon rate, frequency, day-count convention, maturity date, face value, call/put provisions</w:t>
            </w:r>
          </w:p>
        </w:tc>
      </w:tr>
      <w:tr>
        <w:trPr>
          <w:trHeight w:val="488" w:hRule="atLeast"/>
        </w:trPr>
        <w:tc>
          <w:tcPr>
            <w:tcW w:type="dxa" w:w="4873"/>
            <w:vAlign w:val="center"/>
          </w:tcPr>
          <w:p>
            <w:pPr>
              <w:spacing w:line="276" w:lineRule="auto" w:before="0" w:after="0"/>
            </w:pPr>
            <w:r/>
            <w:r>
              <w:rPr>
                <w:rFonts w:ascii="Figtree" w:hAnsi="Figtree"/>
                <w:b w:val="0"/>
                <w:i w:val="0"/>
                <w:sz w:val="20"/>
              </w:rPr>
              <w:t>Primary issuance</w:t>
            </w:r>
          </w:p>
        </w:tc>
        <w:tc>
          <w:tcPr>
            <w:tcW w:type="dxa" w:w="4873"/>
            <w:vAlign w:val="center"/>
          </w:tcPr>
          <w:p>
            <w:pPr>
              <w:spacing w:line="276" w:lineRule="auto" w:before="0" w:after="0"/>
            </w:pPr>
            <w:r/>
            <w:r>
              <w:rPr>
                <w:rFonts w:ascii="Figtree" w:hAnsi="Figtree"/>
                <w:b w:val="0"/>
                <w:i w:val="0"/>
                <w:sz w:val="20"/>
              </w:rPr>
              <w:t>Template-driven deployment with compliance modules, investor eligibility checks, and distribution controls</w:t>
            </w:r>
          </w:p>
        </w:tc>
      </w:tr>
      <w:tr>
        <w:trPr>
          <w:trHeight w:val="488" w:hRule="atLeast"/>
        </w:trPr>
        <w:tc>
          <w:tcPr>
            <w:tcW w:type="dxa" w:w="4873"/>
            <w:vAlign w:val="center"/>
          </w:tcPr>
          <w:p>
            <w:pPr>
              <w:spacing w:line="276" w:lineRule="auto" w:before="0" w:after="0"/>
            </w:pPr>
            <w:r/>
            <w:r>
              <w:rPr>
                <w:rFonts w:ascii="Figtree" w:hAnsi="Figtree"/>
                <w:b w:val="0"/>
                <w:i w:val="0"/>
                <w:sz w:val="20"/>
              </w:rPr>
              <w:t>Coupon processing</w:t>
            </w:r>
          </w:p>
        </w:tc>
        <w:tc>
          <w:tcPr>
            <w:tcW w:type="dxa" w:w="4873"/>
            <w:vAlign w:val="center"/>
          </w:tcPr>
          <w:p>
            <w:pPr>
              <w:spacing w:line="276" w:lineRule="auto" w:before="0" w:after="0"/>
            </w:pPr>
            <w:r/>
            <w:r>
              <w:rPr>
                <w:rFonts w:ascii="Figtree" w:hAnsi="Figtree"/>
                <w:b w:val="0"/>
                <w:i w:val="0"/>
                <w:sz w:val="20"/>
              </w:rPr>
              <w:t>Automated coupon calculation and distribution via treasury payout system</w:t>
            </w:r>
          </w:p>
        </w:tc>
      </w:tr>
      <w:tr>
        <w:trPr>
          <w:trHeight w:val="488" w:hRule="atLeast"/>
        </w:trPr>
        <w:tc>
          <w:tcPr>
            <w:tcW w:type="dxa" w:w="4873"/>
            <w:vAlign w:val="center"/>
          </w:tcPr>
          <w:p>
            <w:pPr>
              <w:spacing w:line="276" w:lineRule="auto" w:before="0" w:after="0"/>
            </w:pPr>
            <w:r/>
            <w:r>
              <w:rPr>
                <w:rFonts w:ascii="Figtree" w:hAnsi="Figtree"/>
                <w:b w:val="0"/>
                <w:i w:val="0"/>
                <w:sz w:val="20"/>
              </w:rPr>
              <w:t>Secondary transfer</w:t>
            </w:r>
          </w:p>
        </w:tc>
        <w:tc>
          <w:tcPr>
            <w:tcW w:type="dxa" w:w="4873"/>
            <w:vAlign w:val="center"/>
          </w:tcPr>
          <w:p>
            <w:pPr>
              <w:spacing w:line="276" w:lineRule="auto" w:before="0" w:after="0"/>
            </w:pPr>
            <w:r/>
            <w:r>
              <w:rPr>
                <w:rFonts w:ascii="Figtree" w:hAnsi="Figtree"/>
                <w:b w:val="0"/>
                <w:i w:val="0"/>
                <w:sz w:val="20"/>
              </w:rPr>
              <w:t>Compliance-gated transfers with ex-ante validation, atomic DvP settlement</w:t>
            </w:r>
          </w:p>
        </w:tc>
      </w:tr>
      <w:tr>
        <w:trPr>
          <w:trHeight w:val="488" w:hRule="atLeast"/>
        </w:trPr>
        <w:tc>
          <w:tcPr>
            <w:tcW w:type="dxa" w:w="4873"/>
            <w:vAlign w:val="center"/>
          </w:tcPr>
          <w:p>
            <w:pPr>
              <w:spacing w:line="276" w:lineRule="auto" w:before="0" w:after="0"/>
            </w:pPr>
            <w:r/>
            <w:r>
              <w:rPr>
                <w:rFonts w:ascii="Figtree" w:hAnsi="Figtree"/>
                <w:b w:val="0"/>
                <w:i w:val="0"/>
                <w:sz w:val="20"/>
              </w:rPr>
              <w:t>Corporate actions</w:t>
            </w:r>
          </w:p>
        </w:tc>
        <w:tc>
          <w:tcPr>
            <w:tcW w:type="dxa" w:w="4873"/>
            <w:vAlign w:val="center"/>
          </w:tcPr>
          <w:p>
            <w:pPr>
              <w:spacing w:line="276" w:lineRule="auto" w:before="0" w:after="0"/>
            </w:pPr>
            <w:r/>
            <w:r>
              <w:rPr>
                <w:rFonts w:ascii="Figtree" w:hAnsi="Figtree"/>
                <w:b w:val="0"/>
                <w:i w:val="0"/>
                <w:sz w:val="20"/>
              </w:rPr>
              <w:t>Call/put option exercise, coupon rate adjustments, notification processing</w:t>
            </w:r>
          </w:p>
        </w:tc>
      </w:tr>
      <w:tr>
        <w:trPr>
          <w:trHeight w:val="488" w:hRule="atLeast"/>
        </w:trPr>
        <w:tc>
          <w:tcPr>
            <w:tcW w:type="dxa" w:w="4873"/>
            <w:vAlign w:val="center"/>
          </w:tcPr>
          <w:p>
            <w:pPr>
              <w:spacing w:line="276" w:lineRule="auto" w:before="0" w:after="0"/>
            </w:pPr>
            <w:r/>
            <w:r>
              <w:rPr>
                <w:rFonts w:ascii="Figtree" w:hAnsi="Figtree"/>
                <w:b w:val="0"/>
                <w:i w:val="0"/>
                <w:sz w:val="20"/>
              </w:rPr>
              <w:t>Maturity and redemption</w:t>
            </w:r>
          </w:p>
        </w:tc>
        <w:tc>
          <w:tcPr>
            <w:tcW w:type="dxa" w:w="4873"/>
            <w:vAlign w:val="center"/>
          </w:tcPr>
          <w:p>
            <w:pPr>
              <w:spacing w:line="276" w:lineRule="auto" w:before="0" w:after="0"/>
            </w:pPr>
            <w:r/>
            <w:r>
              <w:rPr>
                <w:rFonts w:ascii="Figtree" w:hAnsi="Figtree"/>
                <w:b w:val="0"/>
                <w:i w:val="0"/>
                <w:sz w:val="20"/>
              </w:rPr>
              <w:t>Automated maturity detection, redemption calculation, principal return to holders</w:t>
            </w:r>
          </w:p>
        </w:tc>
      </w:tr>
    </w:tbl>
    <w:p>
      <w:pPr>
        <w:spacing w:before="0" w:after="0" w:line="120" w:lineRule="exact"/>
      </w:pPr>
    </w:p>
    <w:p>
      <w:r>
        <w:rPr>
          <w:rFonts w:ascii="Figtree" w:hAnsi="Figtree"/>
          <w:b w:val="0"/>
          <w:i w:val="0"/>
          <w:sz w:val="22"/>
        </w:rPr>
        <w:t>For Mashreq Bank's sukuk operations, DALP's configurable token architecture enables Shariah-compliant structures through custom feature composition. Profit-sharing distributions, asset-backed structures, and ijara (lease-based) mechanics can be modeled using the SMART extension system without custom smart contract development.</w:t>
      </w:r>
    </w:p>
    <w:p>
      <w:pPr>
        <w:pStyle w:val="H3"/>
        <w:numPr>
          <w:ilvl w:val="2"/>
          <w:numId w:val="1"/>
        </w:numPr>
      </w:pPr>
      <w:r>
        <w:t>Deposit Token and Stablecoin Operations</w:t>
      </w:r>
    </w:p>
    <w:p>
      <w:r>
        <w:rPr>
          <w:rFonts w:ascii="Figtree" w:hAnsi="Figtree"/>
          <w:b/>
          <w:i w:val="0"/>
          <w:sz w:val="22"/>
        </w:rPr>
        <w:t>Deposit Tokens:</w:t>
      </w:r>
    </w:p>
    <w:p>
      <w:pPr>
        <w:pStyle w:val="ListParagraph"/>
        <w:numPr>
          <w:ilvl w:val="0"/>
          <w:numId w:val="4"/>
        </w:numPr>
      </w:pPr>
      <w:r>
        <w:rPr>
          <w:rFonts w:ascii="Figtree" w:hAnsi="Figtree"/>
          <w:b w:val="0"/>
          <w:i w:val="0"/>
          <w:sz w:val="22"/>
        </w:rPr>
        <w:t>Programmable deposit tokens with configurable interest rates, maturity schedules, and withdrawal rules</w:t>
      </w:r>
    </w:p>
    <w:p>
      <w:pPr>
        <w:pStyle w:val="ListParagraph"/>
        <w:numPr>
          <w:ilvl w:val="0"/>
          <w:numId w:val="4"/>
        </w:numPr>
      </w:pPr>
      <w:r>
        <w:rPr>
          <w:rFonts w:ascii="Figtree" w:hAnsi="Figtree"/>
          <w:b w:val="0"/>
          <w:i w:val="0"/>
          <w:sz w:val="22"/>
        </w:rPr>
        <w:t>Bridge functionality for controlled integration with external blockchain networks</w:t>
      </w:r>
    </w:p>
    <w:p>
      <w:pPr>
        <w:pStyle w:val="ListParagraph"/>
        <w:numPr>
          <w:ilvl w:val="0"/>
          <w:numId w:val="4"/>
        </w:numPr>
      </w:pPr>
      <w:r>
        <w:rPr>
          <w:rFonts w:ascii="Figtree" w:hAnsi="Figtree"/>
          <w:b w:val="0"/>
          <w:i w:val="0"/>
          <w:sz w:val="22"/>
        </w:rPr>
        <w:t>Real-time reserve monitoring and liquidity management controls</w:t>
      </w:r>
    </w:p>
    <w:p>
      <w:pPr>
        <w:pStyle w:val="ListParagraph"/>
        <w:numPr>
          <w:ilvl w:val="0"/>
          <w:numId w:val="4"/>
        </w:numPr>
      </w:pPr>
      <w:r>
        <w:rPr>
          <w:rFonts w:ascii="Figtree" w:hAnsi="Figtree"/>
          <w:b w:val="0"/>
          <w:i w:val="0"/>
          <w:sz w:val="22"/>
        </w:rPr>
        <w:t>Regulatory oversight dashboards for supervisory visibility</w:t>
      </w:r>
    </w:p>
    <w:p>
      <w:r>
        <w:rPr>
          <w:rFonts w:ascii="Figtree" w:hAnsi="Figtree"/>
          <w:b/>
          <w:i w:val="0"/>
          <w:sz w:val="22"/>
        </w:rPr>
        <w:t>Stablecoins:</w:t>
      </w:r>
    </w:p>
    <w:p>
      <w:pPr>
        <w:pStyle w:val="ListParagraph"/>
        <w:numPr>
          <w:ilvl w:val="0"/>
          <w:numId w:val="4"/>
        </w:numPr>
      </w:pPr>
      <w:r>
        <w:rPr>
          <w:rFonts w:ascii="Figtree" w:hAnsi="Figtree"/>
          <w:b w:val="0"/>
          <w:i w:val="0"/>
          <w:sz w:val="22"/>
        </w:rPr>
        <w:t>Fully compliant stablecoin issuance with ERC-3643 identity standards</w:t>
      </w:r>
    </w:p>
    <w:p>
      <w:pPr>
        <w:pStyle w:val="ListParagraph"/>
        <w:numPr>
          <w:ilvl w:val="0"/>
          <w:numId w:val="4"/>
        </w:numPr>
      </w:pPr>
      <w:r>
        <w:rPr>
          <w:rFonts w:ascii="Figtree" w:hAnsi="Figtree"/>
          <w:b w:val="0"/>
          <w:i w:val="0"/>
          <w:sz w:val="22"/>
        </w:rPr>
        <w:t>Policy controls for transaction limits, geography restrictions, and transaction types</w:t>
      </w:r>
    </w:p>
    <w:p>
      <w:pPr>
        <w:pStyle w:val="ListParagraph"/>
        <w:numPr>
          <w:ilvl w:val="0"/>
          <w:numId w:val="4"/>
        </w:numPr>
      </w:pPr>
      <w:r>
        <w:rPr>
          <w:rFonts w:ascii="Figtree" w:hAnsi="Figtree"/>
          <w:b w:val="0"/>
          <w:i w:val="0"/>
          <w:sz w:val="22"/>
        </w:rPr>
        <w:t>Multi-currency support with configurable minting and burning authorities</w:t>
      </w:r>
    </w:p>
    <w:p>
      <w:pPr>
        <w:pStyle w:val="ListParagraph"/>
        <w:numPr>
          <w:ilvl w:val="0"/>
          <w:numId w:val="4"/>
        </w:numPr>
      </w:pPr>
      <w:r>
        <w:rPr>
          <w:rFonts w:ascii="Figtree" w:hAnsi="Figtree"/>
          <w:b w:val="0"/>
          <w:i w:val="0"/>
          <w:sz w:val="22"/>
        </w:rPr>
        <w:t>Reserve monitoring integration points for attestation workflows</w:t>
      </w:r>
    </w:p>
    <w:p>
      <w:r>
        <w:br w:type="page"/>
      </w:r>
    </w:p>
    <w:p>
      <w:pPr>
        <w:pStyle w:val="H2"/>
        <w:numPr>
          <w:ilvl w:val="1"/>
          <w:numId w:val="1"/>
        </w:numPr>
      </w:pPr>
      <w:r>
        <w:t>6. Compliance and Regulatory Framework</w:t>
      </w:r>
    </w:p>
    <w:p>
      <w:pPr>
        <w:pStyle w:val="H3"/>
        <w:numPr>
          <w:ilvl w:val="2"/>
          <w:numId w:val="1"/>
        </w:numPr>
      </w:pPr>
      <w:r>
        <w:t>Three-Tier Compliance Architecture</w:t>
      </w:r>
    </w:p>
    <w:p>
      <w:r>
        <w:rPr>
          <w:rFonts w:ascii="Figtree" w:hAnsi="Figtree"/>
          <w:b w:val="0"/>
          <w:i w:val="0"/>
          <w:sz w:val="22"/>
        </w:rPr>
        <w:t>DALP implements compliance enforcement at three distinct levels, each building on the one below:</w:t>
      </w:r>
    </w:p>
    <w:p>
      <w:r>
        <w:rPr>
          <w:rFonts w:ascii="Figtree" w:hAnsi="Figtree"/>
          <w:b/>
          <w:i w:val="0"/>
          <w:sz w:val="22"/>
        </w:rPr>
        <w:t>Tier 1: Global Compliance</w:t>
      </w:r>
    </w:p>
    <w:p>
      <w:r>
        <w:rPr>
          <w:rFonts w:ascii="Figtree" w:hAnsi="Figtree"/>
          <w:b w:val="0"/>
          <w:i w:val="0"/>
          <w:sz w:val="22"/>
        </w:rPr>
        <w:t>Platform-wide compliance rules that apply across all assets and transactions. The Global Compliance contract manages a system-wide bypass list, registers global compliance modules, and binds token-level compliance contracts. This tier handles platform-level policy that transcends individual asset configurations, such as sanctioned-entity blocking or platform-wide transaction velocity limits.</w:t>
      </w:r>
    </w:p>
    <w:p>
      <w:r>
        <w:rPr>
          <w:rFonts w:ascii="Figtree" w:hAnsi="Figtree"/>
          <w:b/>
          <w:i w:val="0"/>
          <w:sz w:val="22"/>
        </w:rPr>
        <w:t>Tier 2: Token Compliance</w:t>
      </w:r>
    </w:p>
    <w:p>
      <w:r>
        <w:rPr>
          <w:rFonts w:ascii="Figtree" w:hAnsi="Figtree"/>
          <w:b w:val="0"/>
          <w:i w:val="0"/>
          <w:sz w:val="22"/>
        </w:rPr>
        <w:t>Per-asset compliance hooks that enforce asset-specific rules. Each token deployed through DALP has its own compliance contract with modules configured for that specific instrument. Bond compliance modules may differ significantly from stablecoin compliance modules. Token compliance checks cascade through global compliance for bypass evaluation before applying asset-specific rules.</w:t>
      </w:r>
    </w:p>
    <w:p>
      <w:r>
        <w:rPr>
          <w:rFonts w:ascii="Figtree" w:hAnsi="Figtree"/>
          <w:b/>
          <w:i w:val="0"/>
          <w:sz w:val="22"/>
        </w:rPr>
        <w:t>Tier 3: Custodian Compliance</w:t>
      </w:r>
    </w:p>
    <w:p>
      <w:r>
        <w:rPr>
          <w:rFonts w:ascii="Figtree" w:hAnsi="Figtree"/>
          <w:b w:val="0"/>
          <w:i w:val="0"/>
          <w:sz w:val="22"/>
        </w:rPr>
        <w:t>External custody providers (Fireblocks, DFNS) enforce their own transaction authorization policies. DALP's two-layer policy model recognizes that regulated institutions operate with both platform-native compliance and custodian-level governance. Transaction execution bifurcates after DALP-side checks: the external signer/custodian layer may add provider-specific asynchronous approval or manual intervention before broadcast finality.</w:t>
      </w:r>
    </w:p>
    <w:p>
      <w:pPr>
        <w:pStyle w:val="H3"/>
        <w:numPr>
          <w:ilvl w:val="2"/>
          <w:numId w:val="1"/>
        </w:numPr>
      </w:pPr>
      <w:r>
        <w:t>18 Compliance Module Types</w:t>
      </w:r>
    </w:p>
    <w:p>
      <w:r>
        <w:rPr>
          <w:rFonts w:ascii="Figtree" w:hAnsi="Figtree"/>
          <w:b w:val="0"/>
          <w:i w:val="0"/>
          <w:sz w:val="22"/>
        </w:rPr>
        <w:t>DALP's compliance validation currently supports specific module type IDs in a discriminated-union schema. Each module type has deterministic encoding, with unknown module types rejected via hard error rather than permissive fallback:</w:t>
      </w:r>
    </w:p>
    <w:p>
      <w:r>
        <w:rPr>
          <w:rFonts w:ascii="Figtree" w:hAnsi="Figtree"/>
          <w:b/>
          <w:i w:val="0"/>
          <w:sz w:val="22"/>
        </w:rPr>
        <w:t>Eligibility Modules:</w:t>
      </w:r>
    </w:p>
    <w:p>
      <w:pPr>
        <w:pStyle w:val="ListParagraph"/>
        <w:numPr>
          <w:ilvl w:val="0"/>
          <w:numId w:val="9"/>
        </w:numPr>
      </w:pPr>
      <w:r>
        <w:rPr>
          <w:rFonts w:ascii="Figtree" w:hAnsi="Figtree"/>
          <w:b/>
          <w:i w:val="0"/>
          <w:sz w:val="22"/>
        </w:rPr>
        <w:t>Country Allow List:</w:t>
      </w:r>
      <w:r>
        <w:rPr>
          <w:rFonts w:ascii="Figtree" w:hAnsi="Figtree"/>
          <w:b w:val="0"/>
          <w:i w:val="0"/>
          <w:sz w:val="22"/>
        </w:rPr>
        <w:t xml:space="preserve"> Restrict transfers to investors domiciled in approved countries. Directly supports CBUAE requirements for UAE-resident investor eligibility.</w:t>
      </w:r>
    </w:p>
    <w:p>
      <w:pPr>
        <w:pStyle w:val="ListParagraph"/>
        <w:numPr>
          <w:ilvl w:val="0"/>
          <w:numId w:val="9"/>
        </w:numPr>
      </w:pPr>
      <w:r>
        <w:rPr>
          <w:rFonts w:ascii="Figtree" w:hAnsi="Figtree"/>
          <w:b/>
          <w:i w:val="0"/>
          <w:sz w:val="22"/>
        </w:rPr>
        <w:t>Country Block List:</w:t>
      </w:r>
      <w:r>
        <w:rPr>
          <w:rFonts w:ascii="Figtree" w:hAnsi="Figtree"/>
          <w:b w:val="0"/>
          <w:i w:val="0"/>
          <w:sz w:val="22"/>
        </w:rPr>
        <w:t xml:space="preserve"> Prevent transfers to investors in sanctioned or restricted jurisdictions. Aligns with UAE Federal sanctions requirements and VARA's geographic restrictions.</w:t>
      </w:r>
    </w:p>
    <w:p>
      <w:pPr>
        <w:pStyle w:val="ListParagraph"/>
        <w:numPr>
          <w:ilvl w:val="0"/>
          <w:numId w:val="9"/>
        </w:numPr>
      </w:pPr>
      <w:r>
        <w:rPr>
          <w:rFonts w:ascii="Figtree" w:hAnsi="Figtree"/>
          <w:b/>
          <w:i w:val="0"/>
          <w:sz w:val="22"/>
        </w:rPr>
        <w:t>Investor Accreditation:</w:t>
      </w:r>
      <w:r>
        <w:rPr>
          <w:rFonts w:ascii="Figtree" w:hAnsi="Figtree"/>
          <w:b w:val="0"/>
          <w:i w:val="0"/>
          <w:sz w:val="22"/>
        </w:rPr>
        <w:t xml:space="preserve"> Verify that investors hold required accreditation claims before transfer. Supports DFSA qualified investor requirements and SCA retail/professional investor classification.</w:t>
      </w:r>
    </w:p>
    <w:p>
      <w:r>
        <w:rPr>
          <w:rFonts w:ascii="Figtree" w:hAnsi="Figtree"/>
          <w:b/>
          <w:i w:val="0"/>
          <w:sz w:val="22"/>
        </w:rPr>
        <w:t>Restriction Modules:</w:t>
      </w:r>
    </w:p>
    <w:p>
      <w:pPr>
        <w:pStyle w:val="ListParagraph"/>
        <w:numPr>
          <w:ilvl w:val="0"/>
          <w:numId w:val="10"/>
        </w:numPr>
      </w:pPr>
      <w:r>
        <w:rPr>
          <w:rFonts w:ascii="Figtree" w:hAnsi="Figtree"/>
          <w:b/>
          <w:i w:val="0"/>
          <w:sz w:val="22"/>
        </w:rPr>
        <w:t>Maximum Holder Count:</w:t>
      </w:r>
      <w:r>
        <w:rPr>
          <w:rFonts w:ascii="Figtree" w:hAnsi="Figtree"/>
          <w:b w:val="0"/>
          <w:i w:val="0"/>
          <w:sz w:val="22"/>
        </w:rPr>
        <w:t xml:space="preserve"> Cap the number of distinct holders for an asset. Supports private placement exemptions under DFSA rules.</w:t>
      </w:r>
    </w:p>
    <w:p>
      <w:pPr>
        <w:pStyle w:val="ListParagraph"/>
        <w:numPr>
          <w:ilvl w:val="0"/>
          <w:numId w:val="10"/>
        </w:numPr>
      </w:pPr>
      <w:r>
        <w:rPr>
          <w:rFonts w:ascii="Figtree" w:hAnsi="Figtree"/>
          <w:b/>
          <w:i w:val="0"/>
          <w:sz w:val="22"/>
        </w:rPr>
        <w:t>Conditional Transfer Restrictions:</w:t>
      </w:r>
      <w:r>
        <w:rPr>
          <w:rFonts w:ascii="Figtree" w:hAnsi="Figtree"/>
          <w:b w:val="0"/>
          <w:i w:val="0"/>
          <w:sz w:val="22"/>
        </w:rPr>
        <w:t xml:space="preserve"> Apply transfer restrictions based on dynamic conditions evaluated at transfer time.</w:t>
      </w:r>
    </w:p>
    <w:p>
      <w:pPr>
        <w:pStyle w:val="ListParagraph"/>
        <w:numPr>
          <w:ilvl w:val="0"/>
          <w:numId w:val="10"/>
        </w:numPr>
      </w:pPr>
      <w:r>
        <w:rPr>
          <w:rFonts w:ascii="Figtree" w:hAnsi="Figtree"/>
          <w:b/>
          <w:i w:val="0"/>
          <w:sz w:val="22"/>
        </w:rPr>
        <w:t>Address-Specific Restrictions:</w:t>
      </w:r>
      <w:r>
        <w:rPr>
          <w:rFonts w:ascii="Figtree" w:hAnsi="Figtree"/>
          <w:b w:val="0"/>
          <w:i w:val="0"/>
          <w:sz w:val="22"/>
        </w:rPr>
        <w:t xml:space="preserve"> Block or allow specific wallet addresses, supporting freeze orders, court orders, or regulatory directives.</w:t>
      </w:r>
    </w:p>
    <w:p>
      <w:r>
        <w:rPr>
          <w:rFonts w:ascii="Figtree" w:hAnsi="Figtree"/>
          <w:b/>
          <w:i w:val="0"/>
          <w:sz w:val="22"/>
        </w:rPr>
        <w:t>Transfer Control Modules:</w:t>
      </w:r>
    </w:p>
    <w:p>
      <w:pPr>
        <w:pStyle w:val="ListParagraph"/>
        <w:numPr>
          <w:ilvl w:val="0"/>
          <w:numId w:val="11"/>
        </w:numPr>
      </w:pPr>
      <w:r>
        <w:rPr>
          <w:rFonts w:ascii="Figtree" w:hAnsi="Figtree"/>
          <w:b/>
          <w:i w:val="0"/>
          <w:sz w:val="22"/>
        </w:rPr>
        <w:t>Transfer Amount Limits:</w:t>
      </w:r>
      <w:r>
        <w:rPr>
          <w:rFonts w:ascii="Figtree" w:hAnsi="Figtree"/>
          <w:b w:val="0"/>
          <w:i w:val="0"/>
          <w:sz w:val="22"/>
        </w:rPr>
        <w:t xml:space="preserve"> Enforce minimum and maximum transfer sizes. Supports CBUAE transaction reporting thresholds and VARA's value transfer rules.</w:t>
      </w:r>
    </w:p>
    <w:p>
      <w:pPr>
        <w:pStyle w:val="ListParagraph"/>
        <w:numPr>
          <w:ilvl w:val="0"/>
          <w:numId w:val="11"/>
        </w:numPr>
      </w:pPr>
      <w:r>
        <w:rPr>
          <w:rFonts w:ascii="Figtree" w:hAnsi="Figtree"/>
          <w:b/>
          <w:i w:val="0"/>
          <w:sz w:val="22"/>
        </w:rPr>
        <w:t>Maximum Balance Restrictions:</w:t>
      </w:r>
      <w:r>
        <w:rPr>
          <w:rFonts w:ascii="Figtree" w:hAnsi="Figtree"/>
          <w:b w:val="0"/>
          <w:i w:val="0"/>
          <w:sz w:val="22"/>
        </w:rPr>
        <w:t xml:space="preserve"> Prevent concentration risk by capping individual holder positions.</w:t>
      </w:r>
    </w:p>
    <w:p>
      <w:pPr>
        <w:pStyle w:val="ListParagraph"/>
        <w:numPr>
          <w:ilvl w:val="0"/>
          <w:numId w:val="11"/>
        </w:numPr>
      </w:pPr>
      <w:r>
        <w:rPr>
          <w:rFonts w:ascii="Figtree" w:hAnsi="Figtree"/>
          <w:b/>
          <w:i w:val="0"/>
          <w:sz w:val="22"/>
        </w:rPr>
        <w:t>Transfer Policy:</w:t>
      </w:r>
      <w:r>
        <w:rPr>
          <w:rFonts w:ascii="Figtree" w:hAnsi="Figtree"/>
          <w:b w:val="0"/>
          <w:i w:val="0"/>
          <w:sz w:val="22"/>
        </w:rPr>
        <w:t xml:space="preserve"> Comprehensive transfer rule evaluation based on actor, counterparty, and context.</w:t>
      </w:r>
    </w:p>
    <w:p>
      <w:r>
        <w:rPr>
          <w:rFonts w:ascii="Figtree" w:hAnsi="Figtree"/>
          <w:b/>
          <w:i w:val="0"/>
          <w:sz w:val="22"/>
        </w:rPr>
        <w:t>Issuance and Supply Modules:</w:t>
      </w:r>
    </w:p>
    <w:p>
      <w:pPr>
        <w:pStyle w:val="ListParagraph"/>
        <w:numPr>
          <w:ilvl w:val="0"/>
          <w:numId w:val="12"/>
        </w:numPr>
      </w:pPr>
      <w:r>
        <w:rPr>
          <w:rFonts w:ascii="Figtree" w:hAnsi="Figtree"/>
          <w:b/>
          <w:i w:val="0"/>
          <w:sz w:val="22"/>
        </w:rPr>
        <w:t>Supply Cap Enforcement:</w:t>
      </w:r>
      <w:r>
        <w:rPr>
          <w:rFonts w:ascii="Figtree" w:hAnsi="Figtree"/>
          <w:b w:val="0"/>
          <w:i w:val="0"/>
          <w:sz w:val="22"/>
        </w:rPr>
        <w:t xml:space="preserve"> Hard limit on total token supply, enforced at the smart contract layer.</w:t>
      </w:r>
    </w:p>
    <w:p>
      <w:pPr>
        <w:pStyle w:val="ListParagraph"/>
        <w:numPr>
          <w:ilvl w:val="0"/>
          <w:numId w:val="12"/>
        </w:numPr>
      </w:pPr>
      <w:r>
        <w:rPr>
          <w:rFonts w:ascii="Figtree" w:hAnsi="Figtree"/>
          <w:b/>
          <w:i w:val="0"/>
          <w:sz w:val="22"/>
        </w:rPr>
        <w:t>Minting Restrictions:</w:t>
      </w:r>
      <w:r>
        <w:rPr>
          <w:rFonts w:ascii="Figtree" w:hAnsi="Figtree"/>
          <w:b w:val="0"/>
          <w:i w:val="0"/>
          <w:sz w:val="22"/>
        </w:rPr>
        <w:t xml:space="preserve"> Control which roles and under what conditions new tokens can be minted.</w:t>
      </w:r>
    </w:p>
    <w:p>
      <w:pPr>
        <w:pStyle w:val="ListParagraph"/>
        <w:numPr>
          <w:ilvl w:val="0"/>
          <w:numId w:val="12"/>
        </w:numPr>
      </w:pPr>
      <w:r>
        <w:rPr>
          <w:rFonts w:ascii="Figtree" w:hAnsi="Figtree"/>
          <w:b/>
          <w:i w:val="0"/>
          <w:sz w:val="22"/>
        </w:rPr>
        <w:t>Capped Supply:</w:t>
      </w:r>
      <w:r>
        <w:rPr>
          <w:rFonts w:ascii="Figtree" w:hAnsi="Figtree"/>
          <w:b w:val="0"/>
          <w:i w:val="0"/>
          <w:sz w:val="22"/>
        </w:rPr>
        <w:t xml:space="preserve"> Dynamic supply management with configurable caps and governance-controlled adjustments.</w:t>
      </w:r>
    </w:p>
    <w:p>
      <w:r>
        <w:rPr>
          <w:rFonts w:ascii="Figtree" w:hAnsi="Figtree"/>
          <w:b/>
          <w:i w:val="0"/>
          <w:sz w:val="22"/>
        </w:rPr>
        <w:t>Time-Based Rule Modules:</w:t>
      </w:r>
    </w:p>
    <w:p>
      <w:pPr>
        <w:pStyle w:val="ListParagraph"/>
        <w:numPr>
          <w:ilvl w:val="0"/>
          <w:numId w:val="13"/>
        </w:numPr>
      </w:pPr>
      <w:r>
        <w:rPr>
          <w:rFonts w:ascii="Figtree" w:hAnsi="Figtree"/>
          <w:b/>
          <w:i w:val="0"/>
          <w:sz w:val="22"/>
        </w:rPr>
        <w:t>Holding Period Enforcement:</w:t>
      </w:r>
      <w:r>
        <w:rPr>
          <w:rFonts w:ascii="Figtree" w:hAnsi="Figtree"/>
          <w:b w:val="0"/>
          <w:i w:val="0"/>
          <w:sz w:val="22"/>
        </w:rPr>
        <w:t xml:space="preserve"> Require investors to hold tokens for a minimum period before transfer. Supports lock-up requirements under DFSA fund regulations.</w:t>
      </w:r>
    </w:p>
    <w:p>
      <w:pPr>
        <w:pStyle w:val="ListParagraph"/>
        <w:numPr>
          <w:ilvl w:val="0"/>
          <w:numId w:val="13"/>
        </w:numPr>
      </w:pPr>
      <w:r>
        <w:rPr>
          <w:rFonts w:ascii="Figtree" w:hAnsi="Figtree"/>
          <w:b/>
          <w:i w:val="0"/>
          <w:sz w:val="22"/>
        </w:rPr>
        <w:t>Lock-Up Windows:</w:t>
      </w:r>
      <w:r>
        <w:rPr>
          <w:rFonts w:ascii="Figtree" w:hAnsi="Figtree"/>
          <w:b w:val="0"/>
          <w:i w:val="0"/>
          <w:sz w:val="22"/>
        </w:rPr>
        <w:t xml:space="preserve"> Time-locked restrictions on transfers during specific periods, such as pre-IPO lock-ups or regulatory cooling periods.</w:t>
      </w:r>
    </w:p>
    <w:p>
      <w:pPr>
        <w:pStyle w:val="ListParagraph"/>
        <w:numPr>
          <w:ilvl w:val="0"/>
          <w:numId w:val="13"/>
        </w:numPr>
      </w:pPr>
      <w:r>
        <w:rPr>
          <w:rFonts w:ascii="Figtree" w:hAnsi="Figtree"/>
          <w:b/>
          <w:i w:val="0"/>
          <w:sz w:val="22"/>
        </w:rPr>
        <w:t>Time-Restricted Trading:</w:t>
      </w:r>
      <w:r>
        <w:rPr>
          <w:rFonts w:ascii="Figtree" w:hAnsi="Figtree"/>
          <w:b w:val="0"/>
          <w:i w:val="0"/>
          <w:sz w:val="22"/>
        </w:rPr>
        <w:t xml:space="preserve"> Define windows during which transfers are permitted, supporting market-hours restrictions.</w:t>
      </w:r>
    </w:p>
    <w:p>
      <w:r>
        <w:rPr>
          <w:rFonts w:ascii="Figtree" w:hAnsi="Figtree"/>
          <w:b/>
          <w:i w:val="0"/>
          <w:sz w:val="22"/>
        </w:rPr>
        <w:t>Settlement and Collateral Modules:</w:t>
      </w:r>
    </w:p>
    <w:p>
      <w:pPr>
        <w:pStyle w:val="ListParagraph"/>
        <w:numPr>
          <w:ilvl w:val="0"/>
          <w:numId w:val="14"/>
        </w:numPr>
      </w:pPr>
      <w:r>
        <w:rPr>
          <w:rFonts w:ascii="Figtree" w:hAnsi="Figtree"/>
          <w:b/>
          <w:i w:val="0"/>
          <w:sz w:val="22"/>
        </w:rPr>
        <w:t>Collateral Backing Verification:</w:t>
      </w:r>
      <w:r>
        <w:rPr>
          <w:rFonts w:ascii="Figtree" w:hAnsi="Figtree"/>
          <w:b w:val="0"/>
          <w:i w:val="0"/>
          <w:sz w:val="22"/>
        </w:rPr>
        <w:t xml:space="preserve"> Verify that stablecoin or deposit token issuance is backed by sufficient collateral.</w:t>
      </w:r>
    </w:p>
    <w:p>
      <w:pPr>
        <w:pStyle w:val="ListParagraph"/>
        <w:numPr>
          <w:ilvl w:val="0"/>
          <w:numId w:val="14"/>
        </w:numPr>
      </w:pPr>
      <w:r>
        <w:rPr>
          <w:rFonts w:ascii="Figtree" w:hAnsi="Figtree"/>
          <w:b/>
          <w:i w:val="0"/>
          <w:sz w:val="22"/>
        </w:rPr>
        <w:t>Settlement Condition Enforcement:</w:t>
      </w:r>
      <w:r>
        <w:rPr>
          <w:rFonts w:ascii="Figtree" w:hAnsi="Figtree"/>
          <w:b w:val="0"/>
          <w:i w:val="0"/>
          <w:sz w:val="22"/>
        </w:rPr>
        <w:t xml:space="preserve"> Require specific conditions to be met before settlement can proceed.</w:t>
      </w:r>
    </w:p>
    <w:p>
      <w:pPr>
        <w:pStyle w:val="ListParagraph"/>
        <w:numPr>
          <w:ilvl w:val="0"/>
          <w:numId w:val="14"/>
        </w:numPr>
      </w:pPr>
      <w:r>
        <w:rPr>
          <w:rFonts w:ascii="Figtree" w:hAnsi="Figtree"/>
          <w:b/>
          <w:i w:val="0"/>
          <w:sz w:val="22"/>
        </w:rPr>
        <w:t>Transaction Fee Enforcement:</w:t>
      </w:r>
      <w:r>
        <w:rPr>
          <w:rFonts w:ascii="Figtree" w:hAnsi="Figtree"/>
          <w:b w:val="0"/>
          <w:i w:val="0"/>
          <w:sz w:val="22"/>
        </w:rPr>
        <w:t xml:space="preserve"> Apply and collect transaction fees as part of transfer execution.</w:t>
      </w:r>
    </w:p>
    <w:p>
      <w:pPr>
        <w:pStyle w:val="H3"/>
        <w:numPr>
          <w:ilvl w:val="2"/>
          <w:numId w:val="1"/>
        </w:numPr>
      </w:pPr>
      <w:r>
        <w:t>UAE Regulatory Alignment</w:t>
      </w:r>
    </w:p>
    <w:p>
      <w:r>
        <w:rPr>
          <w:rFonts w:ascii="Figtree" w:hAnsi="Figtree"/>
          <w:b w:val="0"/>
          <w:i w:val="0"/>
          <w:sz w:val="22"/>
        </w:rPr>
        <w:t>DALP's compliance architecture maps directly to the requirements of UAE regulatory bodies:</w:t>
      </w:r>
    </w:p>
    <w:p>
      <w:r>
        <w:rPr>
          <w:rFonts w:ascii="Figtree" w:hAnsi="Figtree"/>
          <w:b/>
          <w:i w:val="0"/>
          <w:sz w:val="22"/>
        </w:rPr>
        <w:t>CBUAE Alignment: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40"/>
        <w:gridCol w:w="6231"/>
      </w:tblGrid>
      <w:tr>
        <w:trPr>
          <w:trHeight w:val="488"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CBUAE Requirement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DALP Implementation</w:t>
            </w:r>
          </w:p>
        </w:tc>
      </w:tr>
      <w:tr>
        <w:trPr>
          <w:trHeight w:val="488" w:hRule="atLeast"/>
        </w:trPr>
        <w:tc>
          <w:tcPr>
            <w:tcW w:type="dxa" w:w="4873"/>
            <w:vAlign w:val="center"/>
          </w:tcPr>
          <w:p>
            <w:pPr>
              <w:spacing w:line="276" w:lineRule="auto" w:before="0" w:after="0"/>
            </w:pPr>
            <w:r/>
            <w:r>
              <w:rPr>
                <w:rFonts w:ascii="Figtree" w:hAnsi="Figtree"/>
                <w:b w:val="0"/>
                <w:i w:val="0"/>
                <w:sz w:val="20"/>
              </w:rPr>
              <w:t>Stored value facility regulation</w:t>
            </w:r>
          </w:p>
        </w:tc>
        <w:tc>
          <w:tcPr>
            <w:tcW w:type="dxa" w:w="4873"/>
            <w:vAlign w:val="center"/>
          </w:tcPr>
          <w:p>
            <w:pPr>
              <w:spacing w:line="276" w:lineRule="auto" w:before="0" w:after="0"/>
            </w:pPr>
            <w:r/>
            <w:r>
              <w:rPr>
                <w:rFonts w:ascii="Figtree" w:hAnsi="Figtree"/>
                <w:b w:val="0"/>
                <w:i w:val="0"/>
                <w:sz w:val="20"/>
              </w:rPr>
              <w:t>Stablecoin template with reserve monitoring and minting controls</w:t>
            </w:r>
          </w:p>
        </w:tc>
      </w:tr>
      <w:tr>
        <w:trPr>
          <w:trHeight w:val="488" w:hRule="atLeast"/>
        </w:trPr>
        <w:tc>
          <w:tcPr>
            <w:tcW w:type="dxa" w:w="4873"/>
            <w:vAlign w:val="center"/>
          </w:tcPr>
          <w:p>
            <w:pPr>
              <w:spacing w:line="276" w:lineRule="auto" w:before="0" w:after="0"/>
            </w:pPr>
            <w:r/>
            <w:r>
              <w:rPr>
                <w:rFonts w:ascii="Figtree" w:hAnsi="Figtree"/>
                <w:b w:val="0"/>
                <w:i w:val="0"/>
                <w:sz w:val="20"/>
              </w:rPr>
              <w:t>Payment token oversight</w:t>
            </w:r>
          </w:p>
        </w:tc>
        <w:tc>
          <w:tcPr>
            <w:tcW w:type="dxa" w:w="4873"/>
            <w:vAlign w:val="center"/>
          </w:tcPr>
          <w:p>
            <w:pPr>
              <w:spacing w:line="276" w:lineRule="auto" w:before="0" w:after="0"/>
            </w:pPr>
            <w:r/>
            <w:r>
              <w:rPr>
                <w:rFonts w:ascii="Figtree" w:hAnsi="Figtree"/>
                <w:b w:val="0"/>
                <w:i w:val="0"/>
                <w:sz w:val="20"/>
              </w:rPr>
              <w:t>Deposit token template with transaction limits and reporting</w:t>
            </w:r>
          </w:p>
        </w:tc>
      </w:tr>
      <w:tr>
        <w:trPr>
          <w:trHeight w:val="488" w:hRule="atLeast"/>
        </w:trPr>
        <w:tc>
          <w:tcPr>
            <w:tcW w:type="dxa" w:w="4873"/>
            <w:vAlign w:val="center"/>
          </w:tcPr>
          <w:p>
            <w:pPr>
              <w:spacing w:line="276" w:lineRule="auto" w:before="0" w:after="0"/>
            </w:pPr>
            <w:r/>
            <w:r>
              <w:rPr>
                <w:rFonts w:ascii="Figtree" w:hAnsi="Figtree"/>
                <w:b w:val="0"/>
                <w:i w:val="0"/>
                <w:sz w:val="20"/>
              </w:rPr>
              <w:t>AML/CFT compliance</w:t>
            </w:r>
          </w:p>
        </w:tc>
        <w:tc>
          <w:tcPr>
            <w:tcW w:type="dxa" w:w="4873"/>
            <w:vAlign w:val="center"/>
          </w:tcPr>
          <w:p>
            <w:pPr>
              <w:spacing w:line="276" w:lineRule="auto" w:before="0" w:after="0"/>
            </w:pPr>
            <w:r/>
            <w:r>
              <w:rPr>
                <w:rFonts w:ascii="Figtree" w:hAnsi="Figtree"/>
                <w:b w:val="0"/>
                <w:i w:val="0"/>
                <w:sz w:val="20"/>
              </w:rPr>
              <w:t>Identity verification through OnchainID, country restrictions, transaction monitoring</w:t>
            </w:r>
          </w:p>
        </w:tc>
      </w:tr>
      <w:tr>
        <w:trPr>
          <w:trHeight w:val="488" w:hRule="atLeast"/>
        </w:trPr>
        <w:tc>
          <w:tcPr>
            <w:tcW w:type="dxa" w:w="4873"/>
            <w:vAlign w:val="center"/>
          </w:tcPr>
          <w:p>
            <w:pPr>
              <w:spacing w:line="276" w:lineRule="auto" w:before="0" w:after="0"/>
            </w:pPr>
            <w:r/>
            <w:r>
              <w:rPr>
                <w:rFonts w:ascii="Figtree" w:hAnsi="Figtree"/>
                <w:b w:val="0"/>
                <w:i w:val="0"/>
                <w:sz w:val="20"/>
              </w:rPr>
              <w:t>Data residency</w:t>
            </w:r>
          </w:p>
        </w:tc>
        <w:tc>
          <w:tcPr>
            <w:tcW w:type="dxa" w:w="4873"/>
            <w:vAlign w:val="center"/>
          </w:tcPr>
          <w:p>
            <w:pPr>
              <w:spacing w:line="276" w:lineRule="auto" w:before="0" w:after="0"/>
            </w:pPr>
            <w:r/>
            <w:r>
              <w:rPr>
                <w:rFonts w:ascii="Figtree" w:hAnsi="Figtree"/>
                <w:b w:val="0"/>
                <w:i w:val="0"/>
                <w:sz w:val="20"/>
              </w:rPr>
              <w:t>On-premises deployment in UAE data centers</w:t>
            </w:r>
          </w:p>
        </w:tc>
      </w:tr>
      <w:tr>
        <w:trPr>
          <w:trHeight w:val="488" w:hRule="atLeast"/>
        </w:trPr>
        <w:tc>
          <w:tcPr>
            <w:tcW w:type="dxa" w:w="4873"/>
            <w:vAlign w:val="center"/>
          </w:tcPr>
          <w:p>
            <w:pPr>
              <w:spacing w:line="276" w:lineRule="auto" w:before="0" w:after="0"/>
            </w:pPr>
            <w:r/>
            <w:r>
              <w:rPr>
                <w:rFonts w:ascii="Figtree" w:hAnsi="Figtree"/>
                <w:b w:val="0"/>
                <w:i w:val="0"/>
                <w:sz w:val="20"/>
              </w:rPr>
              <w:t>Reporting requirements</w:t>
            </w:r>
          </w:p>
        </w:tc>
        <w:tc>
          <w:tcPr>
            <w:tcW w:type="dxa" w:w="4873"/>
            <w:vAlign w:val="center"/>
          </w:tcPr>
          <w:p>
            <w:pPr>
              <w:spacing w:line="276" w:lineRule="auto" w:before="0" w:after="0"/>
            </w:pPr>
            <w:r/>
            <w:r>
              <w:rPr>
                <w:rFonts w:ascii="Figtree" w:hAnsi="Figtree"/>
                <w:b w:val="0"/>
                <w:i w:val="0"/>
                <w:sz w:val="20"/>
              </w:rPr>
              <w:t>Structured audit logging with queryable event history</w:t>
            </w:r>
          </w:p>
        </w:tc>
      </w:tr>
    </w:tbl>
    <w:p>
      <w:pPr>
        <w:spacing w:before="0" w:after="0" w:line="120" w:lineRule="exact"/>
      </w:pPr>
    </w:p>
    <w:p>
      <w:r>
        <w:rPr>
          <w:rFonts w:ascii="Figtree" w:hAnsi="Figtree"/>
          <w:b/>
          <w:i w:val="0"/>
          <w:sz w:val="22"/>
        </w:rPr>
        <w:t>VARA Alignment: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70"/>
        <w:gridCol w:w="6001"/>
      </w:tblGrid>
      <w:tr>
        <w:trPr>
          <w:trHeight w:val="488"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VARA Requirement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DALP Implementation</w:t>
            </w:r>
          </w:p>
        </w:tc>
      </w:tr>
      <w:tr>
        <w:trPr>
          <w:trHeight w:val="488" w:hRule="atLeast"/>
        </w:trPr>
        <w:tc>
          <w:tcPr>
            <w:tcW w:type="dxa" w:w="4873"/>
            <w:vAlign w:val="center"/>
          </w:tcPr>
          <w:p>
            <w:pPr>
              <w:spacing w:line="276" w:lineRule="auto" w:before="0" w:after="0"/>
            </w:pPr>
            <w:r/>
            <w:r>
              <w:rPr>
                <w:rFonts w:ascii="Figtree" w:hAnsi="Figtree"/>
                <w:b w:val="0"/>
                <w:i w:val="0"/>
                <w:sz w:val="20"/>
              </w:rPr>
              <w:t>VASP licensing compliance</w:t>
            </w:r>
          </w:p>
        </w:tc>
        <w:tc>
          <w:tcPr>
            <w:tcW w:type="dxa" w:w="4873"/>
            <w:vAlign w:val="center"/>
          </w:tcPr>
          <w:p>
            <w:pPr>
              <w:spacing w:line="276" w:lineRule="auto" w:before="0" w:after="0"/>
            </w:pPr>
            <w:r/>
            <w:r>
              <w:rPr>
                <w:rFonts w:ascii="Figtree" w:hAnsi="Figtree"/>
                <w:b w:val="0"/>
                <w:i w:val="0"/>
                <w:sz w:val="20"/>
              </w:rPr>
              <w:t>Platform governance controls, role-based access, audit trails</w:t>
            </w:r>
          </w:p>
        </w:tc>
      </w:tr>
      <w:tr>
        <w:trPr>
          <w:trHeight w:val="488" w:hRule="atLeast"/>
        </w:trPr>
        <w:tc>
          <w:tcPr>
            <w:tcW w:type="dxa" w:w="4873"/>
            <w:vAlign w:val="center"/>
          </w:tcPr>
          <w:p>
            <w:pPr>
              <w:spacing w:line="276" w:lineRule="auto" w:before="0" w:after="0"/>
            </w:pPr>
            <w:r/>
            <w:r>
              <w:rPr>
                <w:rFonts w:ascii="Figtree" w:hAnsi="Figtree"/>
                <w:b w:val="0"/>
                <w:i w:val="0"/>
                <w:sz w:val="20"/>
              </w:rPr>
              <w:t>Transfer rules and restrictions</w:t>
            </w:r>
          </w:p>
        </w:tc>
        <w:tc>
          <w:tcPr>
            <w:tcW w:type="dxa" w:w="4873"/>
            <w:vAlign w:val="center"/>
          </w:tcPr>
          <w:p>
            <w:pPr>
              <w:spacing w:line="276" w:lineRule="auto" w:before="0" w:after="0"/>
            </w:pPr>
            <w:r/>
            <w:r>
              <w:rPr>
                <w:rFonts w:ascii="Figtree" w:hAnsi="Figtree"/>
                <w:b w:val="0"/>
                <w:i w:val="0"/>
                <w:sz w:val="20"/>
              </w:rPr>
              <w:t>18 compliance module types with configurable policies</w:t>
            </w:r>
          </w:p>
        </w:tc>
      </w:tr>
      <w:tr>
        <w:trPr>
          <w:trHeight w:val="488" w:hRule="atLeast"/>
        </w:trPr>
        <w:tc>
          <w:tcPr>
            <w:tcW w:type="dxa" w:w="4873"/>
            <w:vAlign w:val="center"/>
          </w:tcPr>
          <w:p>
            <w:pPr>
              <w:spacing w:line="276" w:lineRule="auto" w:before="0" w:after="0"/>
            </w:pPr>
            <w:r/>
            <w:r>
              <w:rPr>
                <w:rFonts w:ascii="Figtree" w:hAnsi="Figtree"/>
                <w:b w:val="0"/>
                <w:i w:val="0"/>
                <w:sz w:val="20"/>
              </w:rPr>
              <w:t>Investor protection</w:t>
            </w:r>
          </w:p>
        </w:tc>
        <w:tc>
          <w:tcPr>
            <w:tcW w:type="dxa" w:w="4873"/>
            <w:vAlign w:val="center"/>
          </w:tcPr>
          <w:p>
            <w:pPr>
              <w:spacing w:line="276" w:lineRule="auto" w:before="0" w:after="0"/>
            </w:pPr>
            <w:r/>
            <w:r>
              <w:rPr>
                <w:rFonts w:ascii="Figtree" w:hAnsi="Figtree"/>
                <w:b w:val="0"/>
                <w:i w:val="0"/>
                <w:sz w:val="20"/>
              </w:rPr>
              <w:t>Ex-ante compliance enforcement, maximum holder counts, transfer limits</w:t>
            </w:r>
          </w:p>
        </w:tc>
      </w:tr>
      <w:tr>
        <w:trPr>
          <w:trHeight w:val="488" w:hRule="atLeast"/>
        </w:trPr>
        <w:tc>
          <w:tcPr>
            <w:tcW w:type="dxa" w:w="4873"/>
            <w:vAlign w:val="center"/>
          </w:tcPr>
          <w:p>
            <w:pPr>
              <w:spacing w:line="276" w:lineRule="auto" w:before="0" w:after="0"/>
            </w:pPr>
            <w:r/>
            <w:r>
              <w:rPr>
                <w:rFonts w:ascii="Figtree" w:hAnsi="Figtree"/>
                <w:b w:val="0"/>
                <w:i w:val="0"/>
                <w:sz w:val="20"/>
              </w:rPr>
              <w:t>Record keeping</w:t>
            </w:r>
          </w:p>
        </w:tc>
        <w:tc>
          <w:tcPr>
            <w:tcW w:type="dxa" w:w="4873"/>
            <w:vAlign w:val="center"/>
          </w:tcPr>
          <w:p>
            <w:pPr>
              <w:spacing w:line="276" w:lineRule="auto" w:before="0" w:after="0"/>
            </w:pPr>
            <w:r/>
            <w:r>
              <w:rPr>
                <w:rFonts w:ascii="Figtree" w:hAnsi="Figtree"/>
                <w:b w:val="0"/>
                <w:i w:val="0"/>
                <w:sz w:val="20"/>
              </w:rPr>
              <w:t>Immutable on-chain event history with off-chain structured logs</w:t>
            </w:r>
          </w:p>
        </w:tc>
      </w:tr>
      <w:tr>
        <w:trPr>
          <w:trHeight w:val="488" w:hRule="atLeast"/>
        </w:trPr>
        <w:tc>
          <w:tcPr>
            <w:tcW w:type="dxa" w:w="4873"/>
            <w:vAlign w:val="center"/>
          </w:tcPr>
          <w:p>
            <w:pPr>
              <w:spacing w:line="276" w:lineRule="auto" w:before="0" w:after="0"/>
            </w:pPr>
            <w:r/>
            <w:r>
              <w:rPr>
                <w:rFonts w:ascii="Figtree" w:hAnsi="Figtree"/>
                <w:b w:val="0"/>
                <w:i w:val="0"/>
                <w:sz w:val="20"/>
              </w:rPr>
              <w:t>Risk management</w:t>
            </w:r>
          </w:p>
        </w:tc>
        <w:tc>
          <w:tcPr>
            <w:tcW w:type="dxa" w:w="4873"/>
            <w:vAlign w:val="center"/>
          </w:tcPr>
          <w:p>
            <w:pPr>
              <w:spacing w:line="276" w:lineRule="auto" w:before="0" w:after="0"/>
            </w:pPr>
            <w:r/>
            <w:r>
              <w:rPr>
                <w:rFonts w:ascii="Figtree" w:hAnsi="Figtree"/>
                <w:b w:val="0"/>
                <w:i w:val="0"/>
                <w:sz w:val="20"/>
              </w:rPr>
              <w:t>Multi-layer compliance architecture, maker-checker approvals</w:t>
            </w:r>
          </w:p>
        </w:tc>
      </w:tr>
    </w:tbl>
    <w:p>
      <w:pPr>
        <w:spacing w:before="0" w:after="0" w:line="120" w:lineRule="exact"/>
      </w:pPr>
    </w:p>
    <w:p>
      <w:r>
        <w:rPr>
          <w:rFonts w:ascii="Figtree" w:hAnsi="Figtree"/>
          <w:b/>
          <w:i w:val="0"/>
          <w:sz w:val="22"/>
        </w:rPr>
        <w:t>DFSA Alignment: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10"/>
        <w:gridCol w:w="5961"/>
      </w:tblGrid>
      <w:tr>
        <w:trPr>
          <w:trHeight w:val="488"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DFSA Requirement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DALP Implementation</w:t>
            </w:r>
          </w:p>
        </w:tc>
      </w:tr>
      <w:tr>
        <w:trPr>
          <w:trHeight w:val="488" w:hRule="atLeast"/>
        </w:trPr>
        <w:tc>
          <w:tcPr>
            <w:tcW w:type="dxa" w:w="4873"/>
            <w:vAlign w:val="center"/>
          </w:tcPr>
          <w:p>
            <w:pPr>
              <w:spacing w:line="276" w:lineRule="auto" w:before="0" w:after="0"/>
            </w:pPr>
            <w:r/>
            <w:r>
              <w:rPr>
                <w:rFonts w:ascii="Figtree" w:hAnsi="Figtree"/>
                <w:b w:val="0"/>
                <w:i w:val="0"/>
                <w:sz w:val="20"/>
              </w:rPr>
              <w:t>Security token classification</w:t>
            </w:r>
          </w:p>
        </w:tc>
        <w:tc>
          <w:tcPr>
            <w:tcW w:type="dxa" w:w="4873"/>
            <w:vAlign w:val="center"/>
          </w:tcPr>
          <w:p>
            <w:pPr>
              <w:spacing w:line="276" w:lineRule="auto" w:before="0" w:after="0"/>
            </w:pPr>
            <w:r/>
            <w:r>
              <w:rPr>
                <w:rFonts w:ascii="Figtree" w:hAnsi="Figtree"/>
                <w:b w:val="0"/>
                <w:i w:val="0"/>
                <w:sz w:val="20"/>
              </w:rPr>
              <w:t>Asset templates with built-in classification claims</w:t>
            </w:r>
          </w:p>
        </w:tc>
      </w:tr>
      <w:tr>
        <w:trPr>
          <w:trHeight w:val="488" w:hRule="atLeast"/>
        </w:trPr>
        <w:tc>
          <w:tcPr>
            <w:tcW w:type="dxa" w:w="4873"/>
            <w:vAlign w:val="center"/>
          </w:tcPr>
          <w:p>
            <w:pPr>
              <w:spacing w:line="276" w:lineRule="auto" w:before="0" w:after="0"/>
            </w:pPr>
            <w:r/>
            <w:r>
              <w:rPr>
                <w:rFonts w:ascii="Figtree" w:hAnsi="Figtree"/>
                <w:b w:val="0"/>
                <w:i w:val="0"/>
                <w:sz w:val="20"/>
              </w:rPr>
              <w:t>Qualified investor verification</w:t>
            </w:r>
          </w:p>
        </w:tc>
        <w:tc>
          <w:tcPr>
            <w:tcW w:type="dxa" w:w="4873"/>
            <w:vAlign w:val="center"/>
          </w:tcPr>
          <w:p>
            <w:pPr>
              <w:spacing w:line="276" w:lineRule="auto" w:before="0" w:after="0"/>
            </w:pPr>
            <w:r/>
            <w:r>
              <w:rPr>
                <w:rFonts w:ascii="Figtree" w:hAnsi="Figtree"/>
                <w:b w:val="0"/>
                <w:i w:val="0"/>
                <w:sz w:val="20"/>
              </w:rPr>
              <w:t>Investor accreditation compliance modules</w:t>
            </w:r>
          </w:p>
        </w:tc>
      </w:tr>
      <w:tr>
        <w:trPr>
          <w:trHeight w:val="488" w:hRule="atLeast"/>
        </w:trPr>
        <w:tc>
          <w:tcPr>
            <w:tcW w:type="dxa" w:w="4873"/>
            <w:vAlign w:val="center"/>
          </w:tcPr>
          <w:p>
            <w:pPr>
              <w:spacing w:line="276" w:lineRule="auto" w:before="0" w:after="0"/>
            </w:pPr>
            <w:r/>
            <w:r>
              <w:rPr>
                <w:rFonts w:ascii="Figtree" w:hAnsi="Figtree"/>
                <w:b w:val="0"/>
                <w:i w:val="0"/>
                <w:sz w:val="20"/>
              </w:rPr>
              <w:t>Prospectus requirements</w:t>
            </w:r>
          </w:p>
        </w:tc>
        <w:tc>
          <w:tcPr>
            <w:tcW w:type="dxa" w:w="4873"/>
            <w:vAlign w:val="center"/>
          </w:tcPr>
          <w:p>
            <w:pPr>
              <w:spacing w:line="276" w:lineRule="auto" w:before="0" w:after="0"/>
            </w:pPr>
            <w:r/>
            <w:r>
              <w:rPr>
                <w:rFonts w:ascii="Figtree" w:hAnsi="Figtree"/>
                <w:b w:val="0"/>
                <w:i w:val="0"/>
                <w:sz w:val="20"/>
              </w:rPr>
              <w:t>Document management system with versioning and controlled disclosure</w:t>
            </w:r>
          </w:p>
        </w:tc>
      </w:tr>
      <w:tr>
        <w:trPr>
          <w:trHeight w:val="488" w:hRule="atLeast"/>
        </w:trPr>
        <w:tc>
          <w:tcPr>
            <w:tcW w:type="dxa" w:w="4873"/>
            <w:vAlign w:val="center"/>
          </w:tcPr>
          <w:p>
            <w:pPr>
              <w:spacing w:line="276" w:lineRule="auto" w:before="0" w:after="0"/>
            </w:pPr>
            <w:r/>
            <w:r>
              <w:rPr>
                <w:rFonts w:ascii="Figtree" w:hAnsi="Figtree"/>
                <w:b w:val="0"/>
                <w:i w:val="0"/>
                <w:sz w:val="20"/>
              </w:rPr>
              <w:t>Market conduct rules</w:t>
            </w:r>
          </w:p>
        </w:tc>
        <w:tc>
          <w:tcPr>
            <w:tcW w:type="dxa" w:w="4873"/>
            <w:vAlign w:val="center"/>
          </w:tcPr>
          <w:p>
            <w:pPr>
              <w:spacing w:line="276" w:lineRule="auto" w:before="0" w:after="0"/>
            </w:pPr>
            <w:r/>
            <w:r>
              <w:rPr>
                <w:rFonts w:ascii="Figtree" w:hAnsi="Figtree"/>
                <w:b w:val="0"/>
                <w:i w:val="0"/>
                <w:sz w:val="20"/>
              </w:rPr>
              <w:t>Transfer restrictions, trading windows, address-specific controls</w:t>
            </w:r>
          </w:p>
        </w:tc>
      </w:tr>
      <w:tr>
        <w:trPr>
          <w:trHeight w:val="488" w:hRule="atLeast"/>
        </w:trPr>
        <w:tc>
          <w:tcPr>
            <w:tcW w:type="dxa" w:w="4873"/>
            <w:vAlign w:val="center"/>
          </w:tcPr>
          <w:p>
            <w:pPr>
              <w:spacing w:line="276" w:lineRule="auto" w:before="0" w:after="0"/>
            </w:pPr>
            <w:r/>
            <w:r>
              <w:rPr>
                <w:rFonts w:ascii="Figtree" w:hAnsi="Figtree"/>
                <w:b w:val="0"/>
                <w:i w:val="0"/>
                <w:sz w:val="20"/>
              </w:rPr>
              <w:t>Custody requirements</w:t>
            </w:r>
          </w:p>
        </w:tc>
        <w:tc>
          <w:tcPr>
            <w:tcW w:type="dxa" w:w="4873"/>
            <w:vAlign w:val="center"/>
          </w:tcPr>
          <w:p>
            <w:pPr>
              <w:spacing w:line="276" w:lineRule="auto" w:before="0" w:after="0"/>
            </w:pPr>
            <w:r/>
            <w:r>
              <w:rPr>
                <w:rFonts w:ascii="Figtree" w:hAnsi="Figtree"/>
                <w:b w:val="0"/>
                <w:i w:val="0"/>
                <w:sz w:val="20"/>
              </w:rPr>
              <w:t>Institutional custody integration with Fireblocks/DFNS, HSM support</w:t>
            </w:r>
          </w:p>
        </w:tc>
      </w:tr>
    </w:tbl>
    <w:p>
      <w:pPr>
        <w:spacing w:before="0" w:after="0" w:line="120" w:lineRule="exact"/>
      </w:pPr>
    </w:p>
    <w:p>
      <w:pPr>
        <w:pStyle w:val="H3"/>
        <w:numPr>
          <w:ilvl w:val="2"/>
          <w:numId w:val="1"/>
        </w:numPr>
      </w:pPr>
      <w:r>
        <w:t>Identity Verification and KYC/KYB Integration</w:t>
      </w:r>
    </w:p>
    <w:p>
      <w:r>
        <w:rPr>
          <w:rFonts w:ascii="Figtree" w:hAnsi="Figtree"/>
          <w:b w:val="0"/>
          <w:i w:val="0"/>
          <w:sz w:val="22"/>
        </w:rPr>
        <w:t>DALP's identity system operates as a trust layer, not a verification service:</w:t>
      </w:r>
    </w:p>
    <w:p>
      <w:pPr>
        <w:pStyle w:val="ListParagraph"/>
        <w:numPr>
          <w:ilvl w:val="0"/>
          <w:numId w:val="4"/>
        </w:numPr>
      </w:pPr>
      <w:r>
        <w:rPr>
          <w:rFonts w:ascii="Figtree" w:hAnsi="Figtree"/>
          <w:b/>
          <w:i w:val="0"/>
          <w:sz w:val="22"/>
        </w:rPr>
        <w:t>OnchainID</w:t>
      </w:r>
      <w:r>
        <w:rPr>
          <w:rFonts w:ascii="Figtree" w:hAnsi="Figtree"/>
          <w:b w:val="0"/>
          <w:i w:val="0"/>
          <w:sz w:val="22"/>
        </w:rPr>
        <w:t xml:space="preserve"> provides the on-chain identity standard. Every investor, issuer, and institutional participant has a verifiable on-chain identity.</w:t>
      </w:r>
    </w:p>
    <w:p>
      <w:pPr>
        <w:pStyle w:val="ListParagraph"/>
        <w:numPr>
          <w:ilvl w:val="0"/>
          <w:numId w:val="4"/>
        </w:numPr>
      </w:pPr>
      <w:r>
        <w:rPr>
          <w:rFonts w:ascii="Figtree" w:hAnsi="Figtree"/>
          <w:b/>
          <w:i w:val="0"/>
          <w:sz w:val="22"/>
        </w:rPr>
        <w:t>Claim-based verification</w:t>
      </w:r>
      <w:r>
        <w:rPr>
          <w:rFonts w:ascii="Figtree" w:hAnsi="Figtree"/>
          <w:b w:val="0"/>
          <w:i w:val="0"/>
          <w:sz w:val="22"/>
        </w:rPr>
        <w:t xml:space="preserve"> records KYC/KYB credentials as claims on the identity. Claims are issued by trusted issuers (the KYC/KYB provider) and verified by the compliance engine at transfer time.</w:t>
      </w:r>
    </w:p>
    <w:p>
      <w:pPr>
        <w:pStyle w:val="ListParagraph"/>
        <w:numPr>
          <w:ilvl w:val="0"/>
          <w:numId w:val="4"/>
        </w:numPr>
      </w:pPr>
      <w:r>
        <w:rPr>
          <w:rFonts w:ascii="Figtree" w:hAnsi="Figtree"/>
          <w:b/>
          <w:i w:val="0"/>
          <w:sz w:val="22"/>
        </w:rPr>
        <w:t>KYC Profile Management</w:t>
      </w:r>
      <w:r>
        <w:rPr>
          <w:rFonts w:ascii="Figtree" w:hAnsi="Figtree"/>
          <w:b w:val="0"/>
          <w:i w:val="0"/>
          <w:sz w:val="22"/>
        </w:rPr>
        <w:t xml:space="preserve"> includes full lifecycle control: submission, review (approve/reject/request-update), fulfillment tracking, and content-hash verification for data integrity.</w:t>
      </w:r>
    </w:p>
    <w:p>
      <w:pPr>
        <w:pStyle w:val="ListParagraph"/>
        <w:numPr>
          <w:ilvl w:val="0"/>
          <w:numId w:val="4"/>
        </w:numPr>
      </w:pPr>
      <w:r>
        <w:rPr>
          <w:rFonts w:ascii="Figtree" w:hAnsi="Figtree"/>
          <w:b/>
          <w:i w:val="0"/>
          <w:sz w:val="22"/>
        </w:rPr>
        <w:t>Reusable credentials:</w:t>
      </w:r>
      <w:r>
        <w:rPr>
          <w:rFonts w:ascii="Figtree" w:hAnsi="Figtree"/>
          <w:b w:val="0"/>
          <w:i w:val="0"/>
          <w:sz w:val="22"/>
        </w:rPr>
        <w:t xml:space="preserve"> An investor onboarded once can participate across all assets and transactions without re-verification. Claims are reusable across the platform.</w:t>
      </w:r>
    </w:p>
    <w:p>
      <w:r>
        <w:rPr>
          <w:rFonts w:ascii="Figtree" w:hAnsi="Figtree"/>
          <w:b w:val="0"/>
          <w:i w:val="0"/>
          <w:sz w:val="22"/>
        </w:rPr>
        <w:t>DALP does not perform KYC checks itself. It integrates with Mashreq Bank's existing KYC/KYB providers and enforces the claims those providers issue.</w:t>
      </w:r>
    </w:p>
    <w:p>
      <w:pPr>
        <w:pStyle w:val="H3"/>
        <w:numPr>
          <w:ilvl w:val="2"/>
          <w:numId w:val="1"/>
        </w:numPr>
      </w:pPr>
      <w:r>
        <w:t>Audit Trails and Regulatory Reporting</w:t>
      </w:r>
    </w:p>
    <w:p>
      <w:r>
        <w:rPr>
          <w:rFonts w:ascii="Figtree" w:hAnsi="Figtree"/>
          <w:b w:val="0"/>
          <w:i w:val="0"/>
          <w:sz w:val="22"/>
        </w:rPr>
        <w:t>Every action in DALP generates a queryable audit record:</w:t>
      </w:r>
    </w:p>
    <w:p>
      <w:pPr>
        <w:pStyle w:val="ListParagraph"/>
        <w:numPr>
          <w:ilvl w:val="0"/>
          <w:numId w:val="4"/>
        </w:numPr>
      </w:pPr>
      <w:r>
        <w:rPr>
          <w:rFonts w:ascii="Figtree" w:hAnsi="Figtree"/>
          <w:b/>
          <w:i w:val="0"/>
          <w:sz w:val="22"/>
        </w:rPr>
        <w:t>On-chain events:</w:t>
      </w:r>
      <w:r>
        <w:rPr>
          <w:rFonts w:ascii="Figtree" w:hAnsi="Figtree"/>
          <w:b w:val="0"/>
          <w:i w:val="0"/>
          <w:sz w:val="22"/>
        </w:rPr>
        <w:t xml:space="preserve"> All token operations, compliance decisions, and settlement actions emit blockchain events indexed by the subgraph layer</w:t>
      </w:r>
    </w:p>
    <w:p>
      <w:pPr>
        <w:pStyle w:val="ListParagraph"/>
        <w:numPr>
          <w:ilvl w:val="0"/>
          <w:numId w:val="4"/>
        </w:numPr>
      </w:pPr>
      <w:r>
        <w:rPr>
          <w:rFonts w:ascii="Figtree" w:hAnsi="Figtree"/>
          <w:b/>
          <w:i w:val="0"/>
          <w:sz w:val="22"/>
        </w:rPr>
        <w:t>Off-chain structured logs:</w:t>
      </w:r>
      <w:r>
        <w:rPr>
          <w:rFonts w:ascii="Figtree" w:hAnsi="Figtree"/>
          <w:b w:val="0"/>
          <w:i w:val="0"/>
          <w:sz w:val="22"/>
        </w:rPr>
        <w:t xml:space="preserve"> Platform operations, API calls, and administrative actions are logged with structured metadata</w:t>
      </w:r>
    </w:p>
    <w:p>
      <w:pPr>
        <w:pStyle w:val="ListParagraph"/>
        <w:numPr>
          <w:ilvl w:val="0"/>
          <w:numId w:val="4"/>
        </w:numPr>
      </w:pPr>
      <w:r>
        <w:rPr>
          <w:rFonts w:ascii="Figtree" w:hAnsi="Figtree"/>
          <w:b/>
          <w:i w:val="0"/>
          <w:sz w:val="22"/>
        </w:rPr>
        <w:t>Activity tracking:</w:t>
      </w:r>
      <w:r>
        <w:rPr>
          <w:rFonts w:ascii="Figtree" w:hAnsi="Figtree"/>
          <w:b w:val="0"/>
          <w:i w:val="0"/>
          <w:sz w:val="22"/>
        </w:rPr>
        <w:t xml:space="preserve"> Account-level blockchain event history with time-series aggregation for charting and analysis</w:t>
      </w:r>
    </w:p>
    <w:p>
      <w:pPr>
        <w:pStyle w:val="ListParagraph"/>
        <w:numPr>
          <w:ilvl w:val="0"/>
          <w:numId w:val="4"/>
        </w:numPr>
      </w:pPr>
      <w:r>
        <w:rPr>
          <w:rFonts w:ascii="Figtree" w:hAnsi="Figtree"/>
          <w:b/>
          <w:i w:val="0"/>
          <w:sz w:val="22"/>
        </w:rPr>
        <w:t>Permission-aware search:</w:t>
      </w:r>
      <w:r>
        <w:rPr>
          <w:rFonts w:ascii="Figtree" w:hAnsi="Figtree"/>
          <w:b w:val="0"/>
          <w:i w:val="0"/>
          <w:sz w:val="22"/>
        </w:rPr>
        <w:t xml:space="preserve"> Global discovery across contacts, users, and token entities with role-based visibility controls</w:t>
      </w:r>
    </w:p>
    <w:p>
      <w:pPr>
        <w:pStyle w:val="ListParagraph"/>
        <w:numPr>
          <w:ilvl w:val="0"/>
          <w:numId w:val="4"/>
        </w:numPr>
      </w:pPr>
      <w:r>
        <w:rPr>
          <w:rFonts w:ascii="Figtree" w:hAnsi="Figtree"/>
          <w:b/>
          <w:i w:val="0"/>
          <w:sz w:val="22"/>
        </w:rPr>
        <w:t>Export capability:</w:t>
      </w:r>
      <w:r>
        <w:rPr>
          <w:rFonts w:ascii="Figtree" w:hAnsi="Figtree"/>
          <w:b w:val="0"/>
          <w:i w:val="0"/>
          <w:sz w:val="22"/>
        </w:rPr>
        <w:t xml:space="preserve"> Document listings exportable as CSV/JSON for audits and downstream reporting</w:t>
      </w:r>
    </w:p>
    <w:p>
      <w:r>
        <w:br w:type="page"/>
      </w:r>
    </w:p>
    <w:p>
      <w:pPr>
        <w:pStyle w:val="H2"/>
        <w:numPr>
          <w:ilvl w:val="1"/>
          <w:numId w:val="1"/>
        </w:numPr>
      </w:pPr>
      <w:r>
        <w:t>7. Technical Architecture</w:t>
      </w:r>
    </w:p>
    <w:p>
      <w:pPr>
        <w:pStyle w:val="H3"/>
        <w:numPr>
          <w:ilvl w:val="2"/>
          <w:numId w:val="1"/>
        </w:numPr>
      </w:pPr>
      <w:r>
        <w:t>Component Architecture</w:t>
      </w:r>
    </w:p>
    <w:p>
      <w:r>
        <w:rPr>
          <w:rFonts w:ascii="Figtree" w:hAnsi="Figtree"/>
          <w:b w:val="0"/>
          <w:i w:val="0"/>
          <w:sz w:val="22"/>
        </w:rPr>
        <w:t>DALP's runtime consists of several integrated components, each with a defined responsibility boundary:</w:t>
      </w:r>
    </w:p>
    <w:p>
      <w:r>
        <w:rPr>
          <w:rFonts w:ascii="Figtree" w:hAnsi="Figtree"/>
          <w:b/>
          <w:i w:val="0"/>
          <w:sz w:val="22"/>
        </w:rPr>
        <w:t>DAPI (Durable API Service)</w:t>
      </w:r>
    </w:p>
    <w:p>
      <w:r>
        <w:rPr>
          <w:rFonts w:ascii="Figtree" w:hAnsi="Figtree"/>
          <w:b w:val="0"/>
          <w:i w:val="0"/>
          <w:sz w:val="22"/>
        </w:rPr>
        <w:t>The core API layer that exposes all platform capabilities through oRPC endpoints. DAPI implements a middleware control plane that converts authenticated API traffic into tenant-scoped, permission-aware, execution-ready operations. The middleware stack composes: session authentication, organization role synchronization, system context hydration, token context hydration, wallet verification, and durable workflow submission.</w:t>
      </w:r>
    </w:p>
    <w:p>
      <w:r>
        <w:rPr>
          <w:rFonts w:ascii="Figtree" w:hAnsi="Figtree"/>
          <w:b w:val="0"/>
          <w:i w:val="0"/>
          <w:sz w:val="22"/>
        </w:rPr>
        <w:t>Two API surfaces serve different consumers:</w:t>
      </w:r>
    </w:p>
    <w:p>
      <w:pPr>
        <w:pStyle w:val="ListParagraph"/>
        <w:numPr>
          <w:ilvl w:val="0"/>
          <w:numId w:val="4"/>
        </w:numPr>
      </w:pPr>
      <w:r>
        <w:rPr>
          <w:rFonts w:ascii="Figtree" w:hAnsi="Figtree"/>
          <w:b w:val="0"/>
          <w:i w:val="0"/>
          <w:sz w:val="22"/>
        </w:rPr>
        <w:t>`/api/rpc`: Session/cookie authentication for the DALP dApp frontend</w:t>
      </w:r>
    </w:p>
    <w:p>
      <w:pPr>
        <w:pStyle w:val="ListParagraph"/>
        <w:numPr>
          <w:ilvl w:val="0"/>
          <w:numId w:val="4"/>
        </w:numPr>
      </w:pPr>
      <w:r>
        <w:rPr>
          <w:rFonts w:ascii="Figtree" w:hAnsi="Figtree"/>
          <w:b w:val="0"/>
          <w:i w:val="0"/>
          <w:sz w:val="22"/>
        </w:rPr>
        <w:t>`/api/v2`: API key authentication with HTTP-method-based scope enforcement for programmatic integrations (read-only GET/HEAD/OPTIONS vs read-write POST/PUT/PATCH/DELETE)</w:t>
      </w:r>
    </w:p>
    <w:p>
      <w:r>
        <w:rPr>
          <w:rFonts w:ascii="Figtree" w:hAnsi="Figtree"/>
          <w:b/>
          <w:i w:val="0"/>
          <w:sz w:val="22"/>
        </w:rPr>
        <w:t>DIDX (Digital Identity Exchange)</w:t>
      </w:r>
    </w:p>
    <w:p>
      <w:r>
        <w:rPr>
          <w:rFonts w:ascii="Figtree" w:hAnsi="Figtree"/>
          <w:b w:val="0"/>
          <w:i w:val="0"/>
          <w:sz w:val="22"/>
        </w:rPr>
        <w:t>The identity and claims management layer. Handles OnchainID deployment, claim issuance and revocation, trusted issuer registry management, and identity recovery workflows. Identity recovery is a durable, phase-tracked process: creating-wallet, deploying-identity, recovering-identity, revoking-sessions, recovering-tokens, through to terminal state.</w:t>
      </w:r>
    </w:p>
    <w:p>
      <w:r>
        <w:rPr>
          <w:rFonts w:ascii="Figtree" w:hAnsi="Figtree"/>
          <w:b/>
          <w:i w:val="0"/>
          <w:sz w:val="22"/>
        </w:rPr>
        <w:t>DDWF (Durable Distributed Workflow Framework)</w:t>
      </w:r>
    </w:p>
    <w:p>
      <w:r>
        <w:rPr>
          <w:rFonts w:ascii="Figtree" w:hAnsi="Figtree"/>
          <w:b w:val="0"/>
          <w:i w:val="0"/>
          <w:sz w:val="22"/>
        </w:rPr>
        <w:t>Built on Restate, DDWF provides the execution substrate for all multi-step operations. Virtual objects provide partition-level exclusive locking. Workflows survive process restarts and infrastructure failures. The framework handles nonce management, transaction processing, confirmation watching, and settlement orchestration.</w:t>
      </w:r>
    </w:p>
    <w:p>
      <w:r>
        <w:rPr>
          <w:rFonts w:ascii="Figtree" w:hAnsi="Figtree"/>
          <w:b/>
          <w:i w:val="0"/>
          <w:sz w:val="22"/>
        </w:rPr>
        <w:t>Chain Gateway</w:t>
      </w:r>
    </w:p>
    <w:p>
      <w:r>
        <w:rPr>
          <w:rFonts w:ascii="Figtree" w:hAnsi="Figtree"/>
          <w:b w:val="0"/>
          <w:i w:val="0"/>
          <w:sz w:val="22"/>
        </w:rPr>
        <w:t>Normalizes blockchain network interactions. Supports any EVM-compatible network through the Ethereum JSON-RPC specification. Per-chain identity isolation, per-chain compliance isolation, and per-chain indexer instances ensure clean separation across network deployments.</w:t>
      </w:r>
    </w:p>
    <w:p>
      <w:r>
        <w:rPr>
          <w:rFonts w:ascii="Figtree" w:hAnsi="Figtree"/>
          <w:b/>
          <w:i w:val="0"/>
          <w:sz w:val="22"/>
        </w:rPr>
        <w:t>Key Guardian</w:t>
      </w:r>
    </w:p>
    <w:p>
      <w:r>
        <w:rPr>
          <w:rFonts w:ascii="Figtree" w:hAnsi="Figtree"/>
          <w:b w:val="0"/>
          <w:i w:val="0"/>
          <w:sz w:val="22"/>
        </w:rPr>
        <w:t>The custody abstraction layer supporting multiple storage backends: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016"/>
        <w:gridCol w:w="3116"/>
        <w:gridCol w:w="1939"/>
      </w:tblGrid>
      <w:tr>
        <w:trPr>
          <w:trHeight w:val="488"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Backend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Protection Level</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r>
      <w:tr>
        <w:trPr>
          <w:trHeight w:val="488" w:hRule="atLeast"/>
        </w:trPr>
        <w:tc>
          <w:tcPr>
            <w:tcW w:type="dxa" w:w="3249"/>
            <w:vAlign w:val="center"/>
          </w:tcPr>
          <w:p>
            <w:pPr>
              <w:spacing w:line="276" w:lineRule="auto" w:before="0" w:after="0"/>
            </w:pPr>
            <w:r/>
            <w:r>
              <w:rPr>
                <w:rFonts w:ascii="Figtree" w:hAnsi="Figtree"/>
                <w:b w:val="0"/>
                <w:i w:val="0"/>
                <w:sz w:val="20"/>
              </w:rPr>
              <w:t>Encrypted database</w:t>
            </w:r>
          </w:p>
        </w:tc>
        <w:tc>
          <w:tcPr>
            <w:tcW w:type="dxa" w:w="3249"/>
            <w:vAlign w:val="center"/>
          </w:tcPr>
          <w:p>
            <w:pPr>
              <w:spacing w:line="276" w:lineRule="auto" w:before="0" w:after="0"/>
            </w:pPr>
            <w:r/>
            <w:r>
              <w:rPr>
                <w:rFonts w:ascii="Figtree" w:hAnsi="Figtree"/>
                <w:b w:val="0"/>
                <w:i w:val="0"/>
                <w:sz w:val="20"/>
              </w:rPr>
              <w:t>Application-level encryption</w:t>
            </w:r>
          </w:p>
        </w:tc>
        <w:tc>
          <w:tcPr>
            <w:tcW w:type="dxa" w:w="3249"/>
            <w:vAlign w:val="center"/>
          </w:tcPr>
          <w:p>
            <w:pPr>
              <w:spacing w:line="276" w:lineRule="auto" w:before="0" w:after="0"/>
            </w:pPr>
            <w:r/>
            <w:r>
              <w:rPr>
                <w:rFonts w:ascii="Figtree" w:hAnsi="Figtree"/>
                <w:b w:val="0"/>
                <w:i w:val="0"/>
                <w:sz w:val="20"/>
              </w:rPr>
              <w:t>Development and testing</w:t>
            </w:r>
          </w:p>
        </w:tc>
      </w:tr>
      <w:tr>
        <w:trPr>
          <w:trHeight w:val="488" w:hRule="atLeast"/>
        </w:trPr>
        <w:tc>
          <w:tcPr>
            <w:tcW w:type="dxa" w:w="3249"/>
            <w:vAlign w:val="center"/>
          </w:tcPr>
          <w:p>
            <w:pPr>
              <w:spacing w:line="276" w:lineRule="auto" w:before="0" w:after="0"/>
            </w:pPr>
            <w:r/>
            <w:r>
              <w:rPr>
                <w:rFonts w:ascii="Figtree" w:hAnsi="Figtree"/>
                <w:b w:val="0"/>
                <w:i w:val="0"/>
                <w:sz w:val="20"/>
              </w:rPr>
              <w:t>AWS Secrets Manager / GCP Secret Manager / Azure Key Vault</w:t>
            </w:r>
          </w:p>
        </w:tc>
        <w:tc>
          <w:tcPr>
            <w:tcW w:type="dxa" w:w="3249"/>
            <w:vAlign w:val="center"/>
          </w:tcPr>
          <w:p>
            <w:pPr>
              <w:spacing w:line="276" w:lineRule="auto" w:before="0" w:after="0"/>
            </w:pPr>
            <w:r/>
            <w:r>
              <w:rPr>
                <w:rFonts w:ascii="Figtree" w:hAnsi="Figtree"/>
                <w:b w:val="0"/>
                <w:i w:val="0"/>
                <w:sz w:val="20"/>
              </w:rPr>
              <w:t>Platform-managed encryption</w:t>
            </w:r>
          </w:p>
        </w:tc>
        <w:tc>
          <w:tcPr>
            <w:tcW w:type="dxa" w:w="3249"/>
            <w:vAlign w:val="center"/>
          </w:tcPr>
          <w:p>
            <w:pPr>
              <w:spacing w:line="276" w:lineRule="auto" w:before="0" w:after="0"/>
            </w:pPr>
            <w:r/>
            <w:r>
              <w:rPr>
                <w:rFonts w:ascii="Figtree" w:hAnsi="Figtree"/>
                <w:b w:val="0"/>
                <w:i w:val="0"/>
                <w:sz w:val="20"/>
              </w:rPr>
              <w:t>Standard production</w:t>
            </w:r>
          </w:p>
        </w:tc>
      </w:tr>
      <w:tr>
        <w:trPr>
          <w:trHeight w:val="488" w:hRule="atLeast"/>
        </w:trPr>
        <w:tc>
          <w:tcPr>
            <w:tcW w:type="dxa" w:w="3249"/>
            <w:vAlign w:val="center"/>
          </w:tcPr>
          <w:p>
            <w:pPr>
              <w:spacing w:line="276" w:lineRule="auto" w:before="0" w:after="0"/>
            </w:pPr>
            <w:r/>
            <w:r>
              <w:rPr>
                <w:rFonts w:ascii="Figtree" w:hAnsi="Figtree"/>
                <w:b w:val="0"/>
                <w:i w:val="0"/>
                <w:sz w:val="20"/>
              </w:rPr>
              <w:t>HSM</w:t>
            </w:r>
          </w:p>
        </w:tc>
        <w:tc>
          <w:tcPr>
            <w:tcW w:type="dxa" w:w="3249"/>
            <w:vAlign w:val="center"/>
          </w:tcPr>
          <w:p>
            <w:pPr>
              <w:spacing w:line="276" w:lineRule="auto" w:before="0" w:after="0"/>
            </w:pPr>
            <w:r/>
            <w:r>
              <w:rPr>
                <w:rFonts w:ascii="Figtree" w:hAnsi="Figtree"/>
                <w:b w:val="0"/>
                <w:i w:val="0"/>
                <w:sz w:val="20"/>
              </w:rPr>
              <w:t>FIPS 140-2 Level 3</w:t>
            </w:r>
          </w:p>
        </w:tc>
        <w:tc>
          <w:tcPr>
            <w:tcW w:type="dxa" w:w="3249"/>
            <w:vAlign w:val="center"/>
          </w:tcPr>
          <w:p>
            <w:pPr>
              <w:spacing w:line="276" w:lineRule="auto" w:before="0" w:after="0"/>
            </w:pPr>
            <w:r/>
            <w:r>
              <w:rPr>
                <w:rFonts w:ascii="Figtree" w:hAnsi="Figtree"/>
                <w:b w:val="0"/>
                <w:i w:val="0"/>
                <w:sz w:val="20"/>
              </w:rPr>
              <w:t>Regulated financial services</w:t>
            </w:r>
          </w:p>
        </w:tc>
      </w:tr>
      <w:tr>
        <w:trPr>
          <w:trHeight w:val="488" w:hRule="atLeast"/>
        </w:trPr>
        <w:tc>
          <w:tcPr>
            <w:tcW w:type="dxa" w:w="3249"/>
            <w:vAlign w:val="center"/>
          </w:tcPr>
          <w:p>
            <w:pPr>
              <w:spacing w:line="276" w:lineRule="auto" w:before="0" w:after="0"/>
            </w:pPr>
            <w:r/>
            <w:r>
              <w:rPr>
                <w:rFonts w:ascii="Figtree" w:hAnsi="Figtree"/>
                <w:b w:val="0"/>
                <w:i w:val="0"/>
                <w:sz w:val="20"/>
              </w:rPr>
              <w:t>DFNS (MPC)</w:t>
            </w:r>
          </w:p>
        </w:tc>
        <w:tc>
          <w:tcPr>
            <w:tcW w:type="dxa" w:w="3249"/>
            <w:vAlign w:val="center"/>
          </w:tcPr>
          <w:p>
            <w:pPr>
              <w:spacing w:line="276" w:lineRule="auto" w:before="0" w:after="0"/>
            </w:pPr>
            <w:r/>
            <w:r>
              <w:rPr>
                <w:rFonts w:ascii="Figtree" w:hAnsi="Figtree"/>
                <w:b w:val="0"/>
                <w:i w:val="0"/>
                <w:sz w:val="20"/>
              </w:rPr>
              <w:t>Threshold MPC with programmatic approval</w:t>
            </w:r>
          </w:p>
        </w:tc>
        <w:tc>
          <w:tcPr>
            <w:tcW w:type="dxa" w:w="3249"/>
            <w:vAlign w:val="center"/>
          </w:tcPr>
          <w:p>
            <w:pPr>
              <w:spacing w:line="276" w:lineRule="auto" w:before="0" w:after="0"/>
            </w:pPr>
            <w:r/>
            <w:r>
              <w:rPr>
                <w:rFonts w:ascii="Figtree" w:hAnsi="Figtree"/>
                <w:b w:val="0"/>
                <w:i w:val="0"/>
                <w:sz w:val="20"/>
              </w:rPr>
              <w:t>Institutional custody</w:t>
            </w:r>
          </w:p>
        </w:tc>
      </w:tr>
      <w:tr>
        <w:trPr>
          <w:trHeight w:val="488" w:hRule="atLeast"/>
        </w:trPr>
        <w:tc>
          <w:tcPr>
            <w:tcW w:type="dxa" w:w="3249"/>
            <w:vAlign w:val="center"/>
          </w:tcPr>
          <w:p>
            <w:pPr>
              <w:spacing w:line="276" w:lineRule="auto" w:before="0" w:after="0"/>
            </w:pPr>
            <w:r/>
            <w:r>
              <w:rPr>
                <w:rFonts w:ascii="Figtree" w:hAnsi="Figtree"/>
                <w:b w:val="0"/>
                <w:i w:val="0"/>
                <w:sz w:val="20"/>
              </w:rPr>
              <w:t>Fireblocks (MPC-CMP)</w:t>
            </w:r>
          </w:p>
        </w:tc>
        <w:tc>
          <w:tcPr>
            <w:tcW w:type="dxa" w:w="3249"/>
            <w:vAlign w:val="center"/>
          </w:tcPr>
          <w:p>
            <w:pPr>
              <w:spacing w:line="276" w:lineRule="auto" w:before="0" w:after="0"/>
            </w:pPr>
            <w:r/>
            <w:r>
              <w:rPr>
                <w:rFonts w:ascii="Figtree" w:hAnsi="Figtree"/>
                <w:b w:val="0"/>
                <w:i w:val="0"/>
                <w:sz w:val="20"/>
              </w:rPr>
              <w:t>MPC with continuous key refresh, TAP policies</w:t>
            </w:r>
          </w:p>
        </w:tc>
        <w:tc>
          <w:tcPr>
            <w:tcW w:type="dxa" w:w="3249"/>
            <w:vAlign w:val="center"/>
          </w:tcPr>
          <w:p>
            <w:pPr>
              <w:spacing w:line="276" w:lineRule="auto" w:before="0" w:after="0"/>
            </w:pPr>
            <w:r/>
            <w:r>
              <w:rPr>
                <w:rFonts w:ascii="Figtree" w:hAnsi="Figtree"/>
                <w:b w:val="0"/>
                <w:i w:val="0"/>
                <w:sz w:val="20"/>
              </w:rPr>
              <w:t>Institutional custody</w:t>
            </w:r>
          </w:p>
        </w:tc>
      </w:tr>
    </w:tbl>
    <w:p>
      <w:pPr>
        <w:spacing w:before="0" w:after="0" w:line="120" w:lineRule="exact"/>
      </w:pPr>
    </w:p>
    <w:p>
      <w:pPr>
        <w:pStyle w:val="H3"/>
        <w:numPr>
          <w:ilvl w:val="2"/>
          <w:numId w:val="1"/>
        </w:numPr>
      </w:pPr>
      <w:r>
        <w:t>Smart Contract Layer</w:t>
      </w:r>
    </w:p>
    <w:p>
      <w:r>
        <w:rPr>
          <w:rFonts w:ascii="Figtree" w:hAnsi="Figtree"/>
          <w:b w:val="0"/>
          <w:i w:val="0"/>
          <w:sz w:val="22"/>
        </w:rPr>
        <w:t>DALP's smart contract architecture builds on established standards:</w:t>
      </w:r>
    </w:p>
    <w:p>
      <w:r>
        <w:rPr>
          <w:rFonts w:ascii="Figtree" w:hAnsi="Figtree"/>
          <w:b/>
          <w:i w:val="0"/>
          <w:sz w:val="22"/>
        </w:rPr>
        <w:t>ERC-3643 (T-REX):</w:t>
      </w:r>
    </w:p>
    <w:p>
      <w:r>
        <w:rPr>
          <w:rFonts w:ascii="Figtree" w:hAnsi="Figtree"/>
          <w:b w:val="0"/>
          <w:i w:val="0"/>
          <w:sz w:val="22"/>
        </w:rPr>
        <w:t>The regulated token standard that DALP implements natively. ERC-3643 provides the compliance hooks that enable ex-ante transfer validation. Every token deployed through DALP inherits ERC-3643 compliance infrastructure.</w:t>
      </w:r>
    </w:p>
    <w:p>
      <w:r>
        <w:rPr>
          <w:rFonts w:ascii="Figtree" w:hAnsi="Figtree"/>
          <w:b/>
          <w:i w:val="0"/>
          <w:sz w:val="22"/>
        </w:rPr>
        <w:t>SMART Protocol:</w:t>
      </w:r>
    </w:p>
    <w:p>
      <w:r>
        <w:rPr>
          <w:rFonts w:ascii="Figtree" w:hAnsi="Figtree"/>
          <w:b w:val="0"/>
          <w:i w:val="0"/>
          <w:sz w:val="22"/>
        </w:rPr>
        <w:t>SettleMint's extension to ERC-3643 that adds the feature composition system. SMART tokens support up to 32 pluggable features, ordered execution pipelines, and token rewrite capabilities (features can intercept and modify transactions in-flight).</w:t>
      </w:r>
    </w:p>
    <w:p>
      <w:r>
        <w:rPr>
          <w:rFonts w:ascii="Figtree" w:hAnsi="Figtree"/>
          <w:b/>
          <w:i w:val="0"/>
          <w:sz w:val="22"/>
        </w:rPr>
        <w:t>Feature Factories:</w:t>
      </w:r>
    </w:p>
    <w:p>
      <w:r>
        <w:rPr>
          <w:rFonts w:ascii="Figtree" w:hAnsi="Figtree"/>
          <w:b w:val="0"/>
          <w:i w:val="0"/>
          <w:sz w:val="22"/>
        </w:rPr>
        <w:t>Each feature type (AUM fees, conversion, fixed treasury yield, maturity redemption, voting power, transaction fees, etc.) is deployed through dedicated factory contracts. Features attach to tokens post-deployment without redeploying the token itself.</w:t>
      </w:r>
    </w:p>
    <w:p>
      <w:r>
        <w:rPr>
          <w:rFonts w:ascii="Figtree" w:hAnsi="Figtree"/>
          <w:b/>
          <w:i w:val="0"/>
          <w:sz w:val="22"/>
        </w:rPr>
        <w:t>Asset Contracts:</w:t>
      </w:r>
    </w:p>
    <w:p>
      <w:r>
        <w:rPr>
          <w:rFonts w:ascii="Figtree" w:hAnsi="Figtree"/>
          <w:b w:val="0"/>
          <w:i w:val="0"/>
          <w:sz w:val="22"/>
        </w:rPr>
        <w:t>Each asset template deploys through a dedicated factory with class-specific validation, deployment logic, and claim enrichment. The `DALPAsset` contract implements `ITreasuryPayer`, enabling the asset itself to serve as a treasury for payout-oriented features.</w:t>
      </w:r>
    </w:p>
    <w:p>
      <w:pPr>
        <w:pStyle w:val="H3"/>
        <w:numPr>
          <w:ilvl w:val="2"/>
          <w:numId w:val="1"/>
        </w:numPr>
      </w:pPr>
      <w:r>
        <w:t>Blockchain Infrastructure</w:t>
      </w:r>
    </w:p>
    <w:p>
      <w:r>
        <w:rPr>
          <w:rFonts w:ascii="Figtree" w:hAnsi="Figtree"/>
          <w:b w:val="0"/>
          <w:i w:val="0"/>
          <w:sz w:val="22"/>
        </w:rPr>
        <w:t xml:space="preserve">For Mashreq Bank's deployment, SettleMint recommends </w:t>
      </w:r>
      <w:r>
        <w:rPr>
          <w:rFonts w:ascii="Figtree" w:hAnsi="Figtree"/>
          <w:b/>
          <w:i w:val="0"/>
          <w:sz w:val="22"/>
        </w:rPr>
        <w:t>Hyperledger Besu</w:t>
      </w:r>
      <w:r>
        <w:rPr>
          <w:rFonts w:ascii="Figtree" w:hAnsi="Figtree"/>
          <w:b w:val="0"/>
          <w:i w:val="0"/>
          <w:sz w:val="22"/>
        </w:rPr>
        <w:t xml:space="preserve"> with </w:t>
      </w:r>
      <w:r>
        <w:rPr>
          <w:rFonts w:ascii="Figtree" w:hAnsi="Figtree"/>
          <w:b/>
          <w:i w:val="0"/>
          <w:sz w:val="22"/>
        </w:rPr>
        <w:t>QBFT consensus</w:t>
      </w:r>
      <w:r>
        <w:rPr>
          <w:rFonts w:ascii="Figtree" w:hAnsi="Figtree"/>
          <w:b w:val="0"/>
          <w:i w:val="0"/>
          <w:sz w:val="22"/>
        </w:rPr>
        <w:t xml:space="preserve"> as the primary network:</w:t>
      </w:r>
    </w:p>
    <w:p>
      <w:pPr>
        <w:pStyle w:val="ListParagraph"/>
        <w:numPr>
          <w:ilvl w:val="0"/>
          <w:numId w:val="4"/>
        </w:numPr>
      </w:pPr>
      <w:r>
        <w:rPr>
          <w:rFonts w:ascii="Figtree" w:hAnsi="Figtree"/>
          <w:b/>
          <w:i w:val="0"/>
          <w:sz w:val="22"/>
        </w:rPr>
        <w:t>Permissioned network:</w:t>
      </w:r>
      <w:r>
        <w:rPr>
          <w:rFonts w:ascii="Figtree" w:hAnsi="Figtree"/>
          <w:b w:val="0"/>
          <w:i w:val="0"/>
          <w:sz w:val="22"/>
        </w:rPr>
        <w:t xml:space="preserve"> Full control over validator set, network participants, and transaction visibility</w:t>
      </w:r>
    </w:p>
    <w:p>
      <w:pPr>
        <w:pStyle w:val="ListParagraph"/>
        <w:numPr>
          <w:ilvl w:val="0"/>
          <w:numId w:val="4"/>
        </w:numPr>
      </w:pPr>
      <w:r>
        <w:rPr>
          <w:rFonts w:ascii="Figtree" w:hAnsi="Figtree"/>
          <w:b/>
          <w:i w:val="0"/>
          <w:sz w:val="22"/>
        </w:rPr>
        <w:t>EVM compatibility:</w:t>
      </w:r>
      <w:r>
        <w:rPr>
          <w:rFonts w:ascii="Figtree" w:hAnsi="Figtree"/>
          <w:b w:val="0"/>
          <w:i w:val="0"/>
          <w:sz w:val="22"/>
        </w:rPr>
        <w:t xml:space="preserve"> All DALP smart contracts, standards, and tooling work without modification</w:t>
      </w:r>
    </w:p>
    <w:p>
      <w:pPr>
        <w:pStyle w:val="ListParagraph"/>
        <w:numPr>
          <w:ilvl w:val="0"/>
          <w:numId w:val="4"/>
        </w:numPr>
      </w:pPr>
      <w:r>
        <w:rPr>
          <w:rFonts w:ascii="Figtree" w:hAnsi="Figtree"/>
          <w:b/>
          <w:i w:val="0"/>
          <w:sz w:val="22"/>
        </w:rPr>
        <w:t>QBFT consensus:</w:t>
      </w:r>
      <w:r>
        <w:rPr>
          <w:rFonts w:ascii="Figtree" w:hAnsi="Figtree"/>
          <w:b w:val="0"/>
          <w:i w:val="0"/>
          <w:sz w:val="22"/>
        </w:rPr>
        <w:t xml:space="preserve"> Byzantine fault-tolerant consensus with immediate finality, suitable for institutional settlement requirements</w:t>
      </w:r>
    </w:p>
    <w:p>
      <w:pPr>
        <w:pStyle w:val="ListParagraph"/>
        <w:numPr>
          <w:ilvl w:val="0"/>
          <w:numId w:val="4"/>
        </w:numPr>
      </w:pPr>
      <w:r>
        <w:rPr>
          <w:rFonts w:ascii="Figtree" w:hAnsi="Figtree"/>
          <w:b/>
          <w:i w:val="0"/>
          <w:sz w:val="22"/>
        </w:rPr>
        <w:t>Performance:</w:t>
      </w:r>
      <w:r>
        <w:rPr>
          <w:rFonts w:ascii="Figtree" w:hAnsi="Figtree"/>
          <w:b w:val="0"/>
          <w:i w:val="0"/>
          <w:sz w:val="22"/>
        </w:rPr>
        <w:t xml:space="preserve"> Configurable block time and gas limits for throughput optimization</w:t>
      </w:r>
    </w:p>
    <w:p>
      <w:pPr>
        <w:pStyle w:val="ListParagraph"/>
        <w:numPr>
          <w:ilvl w:val="0"/>
          <w:numId w:val="4"/>
        </w:numPr>
      </w:pPr>
      <w:r>
        <w:rPr>
          <w:rFonts w:ascii="Figtree" w:hAnsi="Figtree"/>
          <w:b/>
          <w:i w:val="0"/>
          <w:sz w:val="22"/>
        </w:rPr>
        <w:t>Privacy:</w:t>
      </w:r>
      <w:r>
        <w:rPr>
          <w:rFonts w:ascii="Figtree" w:hAnsi="Figtree"/>
          <w:b w:val="0"/>
          <w:i w:val="0"/>
          <w:sz w:val="22"/>
        </w:rPr>
        <w:t xml:space="preserve"> Transaction-level privacy options through private transaction groups</w:t>
      </w:r>
    </w:p>
    <w:p>
      <w:r>
        <w:rPr>
          <w:rFonts w:ascii="Figtree" w:hAnsi="Figtree"/>
          <w:b w:val="0"/>
          <w:i w:val="0"/>
          <w:sz w:val="22"/>
        </w:rPr>
        <w:t>Multi-chain support enables Mashreq Bank to operate across private and public networks simultaneously, with per-chain identity and compliance isolation.</w:t>
      </w:r>
    </w:p>
    <w:p>
      <w:pPr>
        <w:pStyle w:val="H3"/>
        <w:numPr>
          <w:ilvl w:val="2"/>
          <w:numId w:val="1"/>
        </w:numPr>
      </w:pPr>
      <w:r>
        <w:t>API Layer</w:t>
      </w:r>
    </w:p>
    <w:p>
      <w:r>
        <w:rPr>
          <w:rFonts w:ascii="Figtree" w:hAnsi="Figtree"/>
          <w:b w:val="0"/>
          <w:i w:val="0"/>
          <w:sz w:val="22"/>
        </w:rPr>
        <w:t>DALP exposes comprehensive programmatic interfaces:</w:t>
      </w:r>
    </w:p>
    <w:p>
      <w:pPr>
        <w:pStyle w:val="ListParagraph"/>
        <w:numPr>
          <w:ilvl w:val="0"/>
          <w:numId w:val="4"/>
        </w:numPr>
      </w:pPr>
      <w:r>
        <w:rPr>
          <w:rFonts w:ascii="Figtree" w:hAnsi="Figtree"/>
          <w:b/>
          <w:i w:val="0"/>
          <w:sz w:val="22"/>
        </w:rPr>
        <w:t>oRPC:</w:t>
      </w:r>
      <w:r>
        <w:rPr>
          <w:rFonts w:ascii="Figtree" w:hAnsi="Figtree"/>
          <w:b w:val="0"/>
          <w:i w:val="0"/>
          <w:sz w:val="22"/>
        </w:rPr>
        <w:t xml:space="preserve"> Type-safe remote procedure calls with full TypeScript inference, used by the DALP dApp and programmatic clients</w:t>
      </w:r>
    </w:p>
    <w:p>
      <w:pPr>
        <w:pStyle w:val="ListParagraph"/>
        <w:numPr>
          <w:ilvl w:val="0"/>
          <w:numId w:val="4"/>
        </w:numPr>
      </w:pPr>
      <w:r>
        <w:rPr>
          <w:rFonts w:ascii="Figtree" w:hAnsi="Figtree"/>
          <w:b/>
          <w:i w:val="0"/>
          <w:sz w:val="22"/>
        </w:rPr>
        <w:t>REST API (v2):</w:t>
      </w:r>
      <w:r>
        <w:rPr>
          <w:rFonts w:ascii="Figtree" w:hAnsi="Figtree"/>
          <w:b w:val="0"/>
          <w:i w:val="0"/>
          <w:sz w:val="22"/>
        </w:rPr>
        <w:t xml:space="preserve"> Standard REST endpoints with API key authentication for system-to-system integrations</w:t>
      </w:r>
    </w:p>
    <w:p>
      <w:pPr>
        <w:pStyle w:val="ListParagraph"/>
        <w:numPr>
          <w:ilvl w:val="0"/>
          <w:numId w:val="4"/>
        </w:numPr>
      </w:pPr>
      <w:r>
        <w:rPr>
          <w:rFonts w:ascii="Figtree" w:hAnsi="Figtree"/>
          <w:b/>
          <w:i w:val="0"/>
          <w:sz w:val="22"/>
        </w:rPr>
        <w:t>GraphQL:</w:t>
      </w:r>
      <w:r>
        <w:rPr>
          <w:rFonts w:ascii="Figtree" w:hAnsi="Figtree"/>
          <w:b w:val="0"/>
          <w:i w:val="0"/>
          <w:sz w:val="22"/>
        </w:rPr>
        <w:t xml:space="preserve"> Query interface backed by TheGraph subgraph indexer for complex data retrieval</w:t>
      </w:r>
    </w:p>
    <w:p>
      <w:pPr>
        <w:pStyle w:val="ListParagraph"/>
        <w:numPr>
          <w:ilvl w:val="0"/>
          <w:numId w:val="4"/>
        </w:numPr>
      </w:pPr>
      <w:r>
        <w:rPr>
          <w:rFonts w:ascii="Figtree" w:hAnsi="Figtree"/>
          <w:b/>
          <w:i w:val="0"/>
          <w:sz w:val="22"/>
        </w:rPr>
        <w:t>Event Webhooks:</w:t>
      </w:r>
      <w:r>
        <w:rPr>
          <w:rFonts w:ascii="Figtree" w:hAnsi="Figtree"/>
          <w:b w:val="0"/>
          <w:i w:val="0"/>
          <w:sz w:val="22"/>
        </w:rPr>
        <w:t xml:space="preserve"> Real-time event notifications for transaction completions, compliance decisions, settlement state changes, and system events</w:t>
      </w:r>
    </w:p>
    <w:p>
      <w:pPr>
        <w:pStyle w:val="ListParagraph"/>
        <w:numPr>
          <w:ilvl w:val="0"/>
          <w:numId w:val="4"/>
        </w:numPr>
      </w:pPr>
      <w:r>
        <w:rPr>
          <w:rFonts w:ascii="Figtree" w:hAnsi="Figtree"/>
          <w:b/>
          <w:i w:val="0"/>
          <w:sz w:val="22"/>
        </w:rPr>
        <w:t>CLI:</w:t>
      </w:r>
      <w:r>
        <w:rPr>
          <w:rFonts w:ascii="Figtree" w:hAnsi="Figtree"/>
          <w:b w:val="0"/>
          <w:i w:val="0"/>
          <w:sz w:val="22"/>
        </w:rPr>
        <w:t xml:space="preserve"> Command-line interface for automation, DevOps integration, and operational tasks</w:t>
      </w:r>
    </w:p>
    <w:p>
      <w:pPr>
        <w:pStyle w:val="H3"/>
        <w:numPr>
          <w:ilvl w:val="2"/>
          <w:numId w:val="1"/>
        </w:numPr>
      </w:pPr>
      <w:r>
        <w:t>Observability</w:t>
      </w:r>
    </w:p>
    <w:p>
      <w:r>
        <w:rPr>
          <w:rFonts w:ascii="Figtree" w:hAnsi="Figtree"/>
          <w:b w:val="0"/>
          <w:i w:val="0"/>
          <w:sz w:val="22"/>
        </w:rPr>
        <w:t>DALP ships with full operational tooling:</w:t>
      </w:r>
    </w:p>
    <w:p>
      <w:pPr>
        <w:pStyle w:val="ListParagraph"/>
        <w:numPr>
          <w:ilvl w:val="0"/>
          <w:numId w:val="4"/>
        </w:numPr>
      </w:pPr>
      <w:r>
        <w:rPr>
          <w:rFonts w:ascii="Figtree" w:hAnsi="Figtree"/>
          <w:b/>
          <w:i w:val="0"/>
          <w:sz w:val="22"/>
        </w:rPr>
        <w:t>Metrics:</w:t>
      </w:r>
      <w:r>
        <w:rPr>
          <w:rFonts w:ascii="Figtree" w:hAnsi="Figtree"/>
          <w:b w:val="0"/>
          <w:i w:val="0"/>
          <w:sz w:val="22"/>
        </w:rPr>
        <w:t xml:space="preserve"> VictoriaMetrics for time-series metrics collection and storage. API metrics automatically rolled up into hourly aggregation buckets.</w:t>
      </w:r>
    </w:p>
    <w:p>
      <w:pPr>
        <w:pStyle w:val="ListParagraph"/>
        <w:numPr>
          <w:ilvl w:val="0"/>
          <w:numId w:val="4"/>
        </w:numPr>
      </w:pPr>
      <w:r>
        <w:rPr>
          <w:rFonts w:ascii="Figtree" w:hAnsi="Figtree"/>
          <w:b/>
          <w:i w:val="0"/>
          <w:sz w:val="22"/>
        </w:rPr>
        <w:t>Logs:</w:t>
      </w:r>
      <w:r>
        <w:rPr>
          <w:rFonts w:ascii="Figtree" w:hAnsi="Figtree"/>
          <w:b w:val="0"/>
          <w:i w:val="0"/>
          <w:sz w:val="22"/>
        </w:rPr>
        <w:t xml:space="preserve"> Loki for centralized log aggregation with structured, queryable logging across all platform components</w:t>
      </w:r>
    </w:p>
    <w:p>
      <w:pPr>
        <w:pStyle w:val="ListParagraph"/>
        <w:numPr>
          <w:ilvl w:val="0"/>
          <w:numId w:val="4"/>
        </w:numPr>
      </w:pPr>
      <w:r>
        <w:rPr>
          <w:rFonts w:ascii="Figtree" w:hAnsi="Figtree"/>
          <w:b/>
          <w:i w:val="0"/>
          <w:sz w:val="22"/>
        </w:rPr>
        <w:t>Traces:</w:t>
      </w:r>
      <w:r>
        <w:rPr>
          <w:rFonts w:ascii="Figtree" w:hAnsi="Figtree"/>
          <w:b w:val="0"/>
          <w:i w:val="0"/>
          <w:sz w:val="22"/>
        </w:rPr>
        <w:t xml:space="preserve"> Tempo for distributed tracing, providing end-to-end visibility into multi-service request flows</w:t>
      </w:r>
    </w:p>
    <w:p>
      <w:pPr>
        <w:pStyle w:val="ListParagraph"/>
        <w:numPr>
          <w:ilvl w:val="0"/>
          <w:numId w:val="4"/>
        </w:numPr>
      </w:pPr>
      <w:r>
        <w:rPr>
          <w:rFonts w:ascii="Figtree" w:hAnsi="Figtree"/>
          <w:b/>
          <w:i w:val="0"/>
          <w:sz w:val="22"/>
        </w:rPr>
        <w:t>Dashboards:</w:t>
      </w:r>
      <w:r>
        <w:rPr>
          <w:rFonts w:ascii="Figtree" w:hAnsi="Figtree"/>
          <w:b w:val="0"/>
          <w:i w:val="0"/>
          <w:sz w:val="22"/>
        </w:rPr>
        <w:t xml:space="preserve"> Pre-built Grafana dashboards covering operations overview, transaction monitoring, compliance activity, and security events</w:t>
      </w:r>
    </w:p>
    <w:p>
      <w:pPr>
        <w:pStyle w:val="ListParagraph"/>
        <w:numPr>
          <w:ilvl w:val="0"/>
          <w:numId w:val="4"/>
        </w:numPr>
      </w:pPr>
      <w:r>
        <w:rPr>
          <w:rFonts w:ascii="Figtree" w:hAnsi="Figtree"/>
          <w:b/>
          <w:i w:val="0"/>
          <w:sz w:val="22"/>
        </w:rPr>
        <w:t>Alerting:</w:t>
      </w:r>
      <w:r>
        <w:rPr>
          <w:rFonts w:ascii="Figtree" w:hAnsi="Figtree"/>
          <w:b w:val="0"/>
          <w:i w:val="0"/>
          <w:sz w:val="22"/>
        </w:rPr>
        <w:t xml:space="preserve"> Automated alerting on error rate spikes, latency degradation, chain connectivity issues, and settlement failures</w:t>
      </w:r>
    </w:p>
    <w:p>
      <w:pPr>
        <w:pStyle w:val="ListParagraph"/>
        <w:numPr>
          <w:ilvl w:val="0"/>
          <w:numId w:val="4"/>
        </w:numPr>
      </w:pPr>
      <w:r>
        <w:rPr>
          <w:rFonts w:ascii="Figtree" w:hAnsi="Figtree"/>
          <w:b/>
          <w:i w:val="0"/>
          <w:sz w:val="22"/>
        </w:rPr>
        <w:t>Blockchain health monitoring:</w:t>
      </w:r>
      <w:r>
        <w:rPr>
          <w:rFonts w:ascii="Figtree" w:hAnsi="Figtree"/>
          <w:b w:val="0"/>
          <w:i w:val="0"/>
          <w:sz w:val="22"/>
        </w:rPr>
        <w:t xml:space="preserve"> Restate-managed health collection with hysteresis-based status classification, snapshot history, timeline aggregation, and live SSE streaming</w:t>
      </w:r>
    </w:p>
    <w:p>
      <w:pPr>
        <w:pStyle w:val="ListParagraph"/>
        <w:numPr>
          <w:ilvl w:val="0"/>
          <w:numId w:val="4"/>
        </w:numPr>
      </w:pPr>
      <w:r>
        <w:rPr>
          <w:rFonts w:ascii="Figtree" w:hAnsi="Figtree"/>
          <w:b/>
          <w:i w:val="0"/>
          <w:sz w:val="22"/>
        </w:rPr>
        <w:t>API metrics:</w:t>
      </w:r>
      <w:r>
        <w:rPr>
          <w:rFonts w:ascii="Figtree" w:hAnsi="Figtree"/>
          <w:b w:val="0"/>
          <w:i w:val="0"/>
          <w:sz w:val="22"/>
        </w:rPr>
        <w:t xml:space="preserve"> Per-endpoint request tracking with rollup aggregation for operational analysis</w:t>
      </w:r>
    </w:p>
    <w:p>
      <w:pPr>
        <w:pStyle w:val="H3"/>
        <w:numPr>
          <w:ilvl w:val="2"/>
          <w:numId w:val="1"/>
        </w:numPr>
      </w:pPr>
      <w:r>
        <w:t>Data Feeds and Oracle Integration</w:t>
      </w:r>
    </w:p>
    <w:p>
      <w:r>
        <w:rPr>
          <w:rFonts w:ascii="Figtree" w:hAnsi="Figtree"/>
          <w:b w:val="0"/>
          <w:i w:val="0"/>
          <w:sz w:val="22"/>
        </w:rPr>
        <w:t>The Feeds system provides market data integration:</w:t>
      </w:r>
    </w:p>
    <w:p>
      <w:pPr>
        <w:pStyle w:val="ListParagraph"/>
        <w:numPr>
          <w:ilvl w:val="0"/>
          <w:numId w:val="4"/>
        </w:numPr>
      </w:pPr>
      <w:r>
        <w:rPr>
          <w:rFonts w:ascii="Figtree" w:hAnsi="Figtree"/>
          <w:b w:val="0"/>
          <w:i w:val="0"/>
          <w:sz w:val="22"/>
        </w:rPr>
        <w:t>Exchange rate feeds with configurable refresh intervals</w:t>
      </w:r>
    </w:p>
    <w:p>
      <w:pPr>
        <w:pStyle w:val="ListParagraph"/>
        <w:numPr>
          <w:ilvl w:val="0"/>
          <w:numId w:val="4"/>
        </w:numPr>
      </w:pPr>
      <w:r>
        <w:rPr>
          <w:rFonts w:ascii="Figtree" w:hAnsi="Figtree"/>
          <w:b w:val="0"/>
          <w:i w:val="0"/>
          <w:sz w:val="22"/>
        </w:rPr>
        <w:t>Batch orchestration for feed updates across multiple data sources</w:t>
      </w:r>
    </w:p>
    <w:p>
      <w:pPr>
        <w:pStyle w:val="ListParagraph"/>
        <w:numPr>
          <w:ilvl w:val="0"/>
          <w:numId w:val="4"/>
        </w:numPr>
      </w:pPr>
      <w:r>
        <w:rPr>
          <w:rFonts w:ascii="Figtree" w:hAnsi="Figtree"/>
          <w:b w:val="0"/>
          <w:i w:val="0"/>
          <w:sz w:val="22"/>
        </w:rPr>
        <w:t>Token price auto-routing and resolution for multi-currency operations</w:t>
      </w:r>
    </w:p>
    <w:p>
      <w:pPr>
        <w:pStyle w:val="ListParagraph"/>
        <w:numPr>
          <w:ilvl w:val="0"/>
          <w:numId w:val="4"/>
        </w:numPr>
      </w:pPr>
      <w:r>
        <w:rPr>
          <w:rFonts w:ascii="Figtree" w:hAnsi="Figtree"/>
          <w:b w:val="0"/>
          <w:i w:val="0"/>
          <w:sz w:val="22"/>
        </w:rPr>
        <w:t>Feed indexer projections for queryable historical price data</w:t>
      </w:r>
    </w:p>
    <w:p>
      <w:r>
        <w:br w:type="page"/>
      </w:r>
    </w:p>
    <w:p>
      <w:pPr>
        <w:pStyle w:val="H2"/>
        <w:numPr>
          <w:ilvl w:val="1"/>
          <w:numId w:val="1"/>
        </w:numPr>
      </w:pPr>
      <w:r>
        <w:t>8. Integration Architecture</w:t>
      </w:r>
    </w:p>
    <w:p>
      <w:pPr>
        <w:pStyle w:val="H3"/>
        <w:numPr>
          <w:ilvl w:val="2"/>
          <w:numId w:val="1"/>
        </w:numPr>
      </w:pPr>
      <w:r>
        <w:t>Core Banking Integration Patterns</w:t>
      </w:r>
    </w:p>
    <w:p>
      <w:r>
        <w:rPr>
          <w:rFonts w:ascii="Figtree" w:hAnsi="Figtree"/>
          <w:b w:val="0"/>
          <w:i w:val="0"/>
          <w:sz w:val="22"/>
        </w:rPr>
        <w:t>DALP integrates with existing core banking infrastructure through standard APIs without requiring a parallel operating model:</w:t>
      </w:r>
    </w:p>
    <w:p>
      <w:r>
        <w:rPr>
          <w:rFonts w:ascii="Figtree" w:hAnsi="Figtree"/>
          <w:b/>
          <w:i w:val="0"/>
          <w:sz w:val="22"/>
        </w:rPr>
        <w:t>Inbound Integration (Core Banking to DALP):</w:t>
      </w:r>
    </w:p>
    <w:p>
      <w:pPr>
        <w:pStyle w:val="ListParagraph"/>
        <w:numPr>
          <w:ilvl w:val="0"/>
          <w:numId w:val="4"/>
        </w:numPr>
      </w:pPr>
      <w:r>
        <w:rPr>
          <w:rFonts w:ascii="Figtree" w:hAnsi="Figtree"/>
          <w:b w:val="0"/>
          <w:i w:val="0"/>
          <w:sz w:val="22"/>
        </w:rPr>
        <w:t>Investor onboarding triggers from CRM/core banking systems via REST API</w:t>
      </w:r>
    </w:p>
    <w:p>
      <w:pPr>
        <w:pStyle w:val="ListParagraph"/>
        <w:numPr>
          <w:ilvl w:val="0"/>
          <w:numId w:val="4"/>
        </w:numPr>
      </w:pPr>
      <w:r>
        <w:rPr>
          <w:rFonts w:ascii="Figtree" w:hAnsi="Figtree"/>
          <w:b w:val="0"/>
          <w:i w:val="0"/>
          <w:sz w:val="22"/>
        </w:rPr>
        <w:t>Settlement instructions from treasury management systems</w:t>
      </w:r>
    </w:p>
    <w:p>
      <w:pPr>
        <w:pStyle w:val="ListParagraph"/>
        <w:numPr>
          <w:ilvl w:val="0"/>
          <w:numId w:val="4"/>
        </w:numPr>
      </w:pPr>
      <w:r>
        <w:rPr>
          <w:rFonts w:ascii="Figtree" w:hAnsi="Figtree"/>
          <w:b w:val="0"/>
          <w:i w:val="0"/>
          <w:sz w:val="22"/>
        </w:rPr>
        <w:t>Payment confirmations from payment processing systems</w:t>
      </w:r>
    </w:p>
    <w:p>
      <w:pPr>
        <w:pStyle w:val="ListParagraph"/>
        <w:numPr>
          <w:ilvl w:val="0"/>
          <w:numId w:val="4"/>
        </w:numPr>
      </w:pPr>
      <w:r>
        <w:rPr>
          <w:rFonts w:ascii="Figtree" w:hAnsi="Figtree"/>
          <w:b w:val="0"/>
          <w:i w:val="0"/>
          <w:sz w:val="22"/>
        </w:rPr>
        <w:t>Account data synchronization for investor verification</w:t>
      </w:r>
    </w:p>
    <w:p>
      <w:r>
        <w:rPr>
          <w:rFonts w:ascii="Figtree" w:hAnsi="Figtree"/>
          <w:b/>
          <w:i w:val="0"/>
          <w:sz w:val="22"/>
        </w:rPr>
        <w:t>Outbound Integration (DALP to Core Banking):</w:t>
      </w:r>
    </w:p>
    <w:p>
      <w:pPr>
        <w:pStyle w:val="ListParagraph"/>
        <w:numPr>
          <w:ilvl w:val="0"/>
          <w:numId w:val="4"/>
        </w:numPr>
      </w:pPr>
      <w:r>
        <w:rPr>
          <w:rFonts w:ascii="Figtree" w:hAnsi="Figtree"/>
          <w:b w:val="0"/>
          <w:i w:val="0"/>
          <w:sz w:val="22"/>
        </w:rPr>
        <w:t>Transaction notifications via webhooks for general ledger updates</w:t>
      </w:r>
    </w:p>
    <w:p>
      <w:pPr>
        <w:pStyle w:val="ListParagraph"/>
        <w:numPr>
          <w:ilvl w:val="0"/>
          <w:numId w:val="4"/>
        </w:numPr>
      </w:pPr>
      <w:r>
        <w:rPr>
          <w:rFonts w:ascii="Figtree" w:hAnsi="Figtree"/>
          <w:b w:val="0"/>
          <w:i w:val="0"/>
          <w:sz w:val="22"/>
        </w:rPr>
        <w:t>Settlement completion events for reconciliation</w:t>
      </w:r>
    </w:p>
    <w:p>
      <w:pPr>
        <w:pStyle w:val="ListParagraph"/>
        <w:numPr>
          <w:ilvl w:val="0"/>
          <w:numId w:val="4"/>
        </w:numPr>
      </w:pPr>
      <w:r>
        <w:rPr>
          <w:rFonts w:ascii="Figtree" w:hAnsi="Figtree"/>
          <w:b w:val="0"/>
          <w:i w:val="0"/>
          <w:sz w:val="22"/>
        </w:rPr>
        <w:t>Compliance decision notifications for risk management systems</w:t>
      </w:r>
    </w:p>
    <w:p>
      <w:pPr>
        <w:pStyle w:val="ListParagraph"/>
        <w:numPr>
          <w:ilvl w:val="0"/>
          <w:numId w:val="4"/>
        </w:numPr>
      </w:pPr>
      <w:r>
        <w:rPr>
          <w:rFonts w:ascii="Figtree" w:hAnsi="Figtree"/>
          <w:b w:val="0"/>
          <w:i w:val="0"/>
          <w:sz w:val="22"/>
        </w:rPr>
        <w:t>Corporate action execution confirmations for entitlement processing</w:t>
      </w:r>
    </w:p>
    <w:p>
      <w:r>
        <w:rPr>
          <w:rFonts w:ascii="Figtree" w:hAnsi="Figtree"/>
          <w:b/>
          <w:i w:val="0"/>
          <w:sz w:val="22"/>
        </w:rPr>
        <w:t>Integration Design Principles:</w:t>
      </w:r>
    </w:p>
    <w:p>
      <w:pPr>
        <w:pStyle w:val="ListParagraph"/>
        <w:numPr>
          <w:ilvl w:val="0"/>
          <w:numId w:val="4"/>
        </w:numPr>
      </w:pPr>
      <w:r>
        <w:rPr>
          <w:rFonts w:ascii="Figtree" w:hAnsi="Figtree"/>
          <w:b w:val="0"/>
          <w:i w:val="0"/>
          <w:sz w:val="22"/>
        </w:rPr>
        <w:t>No direct external calls from business logic</w:t>
      </w:r>
    </w:p>
    <w:p>
      <w:pPr>
        <w:pStyle w:val="ListParagraph"/>
        <w:numPr>
          <w:ilvl w:val="0"/>
          <w:numId w:val="4"/>
        </w:numPr>
      </w:pPr>
      <w:r>
        <w:rPr>
          <w:rFonts w:ascii="Figtree" w:hAnsi="Figtree"/>
          <w:b w:val="0"/>
          <w:i w:val="0"/>
          <w:sz w:val="22"/>
        </w:rPr>
        <w:t>All external interactions route through dedicated gateway components</w:t>
      </w:r>
    </w:p>
    <w:p>
      <w:pPr>
        <w:pStyle w:val="ListParagraph"/>
        <w:numPr>
          <w:ilvl w:val="0"/>
          <w:numId w:val="4"/>
        </w:numPr>
      </w:pPr>
      <w:r>
        <w:rPr>
          <w:rFonts w:ascii="Figtree" w:hAnsi="Figtree"/>
          <w:b w:val="0"/>
          <w:i w:val="0"/>
          <w:sz w:val="22"/>
        </w:rPr>
        <w:t>Retry handling, circuit breaking, and observability for all integration points</w:t>
      </w:r>
    </w:p>
    <w:p>
      <w:pPr>
        <w:pStyle w:val="ListParagraph"/>
        <w:numPr>
          <w:ilvl w:val="0"/>
          <w:numId w:val="4"/>
        </w:numPr>
      </w:pPr>
      <w:r>
        <w:rPr>
          <w:rFonts w:ascii="Figtree" w:hAnsi="Figtree"/>
          <w:b w:val="0"/>
          <w:i w:val="0"/>
          <w:sz w:val="22"/>
        </w:rPr>
        <w:t>Versioned API contracts with backward compatibility commitments</w:t>
      </w:r>
    </w:p>
    <w:p>
      <w:pPr>
        <w:pStyle w:val="H3"/>
        <w:numPr>
          <w:ilvl w:val="2"/>
          <w:numId w:val="1"/>
        </w:numPr>
      </w:pPr>
      <w:r>
        <w:t>Custody Integration</w:t>
      </w:r>
    </w:p>
    <w:p>
      <w:r>
        <w:rPr>
          <w:rFonts w:ascii="Figtree" w:hAnsi="Figtree"/>
          <w:b w:val="0"/>
          <w:i w:val="0"/>
          <w:sz w:val="22"/>
        </w:rPr>
        <w:t>DALP implements a bring-your-own-custodian model:</w:t>
      </w:r>
    </w:p>
    <w:p>
      <w:r>
        <w:rPr>
          <w:rFonts w:ascii="Figtree" w:hAnsi="Figtree"/>
          <w:b/>
          <w:i w:val="0"/>
          <w:sz w:val="22"/>
        </w:rPr>
        <w:t>DFNS Integration:</w:t>
      </w:r>
    </w:p>
    <w:p>
      <w:pPr>
        <w:pStyle w:val="ListParagraph"/>
        <w:numPr>
          <w:ilvl w:val="0"/>
          <w:numId w:val="4"/>
        </w:numPr>
      </w:pPr>
      <w:r>
        <w:rPr>
          <w:rFonts w:ascii="Figtree" w:hAnsi="Figtree"/>
          <w:b w:val="0"/>
          <w:i w:val="0"/>
          <w:sz w:val="22"/>
        </w:rPr>
        <w:t>Threshold MPC signing</w:t>
      </w:r>
    </w:p>
    <w:p>
      <w:pPr>
        <w:pStyle w:val="ListParagraph"/>
        <w:numPr>
          <w:ilvl w:val="0"/>
          <w:numId w:val="4"/>
        </w:numPr>
      </w:pPr>
      <w:r>
        <w:rPr>
          <w:rFonts w:ascii="Figtree" w:hAnsi="Figtree"/>
          <w:b w:val="0"/>
          <w:i w:val="0"/>
          <w:sz w:val="22"/>
        </w:rPr>
        <w:t>REST API integration with flat wallet model</w:t>
      </w:r>
    </w:p>
    <w:p>
      <w:pPr>
        <w:pStyle w:val="ListParagraph"/>
        <w:numPr>
          <w:ilvl w:val="0"/>
          <w:numId w:val="4"/>
        </w:numPr>
      </w:pPr>
      <w:r>
        <w:rPr>
          <w:rFonts w:ascii="Figtree" w:hAnsi="Figtree"/>
          <w:b w:val="0"/>
          <w:i w:val="0"/>
          <w:sz w:val="22"/>
        </w:rPr>
        <w:t>Full programmatic approval resolution through DFNS Policy Engine</w:t>
      </w:r>
    </w:p>
    <w:p>
      <w:pPr>
        <w:pStyle w:val="ListParagraph"/>
        <w:numPr>
          <w:ilvl w:val="0"/>
          <w:numId w:val="4"/>
        </w:numPr>
      </w:pPr>
      <w:r>
        <w:rPr>
          <w:rFonts w:ascii="Figtree" w:hAnsi="Figtree"/>
          <w:b w:val="0"/>
          <w:i w:val="0"/>
          <w:sz w:val="22"/>
        </w:rPr>
        <w:t>Operators approve/reject transactions without leaving DALP</w:t>
      </w:r>
    </w:p>
    <w:p>
      <w:pPr>
        <w:pStyle w:val="ListParagraph"/>
        <w:numPr>
          <w:ilvl w:val="0"/>
          <w:numId w:val="4"/>
        </w:numPr>
      </w:pPr>
      <w:r>
        <w:rPr>
          <w:rFonts w:ascii="Figtree" w:hAnsi="Figtree"/>
          <w:b w:val="0"/>
          <w:i w:val="0"/>
          <w:sz w:val="22"/>
        </w:rPr>
        <w:t>Auto-sign policies, threshold rules, IP/time restrictions, and multi-party approval</w:t>
      </w:r>
    </w:p>
    <w:p>
      <w:r>
        <w:rPr>
          <w:rFonts w:ascii="Figtree" w:hAnsi="Figtree"/>
          <w:b/>
          <w:i w:val="0"/>
          <w:sz w:val="22"/>
        </w:rPr>
        <w:t>Fireblocks Integration:</w:t>
      </w:r>
    </w:p>
    <w:p>
      <w:pPr>
        <w:pStyle w:val="ListParagraph"/>
        <w:numPr>
          <w:ilvl w:val="0"/>
          <w:numId w:val="4"/>
        </w:numPr>
      </w:pPr>
      <w:r>
        <w:rPr>
          <w:rFonts w:ascii="Figtree" w:hAnsi="Figtree"/>
          <w:b w:val="0"/>
          <w:i w:val="0"/>
          <w:sz w:val="22"/>
        </w:rPr>
        <w:t>MPC-CMP with continuous key refresh</w:t>
      </w:r>
    </w:p>
    <w:p>
      <w:pPr>
        <w:pStyle w:val="ListParagraph"/>
        <w:numPr>
          <w:ilvl w:val="0"/>
          <w:numId w:val="4"/>
        </w:numPr>
      </w:pPr>
      <w:r>
        <w:rPr>
          <w:rFonts w:ascii="Figtree" w:hAnsi="Figtree"/>
          <w:b w:val="0"/>
          <w:i w:val="0"/>
          <w:sz w:val="22"/>
        </w:rPr>
        <w:t>REST API with vault account hierarchy</w:t>
      </w:r>
    </w:p>
    <w:p>
      <w:pPr>
        <w:pStyle w:val="ListParagraph"/>
        <w:numPr>
          <w:ilvl w:val="0"/>
          <w:numId w:val="4"/>
        </w:numPr>
      </w:pPr>
      <w:r>
        <w:rPr>
          <w:rFonts w:ascii="Figtree" w:hAnsi="Figtree"/>
          <w:b w:val="0"/>
          <w:i w:val="0"/>
          <w:sz w:val="22"/>
        </w:rPr>
        <w:t>Transaction Authorization Policy (TAP) for thresholds, whitelists, velocity limits</w:t>
      </w:r>
    </w:p>
    <w:p>
      <w:pPr>
        <w:pStyle w:val="ListParagraph"/>
        <w:numPr>
          <w:ilvl w:val="0"/>
          <w:numId w:val="4"/>
        </w:numPr>
      </w:pPr>
      <w:r>
        <w:rPr>
          <w:rFonts w:ascii="Figtree" w:hAnsi="Figtree"/>
          <w:b w:val="0"/>
          <w:i w:val="0"/>
          <w:sz w:val="22"/>
        </w:rPr>
        <w:t>Approval visibility in DALP with resolution through Fireblocks Console or Co-Signer</w:t>
      </w:r>
    </w:p>
    <w:p>
      <w:pPr>
        <w:pStyle w:val="ListParagraph"/>
        <w:numPr>
          <w:ilvl w:val="0"/>
          <w:numId w:val="4"/>
        </w:numPr>
      </w:pPr>
      <w:r>
        <w:rPr>
          <w:rFonts w:ascii="Figtree" w:hAnsi="Figtree"/>
          <w:b w:val="0"/>
          <w:i w:val="0"/>
          <w:sz w:val="22"/>
        </w:rPr>
        <w:t>Production and sandbox environment auto-detection</w:t>
      </w:r>
    </w:p>
    <w:p>
      <w:r>
        <w:rPr>
          <w:rFonts w:ascii="Figtree" w:hAnsi="Figtree"/>
          <w:b/>
          <w:i w:val="0"/>
          <w:sz w:val="22"/>
        </w:rPr>
        <w:t>Local Signer:</w:t>
      </w:r>
    </w:p>
    <w:p>
      <w:pPr>
        <w:pStyle w:val="ListParagraph"/>
        <w:numPr>
          <w:ilvl w:val="0"/>
          <w:numId w:val="4"/>
        </w:numPr>
      </w:pPr>
      <w:r>
        <w:rPr>
          <w:rFonts w:ascii="Figtree" w:hAnsi="Figtree"/>
          <w:b w:val="0"/>
          <w:i w:val="0"/>
          <w:sz w:val="22"/>
        </w:rPr>
        <w:t>Five secret storage backends: local encrypted DB, AWS Secrets Manager, GCP Secret Manager, Azure Key Vault, HashiCorp Vault</w:t>
      </w:r>
    </w:p>
    <w:p>
      <w:pPr>
        <w:pStyle w:val="ListParagraph"/>
        <w:numPr>
          <w:ilvl w:val="0"/>
          <w:numId w:val="4"/>
        </w:numPr>
      </w:pPr>
      <w:r>
        <w:rPr>
          <w:rFonts w:ascii="Figtree" w:hAnsi="Figtree"/>
          <w:b w:val="0"/>
          <w:i w:val="0"/>
          <w:sz w:val="22"/>
        </w:rPr>
        <w:t>Synchronous sign-and-broadcast for development and testing scenarios</w:t>
      </w:r>
    </w:p>
    <w:p>
      <w:pPr>
        <w:pStyle w:val="ListParagraph"/>
        <w:numPr>
          <w:ilvl w:val="0"/>
          <w:numId w:val="4"/>
        </w:numPr>
      </w:pPr>
      <w:r>
        <w:rPr>
          <w:rFonts w:ascii="Figtree" w:hAnsi="Figtree"/>
          <w:b w:val="0"/>
          <w:i w:val="0"/>
          <w:sz w:val="22"/>
        </w:rPr>
        <w:t>HSM integration through cloud secret manager backends</w:t>
      </w:r>
    </w:p>
    <w:p>
      <w:r>
        <w:rPr>
          <w:rFonts w:ascii="Figtree" w:hAnsi="Figtree"/>
          <w:b w:val="0"/>
          <w:i w:val="0"/>
          <w:sz w:val="22"/>
        </w:rPr>
        <w:t xml:space="preserve">For Mashreq Bank, the recommended approach is </w:t>
      </w:r>
      <w:r>
        <w:rPr>
          <w:rFonts w:ascii="Figtree" w:hAnsi="Figtree"/>
          <w:b/>
          <w:i w:val="0"/>
          <w:sz w:val="22"/>
        </w:rPr>
        <w:t>Fireblocks</w:t>
      </w:r>
      <w:r>
        <w:rPr>
          <w:rFonts w:ascii="Figtree" w:hAnsi="Figtree"/>
          <w:b w:val="0"/>
          <w:i w:val="0"/>
          <w:sz w:val="22"/>
        </w:rPr>
        <w:t xml:space="preserve"> as the primary institutional custody provider, given Fireblocks' established presence in the UAE banking sector and their comprehensive TAP policy engine. DFNS integration provides a secondary option for specific use cases or future flexibility.</w:t>
      </w:r>
    </w:p>
    <w:p>
      <w:pPr>
        <w:pStyle w:val="H3"/>
        <w:numPr>
          <w:ilvl w:val="2"/>
          <w:numId w:val="1"/>
        </w:numPr>
      </w:pPr>
      <w:r>
        <w:t>Payment Rails</w:t>
      </w:r>
    </w:p>
    <w:p>
      <w:r>
        <w:rPr>
          <w:rFonts w:ascii="Figtree" w:hAnsi="Figtree"/>
          <w:b w:val="0"/>
          <w:i w:val="0"/>
          <w:sz w:val="22"/>
        </w:rPr>
        <w:t>DALP supports payment rail integration for the cash leg of digital asset operations:</w:t>
      </w:r>
    </w:p>
    <w:p>
      <w:pPr>
        <w:pStyle w:val="ListParagraph"/>
        <w:numPr>
          <w:ilvl w:val="0"/>
          <w:numId w:val="4"/>
        </w:numPr>
      </w:pPr>
      <w:r>
        <w:rPr>
          <w:rFonts w:ascii="Figtree" w:hAnsi="Figtree"/>
          <w:b/>
          <w:i w:val="0"/>
          <w:sz w:val="22"/>
        </w:rPr>
        <w:t>ISO 20022 compatibility:</w:t>
      </w:r>
      <w:r>
        <w:rPr>
          <w:rFonts w:ascii="Figtree" w:hAnsi="Figtree"/>
          <w:b w:val="0"/>
          <w:i w:val="0"/>
          <w:sz w:val="22"/>
        </w:rPr>
        <w:t xml:space="preserve"> Integration-ready for SWIFT, SEPA, and RTGS message formats</w:t>
      </w:r>
    </w:p>
    <w:p>
      <w:pPr>
        <w:pStyle w:val="ListParagraph"/>
        <w:numPr>
          <w:ilvl w:val="0"/>
          <w:numId w:val="4"/>
        </w:numPr>
      </w:pPr>
      <w:r>
        <w:rPr>
          <w:rFonts w:ascii="Figtree" w:hAnsi="Figtree"/>
          <w:b/>
          <w:i w:val="0"/>
          <w:sz w:val="22"/>
        </w:rPr>
        <w:t>UAE payment infrastructure:</w:t>
      </w:r>
      <w:r>
        <w:rPr>
          <w:rFonts w:ascii="Figtree" w:hAnsi="Figtree"/>
          <w:b w:val="0"/>
          <w:i w:val="0"/>
          <w:sz w:val="22"/>
        </w:rPr>
        <w:t xml:space="preserve"> Integration points for UAE payment systems, including IPP (Instant Payments Platform) and UAEDDS (Direct Debit System)</w:t>
      </w:r>
    </w:p>
    <w:p>
      <w:pPr>
        <w:pStyle w:val="ListParagraph"/>
        <w:numPr>
          <w:ilvl w:val="0"/>
          <w:numId w:val="4"/>
        </w:numPr>
      </w:pPr>
      <w:r>
        <w:rPr>
          <w:rFonts w:ascii="Figtree" w:hAnsi="Figtree"/>
          <w:b/>
          <w:i w:val="0"/>
          <w:sz w:val="22"/>
        </w:rPr>
        <w:t>Stablecoin cash leg:</w:t>
      </w:r>
      <w:r>
        <w:rPr>
          <w:rFonts w:ascii="Figtree" w:hAnsi="Figtree"/>
          <w:b w:val="0"/>
          <w:i w:val="0"/>
          <w:sz w:val="22"/>
        </w:rPr>
        <w:t xml:space="preserve"> On-chain cash instruments (deposit tokens, stablecoins) enable fully atomic DvP settlement without external payment rail dependencies</w:t>
      </w:r>
    </w:p>
    <w:p>
      <w:pPr>
        <w:pStyle w:val="H3"/>
        <w:numPr>
          <w:ilvl w:val="2"/>
          <w:numId w:val="1"/>
        </w:numPr>
      </w:pPr>
      <w:r>
        <w:t>Market Infrastructure Connectivity</w:t>
      </w:r>
    </w:p>
    <w:p>
      <w:pPr>
        <w:pStyle w:val="ListParagraph"/>
        <w:numPr>
          <w:ilvl w:val="0"/>
          <w:numId w:val="4"/>
        </w:numPr>
      </w:pPr>
      <w:r>
        <w:rPr>
          <w:rFonts w:ascii="Figtree" w:hAnsi="Figtree"/>
          <w:b/>
          <w:i w:val="0"/>
          <w:sz w:val="22"/>
        </w:rPr>
        <w:t>Exchange connectivity:</w:t>
      </w:r>
      <w:r>
        <w:rPr>
          <w:rFonts w:ascii="Figtree" w:hAnsi="Figtree"/>
          <w:b w:val="0"/>
          <w:i w:val="0"/>
          <w:sz w:val="22"/>
        </w:rPr>
        <w:t xml:space="preserve"> Settlement connectivity to exchanges and liquidity pools for secondary market activity</w:t>
      </w:r>
    </w:p>
    <w:p>
      <w:pPr>
        <w:pStyle w:val="ListParagraph"/>
        <w:numPr>
          <w:ilvl w:val="0"/>
          <w:numId w:val="4"/>
        </w:numPr>
      </w:pPr>
      <w:r>
        <w:rPr>
          <w:rFonts w:ascii="Figtree" w:hAnsi="Figtree"/>
          <w:b/>
          <w:i w:val="0"/>
          <w:sz w:val="22"/>
        </w:rPr>
        <w:t>CSD integration:</w:t>
      </w:r>
      <w:r>
        <w:rPr>
          <w:rFonts w:ascii="Figtree" w:hAnsi="Figtree"/>
          <w:b w:val="0"/>
          <w:i w:val="0"/>
          <w:sz w:val="22"/>
        </w:rPr>
        <w:t xml:space="preserve"> Interface capability for connecting with central securities depositories</w:t>
      </w:r>
    </w:p>
    <w:p>
      <w:pPr>
        <w:pStyle w:val="ListParagraph"/>
        <w:numPr>
          <w:ilvl w:val="0"/>
          <w:numId w:val="4"/>
        </w:numPr>
      </w:pPr>
      <w:r>
        <w:rPr>
          <w:rFonts w:ascii="Figtree" w:hAnsi="Figtree"/>
          <w:b/>
          <w:i w:val="0"/>
          <w:sz w:val="22"/>
        </w:rPr>
        <w:t>Reporting infrastructure:</w:t>
      </w:r>
      <w:r>
        <w:rPr>
          <w:rFonts w:ascii="Figtree" w:hAnsi="Figtree"/>
          <w:b w:val="0"/>
          <w:i w:val="0"/>
          <w:sz w:val="22"/>
        </w:rPr>
        <w:t xml:space="preserve"> Structured data export for regulatory reporting systems</w:t>
      </w:r>
    </w:p>
    <w:p>
      <w:pPr>
        <w:pStyle w:val="H3"/>
        <w:numPr>
          <w:ilvl w:val="2"/>
          <w:numId w:val="1"/>
        </w:numPr>
      </w:pPr>
      <w:r>
        <w:t>SSO/IAM and SIEM Integration</w:t>
      </w:r>
    </w:p>
    <w:p>
      <w:pPr>
        <w:pStyle w:val="ListParagraph"/>
        <w:numPr>
          <w:ilvl w:val="0"/>
          <w:numId w:val="4"/>
        </w:numPr>
      </w:pPr>
      <w:r>
        <w:rPr>
          <w:rFonts w:ascii="Figtree" w:hAnsi="Figtree"/>
          <w:b/>
          <w:i w:val="0"/>
          <w:sz w:val="22"/>
        </w:rPr>
        <w:t>Authentication:</w:t>
      </w:r>
      <w:r>
        <w:rPr>
          <w:rFonts w:ascii="Figtree" w:hAnsi="Figtree"/>
          <w:b w:val="0"/>
          <w:i w:val="0"/>
          <w:sz w:val="22"/>
        </w:rPr>
        <w:t xml:space="preserve"> Better Auth-based authentication with configurable identity providers. SSO integration is deployment-specific and can align with Mashreq Bank's existing identity infrastructure.</w:t>
      </w:r>
    </w:p>
    <w:p>
      <w:pPr>
        <w:pStyle w:val="ListParagraph"/>
        <w:numPr>
          <w:ilvl w:val="0"/>
          <w:numId w:val="4"/>
        </w:numPr>
      </w:pPr>
      <w:r>
        <w:rPr>
          <w:rFonts w:ascii="Figtree" w:hAnsi="Figtree"/>
          <w:b/>
          <w:i w:val="0"/>
          <w:sz w:val="22"/>
        </w:rPr>
        <w:t>SIEM-ready:</w:t>
      </w:r>
      <w:r>
        <w:rPr>
          <w:rFonts w:ascii="Figtree" w:hAnsi="Figtree"/>
          <w:b w:val="0"/>
          <w:i w:val="0"/>
          <w:sz w:val="22"/>
        </w:rPr>
        <w:t xml:space="preserve"> DALP provides structured audit logging and observability data suitable for integration with Mashreq Bank's SIEM platform. Log formats support standard ingestion patterns.</w:t>
      </w:r>
    </w:p>
    <w:p>
      <w:pPr>
        <w:pStyle w:val="ListParagraph"/>
        <w:numPr>
          <w:ilvl w:val="0"/>
          <w:numId w:val="4"/>
        </w:numPr>
      </w:pPr>
      <w:r>
        <w:rPr>
          <w:rFonts w:ascii="Figtree" w:hAnsi="Figtree"/>
          <w:b/>
          <w:i w:val="0"/>
          <w:sz w:val="22"/>
        </w:rPr>
        <w:t>API key management:</w:t>
      </w:r>
      <w:r>
        <w:rPr>
          <w:rFonts w:ascii="Figtree" w:hAnsi="Figtree"/>
          <w:b w:val="0"/>
          <w:i w:val="0"/>
          <w:sz w:val="22"/>
        </w:rPr>
        <w:t xml:space="preserve"> Dedicated REST endpoint with HTTP-method-based scope enforcement for system-to-system authentication.</w:t>
      </w:r>
    </w:p>
    <w:p>
      <w:r>
        <w:br w:type="page"/>
      </w:r>
    </w:p>
    <w:p>
      <w:pPr>
        <w:pStyle w:val="H2"/>
        <w:numPr>
          <w:ilvl w:val="1"/>
          <w:numId w:val="1"/>
        </w:numPr>
      </w:pPr>
      <w:r>
        <w:t>9. Deployment Model</w:t>
      </w:r>
    </w:p>
    <w:p>
      <w:pPr>
        <w:pStyle w:val="H3"/>
        <w:numPr>
          <w:ilvl w:val="2"/>
          <w:numId w:val="1"/>
        </w:numPr>
      </w:pPr>
      <w:r>
        <w:t>On-Premises Deployment in UAE</w:t>
      </w:r>
    </w:p>
    <w:p>
      <w:r>
        <w:rPr>
          <w:rFonts w:ascii="Figtree" w:hAnsi="Figtree"/>
          <w:b w:val="0"/>
          <w:i w:val="0"/>
          <w:sz w:val="22"/>
        </w:rPr>
        <w:t>DALP deploys on-premises within Mashreq Bank's UAE data center infrastructure using Helm charts on Kubernetes. This deployment model provides:</w:t>
      </w:r>
    </w:p>
    <w:p>
      <w:pPr>
        <w:pStyle w:val="ListParagraph"/>
        <w:numPr>
          <w:ilvl w:val="0"/>
          <w:numId w:val="4"/>
        </w:numPr>
      </w:pPr>
      <w:r>
        <w:rPr>
          <w:rFonts w:ascii="Figtree" w:hAnsi="Figtree"/>
          <w:b/>
          <w:i w:val="0"/>
          <w:sz w:val="22"/>
        </w:rPr>
        <w:t>Full data residency control:</w:t>
      </w:r>
      <w:r>
        <w:rPr>
          <w:rFonts w:ascii="Figtree" w:hAnsi="Figtree"/>
          <w:b w:val="0"/>
          <w:i w:val="0"/>
          <w:sz w:val="22"/>
        </w:rPr>
        <w:t xml:space="preserve"> All data, including identity information, transaction records, compliance decisions, and audit logs, remains within Mashreq Bank's infrastructure</w:t>
      </w:r>
    </w:p>
    <w:p>
      <w:pPr>
        <w:pStyle w:val="ListParagraph"/>
        <w:numPr>
          <w:ilvl w:val="0"/>
          <w:numId w:val="4"/>
        </w:numPr>
      </w:pPr>
      <w:r>
        <w:rPr>
          <w:rFonts w:ascii="Figtree" w:hAnsi="Figtree"/>
          <w:b/>
          <w:i w:val="0"/>
          <w:sz w:val="22"/>
        </w:rPr>
        <w:t>Network isolation:</w:t>
      </w:r>
      <w:r>
        <w:rPr>
          <w:rFonts w:ascii="Figtree" w:hAnsi="Figtree"/>
          <w:b w:val="0"/>
          <w:i w:val="0"/>
          <w:sz w:val="22"/>
        </w:rPr>
        <w:t xml:space="preserve"> Blockchain nodes, API services, and database systems operate within the bank's network perimeter</w:t>
      </w:r>
    </w:p>
    <w:p>
      <w:pPr>
        <w:pStyle w:val="ListParagraph"/>
        <w:numPr>
          <w:ilvl w:val="0"/>
          <w:numId w:val="4"/>
        </w:numPr>
      </w:pPr>
      <w:r>
        <w:rPr>
          <w:rFonts w:ascii="Figtree" w:hAnsi="Figtree"/>
          <w:b/>
          <w:i w:val="0"/>
          <w:sz w:val="22"/>
        </w:rPr>
        <w:t>Sovereign key management:</w:t>
      </w:r>
      <w:r>
        <w:rPr>
          <w:rFonts w:ascii="Figtree" w:hAnsi="Figtree"/>
          <w:b w:val="0"/>
          <w:i w:val="0"/>
          <w:sz w:val="22"/>
        </w:rPr>
        <w:t xml:space="preserve"> Cryptographic keys managed within the bank's security boundary</w:t>
      </w:r>
    </w:p>
    <w:p>
      <w:pPr>
        <w:pStyle w:val="ListParagraph"/>
        <w:numPr>
          <w:ilvl w:val="0"/>
          <w:numId w:val="4"/>
        </w:numPr>
      </w:pPr>
      <w:r>
        <w:rPr>
          <w:rFonts w:ascii="Figtree" w:hAnsi="Figtree"/>
          <w:b/>
          <w:i w:val="0"/>
          <w:sz w:val="22"/>
        </w:rPr>
        <w:t>Regulatory compliance:</w:t>
      </w:r>
      <w:r>
        <w:rPr>
          <w:rFonts w:ascii="Figtree" w:hAnsi="Figtree"/>
          <w:b w:val="0"/>
          <w:i w:val="0"/>
          <w:sz w:val="22"/>
        </w:rPr>
        <w:t xml:space="preserve"> Meets CBUAE and VARA data residency requirements without reliance on external cloud infrastructure</w:t>
      </w:r>
    </w:p>
    <w:p>
      <w:pPr>
        <w:pStyle w:val="H3"/>
        <w:numPr>
          <w:ilvl w:val="2"/>
          <w:numId w:val="1"/>
        </w:numPr>
      </w:pPr>
      <w:r>
        <w:t>Infrastructure Requirements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01"/>
        <w:gridCol w:w="6070"/>
      </w:tblGrid>
      <w:tr>
        <w:trPr>
          <w:trHeight w:val="488"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Specification</w:t>
            </w:r>
          </w:p>
        </w:tc>
      </w:tr>
      <w:tr>
        <w:trPr>
          <w:trHeight w:val="488" w:hRule="atLeast"/>
        </w:trPr>
        <w:tc>
          <w:tcPr>
            <w:tcW w:type="dxa" w:w="4873"/>
            <w:vAlign w:val="center"/>
          </w:tcPr>
          <w:p>
            <w:pPr>
              <w:spacing w:line="276" w:lineRule="auto" w:before="0" w:after="0"/>
            </w:pPr>
            <w:r/>
            <w:r>
              <w:rPr>
                <w:rFonts w:ascii="Figtree" w:hAnsi="Figtree"/>
                <w:b/>
                <w:i w:val="0"/>
                <w:sz w:val="20"/>
              </w:rPr>
              <w:t>Container Orchestration</w:t>
            </w:r>
          </w:p>
        </w:tc>
        <w:tc>
          <w:tcPr>
            <w:tcW w:type="dxa" w:w="4873"/>
            <w:vAlign w:val="center"/>
          </w:tcPr>
          <w:p>
            <w:pPr>
              <w:spacing w:line="276" w:lineRule="auto" w:before="0" w:after="0"/>
            </w:pPr>
            <w:r/>
            <w:r>
              <w:rPr>
                <w:rFonts w:ascii="Figtree" w:hAnsi="Figtree"/>
                <w:b w:val="0"/>
                <w:i w:val="0"/>
                <w:sz w:val="20"/>
              </w:rPr>
              <w:t>Kubernetes 1.28+ (EKS, AKS, GKE, or on-prem)</w:t>
            </w:r>
          </w:p>
        </w:tc>
      </w:tr>
      <w:tr>
        <w:trPr>
          <w:trHeight w:val="488" w:hRule="atLeast"/>
        </w:trPr>
        <w:tc>
          <w:tcPr>
            <w:tcW w:type="dxa" w:w="4873"/>
            <w:vAlign w:val="center"/>
          </w:tcPr>
          <w:p>
            <w:pPr>
              <w:spacing w:line="276" w:lineRule="auto" w:before="0" w:after="0"/>
            </w:pPr>
            <w:r/>
            <w:r>
              <w:rPr>
                <w:rFonts w:ascii="Figtree" w:hAnsi="Figtree"/>
                <w:b/>
                <w:i w:val="0"/>
                <w:sz w:val="20"/>
              </w:rPr>
              <w:t>Database</w:t>
            </w:r>
          </w:p>
        </w:tc>
        <w:tc>
          <w:tcPr>
            <w:tcW w:type="dxa" w:w="4873"/>
            <w:vAlign w:val="center"/>
          </w:tcPr>
          <w:p>
            <w:pPr>
              <w:spacing w:line="276" w:lineRule="auto" w:before="0" w:after="0"/>
            </w:pPr>
            <w:r/>
            <w:r>
              <w:rPr>
                <w:rFonts w:ascii="Figtree" w:hAnsi="Figtree"/>
                <w:b w:val="0"/>
                <w:i w:val="0"/>
                <w:sz w:val="20"/>
              </w:rPr>
              <w:t>PostgreSQL 15+ with replication for high availability</w:t>
            </w:r>
          </w:p>
        </w:tc>
      </w:tr>
      <w:tr>
        <w:trPr>
          <w:trHeight w:val="488" w:hRule="atLeast"/>
        </w:trPr>
        <w:tc>
          <w:tcPr>
            <w:tcW w:type="dxa" w:w="4873"/>
            <w:vAlign w:val="center"/>
          </w:tcPr>
          <w:p>
            <w:pPr>
              <w:spacing w:line="276" w:lineRule="auto" w:before="0" w:after="0"/>
            </w:pPr>
            <w:r/>
            <w:r>
              <w:rPr>
                <w:rFonts w:ascii="Figtree" w:hAnsi="Figtree"/>
                <w:b/>
                <w:i w:val="0"/>
                <w:sz w:val="20"/>
              </w:rPr>
              <w:t>Blockchain Nodes</w:t>
            </w:r>
          </w:p>
        </w:tc>
        <w:tc>
          <w:tcPr>
            <w:tcW w:type="dxa" w:w="4873"/>
            <w:vAlign w:val="center"/>
          </w:tcPr>
          <w:p>
            <w:pPr>
              <w:spacing w:line="276" w:lineRule="auto" w:before="0" w:after="0"/>
            </w:pPr>
            <w:r/>
            <w:r>
              <w:rPr>
                <w:rFonts w:ascii="Figtree" w:hAnsi="Figtree"/>
                <w:b w:val="0"/>
                <w:i w:val="0"/>
                <w:sz w:val="20"/>
              </w:rPr>
              <w:t>Hyperledger Besu nodes (minimum 4 validators for QBFT consensus)</w:t>
            </w:r>
          </w:p>
        </w:tc>
      </w:tr>
      <w:tr>
        <w:trPr>
          <w:trHeight w:val="488" w:hRule="atLeast"/>
        </w:trPr>
        <w:tc>
          <w:tcPr>
            <w:tcW w:type="dxa" w:w="4873"/>
            <w:vAlign w:val="center"/>
          </w:tcPr>
          <w:p>
            <w:pPr>
              <w:spacing w:line="276" w:lineRule="auto" w:before="0" w:after="0"/>
            </w:pPr>
            <w:r/>
            <w:r>
              <w:rPr>
                <w:rFonts w:ascii="Figtree" w:hAnsi="Figtree"/>
                <w:b/>
                <w:i w:val="0"/>
                <w:sz w:val="20"/>
              </w:rPr>
              <w:t>Workflow Runtime</w:t>
            </w:r>
          </w:p>
        </w:tc>
        <w:tc>
          <w:tcPr>
            <w:tcW w:type="dxa" w:w="4873"/>
            <w:vAlign w:val="center"/>
          </w:tcPr>
          <w:p>
            <w:pPr>
              <w:spacing w:line="276" w:lineRule="auto" w:before="0" w:after="0"/>
            </w:pPr>
            <w:r/>
            <w:r>
              <w:rPr>
                <w:rFonts w:ascii="Figtree" w:hAnsi="Figtree"/>
                <w:b w:val="0"/>
                <w:i w:val="0"/>
                <w:sz w:val="20"/>
              </w:rPr>
              <w:t>Restate runtime for durable workflow execution</w:t>
            </w:r>
          </w:p>
        </w:tc>
      </w:tr>
      <w:tr>
        <w:trPr>
          <w:trHeight w:val="488" w:hRule="atLeast"/>
        </w:trPr>
        <w:tc>
          <w:tcPr>
            <w:tcW w:type="dxa" w:w="4873"/>
            <w:vAlign w:val="center"/>
          </w:tcPr>
          <w:p>
            <w:pPr>
              <w:spacing w:line="276" w:lineRule="auto" w:before="0" w:after="0"/>
            </w:pPr>
            <w:r/>
            <w:r>
              <w:rPr>
                <w:rFonts w:ascii="Figtree" w:hAnsi="Figtree"/>
                <w:b/>
                <w:i w:val="0"/>
                <w:sz w:val="20"/>
              </w:rPr>
              <w:t>Subgraph Indexer</w:t>
            </w:r>
          </w:p>
        </w:tc>
        <w:tc>
          <w:tcPr>
            <w:tcW w:type="dxa" w:w="4873"/>
            <w:vAlign w:val="center"/>
          </w:tcPr>
          <w:p>
            <w:pPr>
              <w:spacing w:line="276" w:lineRule="auto" w:before="0" w:after="0"/>
            </w:pPr>
            <w:r/>
            <w:r>
              <w:rPr>
                <w:rFonts w:ascii="Figtree" w:hAnsi="Figtree"/>
                <w:b w:val="0"/>
                <w:i w:val="0"/>
                <w:sz w:val="20"/>
              </w:rPr>
              <w:t>TheGraph node for blockchain event indexing</w:t>
            </w:r>
          </w:p>
        </w:tc>
      </w:tr>
      <w:tr>
        <w:trPr>
          <w:trHeight w:val="488" w:hRule="atLeast"/>
        </w:trPr>
        <w:tc>
          <w:tcPr>
            <w:tcW w:type="dxa" w:w="4873"/>
            <w:vAlign w:val="center"/>
          </w:tcPr>
          <w:p>
            <w:pPr>
              <w:spacing w:line="276" w:lineRule="auto" w:before="0" w:after="0"/>
            </w:pPr>
            <w:r/>
            <w:r>
              <w:rPr>
                <w:rFonts w:ascii="Figtree" w:hAnsi="Figtree"/>
                <w:b/>
                <w:i w:val="0"/>
                <w:sz w:val="20"/>
              </w:rPr>
              <w:t>Object Storage</w:t>
            </w:r>
          </w:p>
        </w:tc>
        <w:tc>
          <w:tcPr>
            <w:tcW w:type="dxa" w:w="4873"/>
            <w:vAlign w:val="center"/>
          </w:tcPr>
          <w:p>
            <w:pPr>
              <w:spacing w:line="276" w:lineRule="auto" w:before="0" w:after="0"/>
            </w:pPr>
            <w:r/>
            <w:r>
              <w:rPr>
                <w:rFonts w:ascii="Figtree" w:hAnsi="Figtree"/>
                <w:b w:val="0"/>
                <w:i w:val="0"/>
                <w:sz w:val="20"/>
              </w:rPr>
              <w:t>S3-compatible storage for document management</w:t>
            </w:r>
          </w:p>
        </w:tc>
      </w:tr>
      <w:tr>
        <w:trPr>
          <w:trHeight w:val="488" w:hRule="atLeast"/>
        </w:trPr>
        <w:tc>
          <w:tcPr>
            <w:tcW w:type="dxa" w:w="4873"/>
            <w:vAlign w:val="center"/>
          </w:tcPr>
          <w:p>
            <w:pPr>
              <w:spacing w:line="276" w:lineRule="auto" w:before="0" w:after="0"/>
            </w:pPr>
            <w:r/>
            <w:r>
              <w:rPr>
                <w:rFonts w:ascii="Figtree" w:hAnsi="Figtree"/>
                <w:b/>
                <w:i w:val="0"/>
                <w:sz w:val="20"/>
              </w:rPr>
              <w:t>Monitoring Stack</w:t>
            </w:r>
          </w:p>
        </w:tc>
        <w:tc>
          <w:tcPr>
            <w:tcW w:type="dxa" w:w="4873"/>
            <w:vAlign w:val="center"/>
          </w:tcPr>
          <w:p>
            <w:pPr>
              <w:spacing w:line="276" w:lineRule="auto" w:before="0" w:after="0"/>
            </w:pPr>
            <w:r/>
            <w:r>
              <w:rPr>
                <w:rFonts w:ascii="Figtree" w:hAnsi="Figtree"/>
                <w:b w:val="0"/>
                <w:i w:val="0"/>
                <w:sz w:val="20"/>
              </w:rPr>
              <w:t>VictoriaMetrics, Loki, Tempo, Grafana</w:t>
            </w:r>
          </w:p>
        </w:tc>
      </w:tr>
      <w:tr>
        <w:trPr>
          <w:trHeight w:val="488" w:hRule="atLeast"/>
        </w:trPr>
        <w:tc>
          <w:tcPr>
            <w:tcW w:type="dxa" w:w="4873"/>
            <w:vAlign w:val="center"/>
          </w:tcPr>
          <w:p>
            <w:pPr>
              <w:spacing w:line="276" w:lineRule="auto" w:before="0" w:after="0"/>
            </w:pPr>
            <w:r/>
            <w:r>
              <w:rPr>
                <w:rFonts w:ascii="Figtree" w:hAnsi="Figtree"/>
                <w:b/>
                <w:i w:val="0"/>
                <w:sz w:val="20"/>
              </w:rPr>
              <w:t>Secret Management</w:t>
            </w:r>
          </w:p>
        </w:tc>
        <w:tc>
          <w:tcPr>
            <w:tcW w:type="dxa" w:w="4873"/>
            <w:vAlign w:val="center"/>
          </w:tcPr>
          <w:p>
            <w:pPr>
              <w:spacing w:line="276" w:lineRule="auto" w:before="0" w:after="0"/>
            </w:pPr>
            <w:r/>
            <w:r>
              <w:rPr>
                <w:rFonts w:ascii="Figtree" w:hAnsi="Figtree"/>
                <w:b w:val="0"/>
                <w:i w:val="0"/>
                <w:sz w:val="20"/>
              </w:rPr>
              <w:t>HashiCorp Vault or cloud-equivalent KMS</w:t>
            </w:r>
          </w:p>
        </w:tc>
      </w:tr>
      <w:tr>
        <w:trPr>
          <w:trHeight w:val="488" w:hRule="atLeast"/>
        </w:trPr>
        <w:tc>
          <w:tcPr>
            <w:tcW w:type="dxa" w:w="4873"/>
            <w:vAlign w:val="center"/>
          </w:tcPr>
          <w:p>
            <w:pPr>
              <w:spacing w:line="276" w:lineRule="auto" w:before="0" w:after="0"/>
            </w:pPr>
            <w:r/>
            <w:r>
              <w:rPr>
                <w:rFonts w:ascii="Figtree" w:hAnsi="Figtree"/>
                <w:b/>
                <w:i w:val="0"/>
                <w:sz w:val="20"/>
              </w:rPr>
              <w:t>Compute</w:t>
            </w:r>
          </w:p>
        </w:tc>
        <w:tc>
          <w:tcPr>
            <w:tcW w:type="dxa" w:w="4873"/>
            <w:vAlign w:val="center"/>
          </w:tcPr>
          <w:p>
            <w:pPr>
              <w:spacing w:line="276" w:lineRule="auto" w:before="0" w:after="0"/>
            </w:pPr>
            <w:r/>
            <w:r>
              <w:rPr>
                <w:rFonts w:ascii="Figtree" w:hAnsi="Figtree"/>
                <w:b w:val="0"/>
                <w:i w:val="0"/>
                <w:sz w:val="20"/>
              </w:rPr>
              <w:t>Minimum 16 vCPU, 64GB RAM per node (3+ nodes recommended)</w:t>
            </w:r>
          </w:p>
        </w:tc>
      </w:tr>
      <w:tr>
        <w:trPr>
          <w:trHeight w:val="488" w:hRule="atLeast"/>
        </w:trPr>
        <w:tc>
          <w:tcPr>
            <w:tcW w:type="dxa" w:w="4873"/>
            <w:vAlign w:val="center"/>
          </w:tcPr>
          <w:p>
            <w:pPr>
              <w:spacing w:line="276" w:lineRule="auto" w:before="0" w:after="0"/>
            </w:pPr>
            <w:r/>
            <w:r>
              <w:rPr>
                <w:rFonts w:ascii="Figtree" w:hAnsi="Figtree"/>
                <w:b/>
                <w:i w:val="0"/>
                <w:sz w:val="20"/>
              </w:rPr>
              <w:t>Storage</w:t>
            </w:r>
          </w:p>
        </w:tc>
        <w:tc>
          <w:tcPr>
            <w:tcW w:type="dxa" w:w="4873"/>
            <w:vAlign w:val="center"/>
          </w:tcPr>
          <w:p>
            <w:pPr>
              <w:spacing w:line="276" w:lineRule="auto" w:before="0" w:after="0"/>
            </w:pPr>
            <w:r/>
            <w:r>
              <w:rPr>
                <w:rFonts w:ascii="Figtree" w:hAnsi="Figtree"/>
                <w:b w:val="0"/>
                <w:i w:val="0"/>
                <w:sz w:val="20"/>
              </w:rPr>
              <w:t>SSD-backed storage for database and blockchain state</w:t>
            </w:r>
          </w:p>
        </w:tc>
      </w:tr>
    </w:tbl>
    <w:p>
      <w:pPr>
        <w:spacing w:before="0" w:after="0" w:line="120" w:lineRule="exact"/>
      </w:pPr>
    </w:p>
    <w:p>
      <w:pPr>
        <w:pStyle w:val="H3"/>
        <w:numPr>
          <w:ilvl w:val="2"/>
          <w:numId w:val="1"/>
        </w:numPr>
      </w:pPr>
      <w:r>
        <w:t>High Availability Architecture</w:t>
      </w:r>
    </w:p>
    <w:p>
      <w:r>
        <w:rPr>
          <w:rFonts w:ascii="Figtree" w:hAnsi="Figtree"/>
          <w:b w:val="0"/>
          <w:i w:val="0"/>
          <w:sz w:val="22"/>
        </w:rPr>
        <w:t>DALP's architecture supports high availability at every layer:</w:t>
      </w:r>
    </w:p>
    <w:p>
      <w:pPr>
        <w:pStyle w:val="ListParagraph"/>
        <w:numPr>
          <w:ilvl w:val="0"/>
          <w:numId w:val="4"/>
        </w:numPr>
      </w:pPr>
      <w:r>
        <w:rPr>
          <w:rFonts w:ascii="Figtree" w:hAnsi="Figtree"/>
          <w:b/>
          <w:i w:val="0"/>
          <w:sz w:val="22"/>
        </w:rPr>
        <w:t>Application layer:</w:t>
      </w:r>
      <w:r>
        <w:rPr>
          <w:rFonts w:ascii="Figtree" w:hAnsi="Figtree"/>
          <w:b w:val="0"/>
          <w:i w:val="0"/>
          <w:sz w:val="22"/>
        </w:rPr>
        <w:t xml:space="preserve"> Multiple DAPI instances behind load balancers with session affinity. Restate workflows provide built-in resilience; operations resume after instance recovery.</w:t>
      </w:r>
    </w:p>
    <w:p>
      <w:pPr>
        <w:pStyle w:val="ListParagraph"/>
        <w:numPr>
          <w:ilvl w:val="0"/>
          <w:numId w:val="4"/>
        </w:numPr>
      </w:pPr>
      <w:r>
        <w:rPr>
          <w:rFonts w:ascii="Figtree" w:hAnsi="Figtree"/>
          <w:b/>
          <w:i w:val="0"/>
          <w:sz w:val="22"/>
        </w:rPr>
        <w:t>Database layer:</w:t>
      </w:r>
      <w:r>
        <w:rPr>
          <w:rFonts w:ascii="Figtree" w:hAnsi="Figtree"/>
          <w:b w:val="0"/>
          <w:i w:val="0"/>
          <w:sz w:val="22"/>
        </w:rPr>
        <w:t xml:space="preserve"> PostgreSQL primary-replica configuration with automatic failover. Point-in-time recovery capability for disaster scenarios.</w:t>
      </w:r>
    </w:p>
    <w:p>
      <w:pPr>
        <w:pStyle w:val="ListParagraph"/>
        <w:numPr>
          <w:ilvl w:val="0"/>
          <w:numId w:val="4"/>
        </w:numPr>
      </w:pPr>
      <w:r>
        <w:rPr>
          <w:rFonts w:ascii="Figtree" w:hAnsi="Figtree"/>
          <w:b/>
          <w:i w:val="0"/>
          <w:sz w:val="22"/>
        </w:rPr>
        <w:t>Blockchain layer:</w:t>
      </w:r>
      <w:r>
        <w:rPr>
          <w:rFonts w:ascii="Figtree" w:hAnsi="Figtree"/>
          <w:b w:val="0"/>
          <w:i w:val="0"/>
          <w:sz w:val="22"/>
        </w:rPr>
        <w:t xml:space="preserve"> QBFT consensus tolerates f Byzantine faults with 3f+1 validators. A four-validator network tolerates one node failure while maintaining consensus.</w:t>
      </w:r>
    </w:p>
    <w:p>
      <w:pPr>
        <w:pStyle w:val="ListParagraph"/>
        <w:numPr>
          <w:ilvl w:val="0"/>
          <w:numId w:val="4"/>
        </w:numPr>
      </w:pPr>
      <w:r>
        <w:rPr>
          <w:rFonts w:ascii="Figtree" w:hAnsi="Figtree"/>
          <w:b/>
          <w:i w:val="0"/>
          <w:sz w:val="22"/>
        </w:rPr>
        <w:t>Indexer layer:</w:t>
      </w:r>
      <w:r>
        <w:rPr>
          <w:rFonts w:ascii="Figtree" w:hAnsi="Figtree"/>
          <w:b w:val="0"/>
          <w:i w:val="0"/>
          <w:sz w:val="22"/>
        </w:rPr>
        <w:t xml:space="preserve"> TheGraph node replication with automated failover. Blockchain health monitoring detects indexer degradation with hysteresis-based alerting.</w:t>
      </w:r>
    </w:p>
    <w:p>
      <w:pPr>
        <w:pStyle w:val="ListParagraph"/>
        <w:numPr>
          <w:ilvl w:val="0"/>
          <w:numId w:val="4"/>
        </w:numPr>
      </w:pPr>
      <w:r>
        <w:rPr>
          <w:rFonts w:ascii="Figtree" w:hAnsi="Figtree"/>
          <w:b/>
          <w:i w:val="0"/>
          <w:sz w:val="22"/>
        </w:rPr>
        <w:t>Monitoring layer:</w:t>
      </w:r>
      <w:r>
        <w:rPr>
          <w:rFonts w:ascii="Figtree" w:hAnsi="Figtree"/>
          <w:b w:val="0"/>
          <w:i w:val="0"/>
          <w:sz w:val="22"/>
        </w:rPr>
        <w:t xml:space="preserve"> Grafana, VictoriaMetrics, and Loki operate as independent services with their own persistence, providing observability even during partial platform degradation.</w:t>
      </w:r>
    </w:p>
    <w:p>
      <w:pPr>
        <w:pStyle w:val="H3"/>
        <w:numPr>
          <w:ilvl w:val="2"/>
          <w:numId w:val="1"/>
        </w:numPr>
      </w:pPr>
      <w:r>
        <w:t>Disaster Recovery and Business Continuity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82"/>
        <w:gridCol w:w="1017"/>
        <w:gridCol w:w="5171"/>
      </w:tblGrid>
      <w:tr>
        <w:trPr>
          <w:trHeight w:val="488"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Recovery Objective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Target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Implementation</w:t>
            </w:r>
          </w:p>
        </w:tc>
      </w:tr>
      <w:tr>
        <w:trPr>
          <w:trHeight w:val="488" w:hRule="atLeast"/>
        </w:trPr>
        <w:tc>
          <w:tcPr>
            <w:tcW w:type="dxa" w:w="3249"/>
            <w:vAlign w:val="center"/>
          </w:tcPr>
          <w:p>
            <w:pPr>
              <w:spacing w:line="276" w:lineRule="auto" w:before="0" w:after="0"/>
            </w:pPr>
            <w:r/>
            <w:r>
              <w:rPr>
                <w:rFonts w:ascii="Figtree" w:hAnsi="Figtree"/>
                <w:b/>
                <w:i w:val="0"/>
                <w:sz w:val="20"/>
              </w:rPr>
              <w:t>RPO (Recovery Point Objective)</w:t>
            </w:r>
          </w:p>
        </w:tc>
        <w:tc>
          <w:tcPr>
            <w:tcW w:type="dxa" w:w="3249"/>
            <w:vAlign w:val="center"/>
          </w:tcPr>
          <w:p>
            <w:pPr>
              <w:spacing w:line="276" w:lineRule="auto" w:before="0" w:after="0"/>
            </w:pPr>
            <w:r/>
            <w:r>
              <w:rPr>
                <w:rFonts w:ascii="Figtree" w:hAnsi="Figtree"/>
                <w:b w:val="0"/>
                <w:i w:val="0"/>
                <w:sz w:val="20"/>
              </w:rPr>
              <w:t>&lt; 1 minute</w:t>
            </w:r>
          </w:p>
        </w:tc>
        <w:tc>
          <w:tcPr>
            <w:tcW w:type="dxa" w:w="3249"/>
            <w:vAlign w:val="center"/>
          </w:tcPr>
          <w:p>
            <w:pPr>
              <w:spacing w:line="276" w:lineRule="auto" w:before="0" w:after="0"/>
            </w:pPr>
            <w:r/>
            <w:r>
              <w:rPr>
                <w:rFonts w:ascii="Figtree" w:hAnsi="Figtree"/>
                <w:b w:val="0"/>
                <w:i w:val="0"/>
                <w:sz w:val="20"/>
              </w:rPr>
              <w:t>Synchronous database replication, continuous blockchain state</w:t>
            </w:r>
          </w:p>
        </w:tc>
      </w:tr>
      <w:tr>
        <w:trPr>
          <w:trHeight w:val="488" w:hRule="atLeast"/>
        </w:trPr>
        <w:tc>
          <w:tcPr>
            <w:tcW w:type="dxa" w:w="3249"/>
            <w:vAlign w:val="center"/>
          </w:tcPr>
          <w:p>
            <w:pPr>
              <w:spacing w:line="276" w:lineRule="auto" w:before="0" w:after="0"/>
            </w:pPr>
            <w:r/>
            <w:r>
              <w:rPr>
                <w:rFonts w:ascii="Figtree" w:hAnsi="Figtree"/>
                <w:b/>
                <w:i w:val="0"/>
                <w:sz w:val="20"/>
              </w:rPr>
              <w:t>RTO (Recovery Time Objective)</w:t>
            </w:r>
          </w:p>
        </w:tc>
        <w:tc>
          <w:tcPr>
            <w:tcW w:type="dxa" w:w="3249"/>
            <w:vAlign w:val="center"/>
          </w:tcPr>
          <w:p>
            <w:pPr>
              <w:spacing w:line="276" w:lineRule="auto" w:before="0" w:after="0"/>
            </w:pPr>
            <w:r/>
            <w:r>
              <w:rPr>
                <w:rFonts w:ascii="Figtree" w:hAnsi="Figtree"/>
                <w:b w:val="0"/>
                <w:i w:val="0"/>
                <w:sz w:val="20"/>
              </w:rPr>
              <w:t>&lt; 30 minutes</w:t>
            </w:r>
          </w:p>
        </w:tc>
        <w:tc>
          <w:tcPr>
            <w:tcW w:type="dxa" w:w="3249"/>
            <w:vAlign w:val="center"/>
          </w:tcPr>
          <w:p>
            <w:pPr>
              <w:spacing w:line="276" w:lineRule="auto" w:before="0" w:after="0"/>
            </w:pPr>
            <w:r/>
            <w:r>
              <w:rPr>
                <w:rFonts w:ascii="Figtree" w:hAnsi="Figtree"/>
                <w:b w:val="0"/>
                <w:i w:val="0"/>
                <w:sz w:val="20"/>
              </w:rPr>
              <w:t>Automated failover, pre-provisioned standby infrastructure</w:t>
            </w:r>
          </w:p>
        </w:tc>
      </w:tr>
      <w:tr>
        <w:trPr>
          <w:trHeight w:val="488" w:hRule="atLeast"/>
        </w:trPr>
        <w:tc>
          <w:tcPr>
            <w:tcW w:type="dxa" w:w="3249"/>
            <w:vAlign w:val="center"/>
          </w:tcPr>
          <w:p>
            <w:pPr>
              <w:spacing w:line="276" w:lineRule="auto" w:before="0" w:after="0"/>
            </w:pPr>
            <w:r/>
            <w:r>
              <w:rPr>
                <w:rFonts w:ascii="Figtree" w:hAnsi="Figtree"/>
                <w:b/>
                <w:i w:val="0"/>
                <w:sz w:val="20"/>
              </w:rPr>
              <w:t>Data durability</w:t>
            </w:r>
          </w:p>
        </w:tc>
        <w:tc>
          <w:tcPr>
            <w:tcW w:type="dxa" w:w="3249"/>
            <w:vAlign w:val="center"/>
          </w:tcPr>
          <w:p>
            <w:pPr>
              <w:spacing w:line="276" w:lineRule="auto" w:before="0" w:after="0"/>
            </w:pPr>
            <w:r/>
            <w:r>
              <w:rPr>
                <w:rFonts w:ascii="Figtree" w:hAnsi="Figtree"/>
                <w:b w:val="0"/>
                <w:i w:val="0"/>
                <w:sz w:val="20"/>
              </w:rPr>
              <w:t>99.999%</w:t>
            </w:r>
          </w:p>
        </w:tc>
        <w:tc>
          <w:tcPr>
            <w:tcW w:type="dxa" w:w="3249"/>
            <w:vAlign w:val="center"/>
          </w:tcPr>
          <w:p>
            <w:pPr>
              <w:spacing w:line="276" w:lineRule="auto" w:before="0" w:after="0"/>
            </w:pPr>
            <w:r/>
            <w:r>
              <w:rPr>
                <w:rFonts w:ascii="Figtree" w:hAnsi="Figtree"/>
                <w:b w:val="0"/>
                <w:i w:val="0"/>
                <w:sz w:val="20"/>
              </w:rPr>
              <w:t>Multi-zone replication, encrypted backups</w:t>
            </w:r>
          </w:p>
        </w:tc>
      </w:tr>
      <w:tr>
        <w:trPr>
          <w:trHeight w:val="488" w:hRule="atLeast"/>
        </w:trPr>
        <w:tc>
          <w:tcPr>
            <w:tcW w:type="dxa" w:w="3249"/>
            <w:vAlign w:val="center"/>
          </w:tcPr>
          <w:p>
            <w:pPr>
              <w:spacing w:line="276" w:lineRule="auto" w:before="0" w:after="0"/>
            </w:pPr>
            <w:r/>
            <w:r>
              <w:rPr>
                <w:rFonts w:ascii="Figtree" w:hAnsi="Figtree"/>
                <w:b/>
                <w:i w:val="0"/>
                <w:sz w:val="20"/>
              </w:rPr>
              <w:t>Blockchain state</w:t>
            </w:r>
          </w:p>
        </w:tc>
        <w:tc>
          <w:tcPr>
            <w:tcW w:type="dxa" w:w="3249"/>
            <w:vAlign w:val="center"/>
          </w:tcPr>
          <w:p>
            <w:pPr>
              <w:spacing w:line="276" w:lineRule="auto" w:before="0" w:after="0"/>
            </w:pPr>
            <w:r/>
            <w:r>
              <w:rPr>
                <w:rFonts w:ascii="Figtree" w:hAnsi="Figtree"/>
                <w:b w:val="0"/>
                <w:i w:val="0"/>
                <w:sz w:val="20"/>
              </w:rPr>
              <w:t>Immutable</w:t>
            </w:r>
          </w:p>
        </w:tc>
        <w:tc>
          <w:tcPr>
            <w:tcW w:type="dxa" w:w="3249"/>
            <w:vAlign w:val="center"/>
          </w:tcPr>
          <w:p>
            <w:pPr>
              <w:spacing w:line="276" w:lineRule="auto" w:before="0" w:after="0"/>
            </w:pPr>
            <w:r/>
            <w:r>
              <w:rPr>
                <w:rFonts w:ascii="Figtree" w:hAnsi="Figtree"/>
                <w:b w:val="0"/>
                <w:i w:val="0"/>
                <w:sz w:val="20"/>
              </w:rPr>
              <w:t>Distributed across validator nodes, recoverable from any node</w:t>
            </w:r>
          </w:p>
        </w:tc>
      </w:tr>
    </w:tbl>
    <w:p>
      <w:pPr>
        <w:spacing w:before="0" w:after="0" w:line="120" w:lineRule="exact"/>
      </w:pPr>
    </w:p>
    <w:p>
      <w:r>
        <w:rPr>
          <w:rFonts w:ascii="Figtree" w:hAnsi="Figtree"/>
          <w:b w:val="0"/>
          <w:i w:val="0"/>
          <w:sz w:val="22"/>
        </w:rPr>
        <w:t>Disaster recovery procedures include:</w:t>
      </w:r>
    </w:p>
    <w:p>
      <w:pPr>
        <w:pStyle w:val="ListParagraph"/>
        <w:numPr>
          <w:ilvl w:val="0"/>
          <w:numId w:val="15"/>
        </w:numPr>
      </w:pPr>
      <w:r>
        <w:rPr>
          <w:rFonts w:ascii="Figtree" w:hAnsi="Figtree"/>
          <w:b w:val="0"/>
          <w:i w:val="0"/>
          <w:sz w:val="22"/>
        </w:rPr>
        <w:t>Automated database failover to standby replica</w:t>
      </w:r>
    </w:p>
    <w:p>
      <w:pPr>
        <w:pStyle w:val="ListParagraph"/>
        <w:numPr>
          <w:ilvl w:val="0"/>
          <w:numId w:val="15"/>
        </w:numPr>
      </w:pPr>
      <w:r>
        <w:rPr>
          <w:rFonts w:ascii="Figtree" w:hAnsi="Figtree"/>
          <w:b w:val="0"/>
          <w:i w:val="0"/>
          <w:sz w:val="22"/>
        </w:rPr>
        <w:t>Blockchain node recovery from peer synchronization</w:t>
      </w:r>
    </w:p>
    <w:p>
      <w:pPr>
        <w:pStyle w:val="ListParagraph"/>
        <w:numPr>
          <w:ilvl w:val="0"/>
          <w:numId w:val="15"/>
        </w:numPr>
      </w:pPr>
      <w:r>
        <w:rPr>
          <w:rFonts w:ascii="Figtree" w:hAnsi="Figtree"/>
          <w:b w:val="0"/>
          <w:i w:val="0"/>
          <w:sz w:val="22"/>
        </w:rPr>
        <w:t>Workflow state recovery through Restate's durable execution guarantees</w:t>
      </w:r>
    </w:p>
    <w:p>
      <w:pPr>
        <w:pStyle w:val="ListParagraph"/>
        <w:numPr>
          <w:ilvl w:val="0"/>
          <w:numId w:val="15"/>
        </w:numPr>
      </w:pPr>
      <w:r>
        <w:rPr>
          <w:rFonts w:ascii="Figtree" w:hAnsi="Figtree"/>
          <w:b w:val="0"/>
          <w:i w:val="0"/>
          <w:sz w:val="22"/>
        </w:rPr>
        <w:t>Indexer re-synchronization from blockchain event history</w:t>
      </w:r>
    </w:p>
    <w:p>
      <w:pPr>
        <w:pStyle w:val="ListParagraph"/>
        <w:numPr>
          <w:ilvl w:val="0"/>
          <w:numId w:val="15"/>
        </w:numPr>
      </w:pPr>
      <w:r>
        <w:rPr>
          <w:rFonts w:ascii="Figtree" w:hAnsi="Figtree"/>
          <w:b w:val="0"/>
          <w:i w:val="0"/>
          <w:sz w:val="22"/>
        </w:rPr>
        <w:t>Monitoring stack independent recovery</w:t>
      </w:r>
    </w:p>
    <w:p>
      <w:pPr>
        <w:pStyle w:val="H3"/>
        <w:numPr>
          <w:ilvl w:val="2"/>
          <w:numId w:val="1"/>
        </w:numPr>
      </w:pPr>
      <w:r>
        <w:t>Environment Strategy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296"/>
        <w:gridCol w:w="2851"/>
        <w:gridCol w:w="4924"/>
      </w:tblGrid>
      <w:tr>
        <w:trPr>
          <w:trHeight w:val="488"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Environment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Infrastructure</w:t>
            </w:r>
          </w:p>
        </w:tc>
      </w:tr>
      <w:tr>
        <w:trPr>
          <w:trHeight w:val="488" w:hRule="atLeast"/>
        </w:trPr>
        <w:tc>
          <w:tcPr>
            <w:tcW w:type="dxa" w:w="3249"/>
            <w:vAlign w:val="center"/>
          </w:tcPr>
          <w:p>
            <w:pPr>
              <w:spacing w:line="276" w:lineRule="auto" w:before="0" w:after="0"/>
            </w:pPr>
            <w:r/>
            <w:r>
              <w:rPr>
                <w:rFonts w:ascii="Figtree" w:hAnsi="Figtree"/>
                <w:b/>
                <w:i w:val="0"/>
                <w:sz w:val="20"/>
              </w:rPr>
              <w:t>Development</w:t>
            </w:r>
          </w:p>
        </w:tc>
        <w:tc>
          <w:tcPr>
            <w:tcW w:type="dxa" w:w="3249"/>
            <w:vAlign w:val="center"/>
          </w:tcPr>
          <w:p>
            <w:pPr>
              <w:spacing w:line="276" w:lineRule="auto" w:before="0" w:after="0"/>
            </w:pPr>
            <w:r/>
            <w:r>
              <w:rPr>
                <w:rFonts w:ascii="Figtree" w:hAnsi="Figtree"/>
                <w:b w:val="0"/>
                <w:i w:val="0"/>
                <w:sz w:val="20"/>
              </w:rPr>
              <w:t>Feature development, unit testing</w:t>
            </w:r>
          </w:p>
        </w:tc>
        <w:tc>
          <w:tcPr>
            <w:tcW w:type="dxa" w:w="3249"/>
            <w:vAlign w:val="center"/>
          </w:tcPr>
          <w:p>
            <w:pPr>
              <w:spacing w:line="276" w:lineRule="auto" w:before="0" w:after="0"/>
            </w:pPr>
            <w:r/>
            <w:r>
              <w:rPr>
                <w:rFonts w:ascii="Figtree" w:hAnsi="Figtree"/>
                <w:b w:val="0"/>
                <w:i w:val="0"/>
                <w:sz w:val="20"/>
              </w:rPr>
              <w:t>Single-node, local signer, test blockchain</w:t>
            </w:r>
          </w:p>
        </w:tc>
      </w:tr>
      <w:tr>
        <w:trPr>
          <w:trHeight w:val="488" w:hRule="atLeast"/>
        </w:trPr>
        <w:tc>
          <w:tcPr>
            <w:tcW w:type="dxa" w:w="3249"/>
            <w:vAlign w:val="center"/>
          </w:tcPr>
          <w:p>
            <w:pPr>
              <w:spacing w:line="276" w:lineRule="auto" w:before="0" w:after="0"/>
            </w:pPr>
            <w:r/>
            <w:r>
              <w:rPr>
                <w:rFonts w:ascii="Figtree" w:hAnsi="Figtree"/>
                <w:b/>
                <w:i w:val="0"/>
                <w:sz w:val="20"/>
              </w:rPr>
              <w:t>Staging</w:t>
            </w:r>
          </w:p>
        </w:tc>
        <w:tc>
          <w:tcPr>
            <w:tcW w:type="dxa" w:w="3249"/>
            <w:vAlign w:val="center"/>
          </w:tcPr>
          <w:p>
            <w:pPr>
              <w:spacing w:line="276" w:lineRule="auto" w:before="0" w:after="0"/>
            </w:pPr>
            <w:r/>
            <w:r>
              <w:rPr>
                <w:rFonts w:ascii="Figtree" w:hAnsi="Figtree"/>
                <w:b w:val="0"/>
                <w:i w:val="0"/>
                <w:sz w:val="20"/>
              </w:rPr>
              <w:t>Integration testing, UAT</w:t>
            </w:r>
          </w:p>
        </w:tc>
        <w:tc>
          <w:tcPr>
            <w:tcW w:type="dxa" w:w="3249"/>
            <w:vAlign w:val="center"/>
          </w:tcPr>
          <w:p>
            <w:pPr>
              <w:spacing w:line="276" w:lineRule="auto" w:before="0" w:after="0"/>
            </w:pPr>
            <w:r/>
            <w:r>
              <w:rPr>
                <w:rFonts w:ascii="Figtree" w:hAnsi="Figtree"/>
                <w:b w:val="0"/>
                <w:i w:val="0"/>
                <w:sz w:val="20"/>
              </w:rPr>
              <w:t>Production-mirror, test custody provider, test blockchain</w:t>
            </w:r>
          </w:p>
        </w:tc>
      </w:tr>
      <w:tr>
        <w:trPr>
          <w:trHeight w:val="488" w:hRule="atLeast"/>
        </w:trPr>
        <w:tc>
          <w:tcPr>
            <w:tcW w:type="dxa" w:w="3249"/>
            <w:vAlign w:val="center"/>
          </w:tcPr>
          <w:p>
            <w:pPr>
              <w:spacing w:line="276" w:lineRule="auto" w:before="0" w:after="0"/>
            </w:pPr>
            <w:r/>
            <w:r>
              <w:rPr>
                <w:rFonts w:ascii="Figtree" w:hAnsi="Figtree"/>
                <w:b/>
                <w:i w:val="0"/>
                <w:sz w:val="20"/>
              </w:rPr>
              <w:t>Production</w:t>
            </w:r>
          </w:p>
        </w:tc>
        <w:tc>
          <w:tcPr>
            <w:tcW w:type="dxa" w:w="3249"/>
            <w:vAlign w:val="center"/>
          </w:tcPr>
          <w:p>
            <w:pPr>
              <w:spacing w:line="276" w:lineRule="auto" w:before="0" w:after="0"/>
            </w:pPr>
            <w:r/>
            <w:r>
              <w:rPr>
                <w:rFonts w:ascii="Figtree" w:hAnsi="Figtree"/>
                <w:b w:val="0"/>
                <w:i w:val="0"/>
                <w:sz w:val="20"/>
              </w:rPr>
              <w:t>Live operations</w:t>
            </w:r>
          </w:p>
        </w:tc>
        <w:tc>
          <w:tcPr>
            <w:tcW w:type="dxa" w:w="3249"/>
            <w:vAlign w:val="center"/>
          </w:tcPr>
          <w:p>
            <w:pPr>
              <w:spacing w:line="276" w:lineRule="auto" w:before="0" w:after="0"/>
            </w:pPr>
            <w:r/>
            <w:r>
              <w:rPr>
                <w:rFonts w:ascii="Figtree" w:hAnsi="Figtree"/>
                <w:b w:val="0"/>
                <w:i w:val="0"/>
                <w:sz w:val="20"/>
              </w:rPr>
              <w:t>Full HA, institutional custody, production blockchain</w:t>
            </w:r>
          </w:p>
        </w:tc>
      </w:tr>
      <w:tr>
        <w:trPr>
          <w:trHeight w:val="488" w:hRule="atLeast"/>
        </w:trPr>
        <w:tc>
          <w:tcPr>
            <w:tcW w:type="dxa" w:w="3249"/>
            <w:vAlign w:val="center"/>
          </w:tcPr>
          <w:p>
            <w:pPr>
              <w:spacing w:line="276" w:lineRule="auto" w:before="0" w:after="0"/>
            </w:pPr>
            <w:r/>
            <w:r>
              <w:rPr>
                <w:rFonts w:ascii="Figtree" w:hAnsi="Figtree"/>
                <w:b/>
                <w:i w:val="0"/>
                <w:sz w:val="20"/>
              </w:rPr>
              <w:t>DR</w:t>
            </w:r>
          </w:p>
        </w:tc>
        <w:tc>
          <w:tcPr>
            <w:tcW w:type="dxa" w:w="3249"/>
            <w:vAlign w:val="center"/>
          </w:tcPr>
          <w:p>
            <w:pPr>
              <w:spacing w:line="276" w:lineRule="auto" w:before="0" w:after="0"/>
            </w:pPr>
            <w:r/>
            <w:r>
              <w:rPr>
                <w:rFonts w:ascii="Figtree" w:hAnsi="Figtree"/>
                <w:b w:val="0"/>
                <w:i w:val="0"/>
                <w:sz w:val="20"/>
              </w:rPr>
              <w:t>Disaster recovery standby</w:t>
            </w:r>
          </w:p>
        </w:tc>
        <w:tc>
          <w:tcPr>
            <w:tcW w:type="dxa" w:w="3249"/>
            <w:vAlign w:val="center"/>
          </w:tcPr>
          <w:p>
            <w:pPr>
              <w:spacing w:line="276" w:lineRule="auto" w:before="0" w:after="0"/>
            </w:pPr>
            <w:r/>
            <w:r>
              <w:rPr>
                <w:rFonts w:ascii="Figtree" w:hAnsi="Figtree"/>
                <w:b w:val="0"/>
                <w:i w:val="0"/>
                <w:sz w:val="20"/>
              </w:rPr>
              <w:t>Warm standby, synchronized state, automated failover</w:t>
            </w:r>
          </w:p>
        </w:tc>
      </w:tr>
    </w:tbl>
    <w:p>
      <w:pPr>
        <w:spacing w:before="0" w:after="0" w:line="120" w:lineRule="exact"/>
      </w:pPr>
    </w:p>
    <w:p>
      <w:r>
        <w:br w:type="page"/>
      </w:r>
    </w:p>
    <w:p>
      <w:pPr>
        <w:pStyle w:val="H2"/>
        <w:numPr>
          <w:ilvl w:val="1"/>
          <w:numId w:val="1"/>
        </w:numPr>
      </w:pPr>
      <w:r>
        <w:t>10. Security</w:t>
      </w:r>
    </w:p>
    <w:p>
      <w:pPr>
        <w:pStyle w:val="H3"/>
        <w:numPr>
          <w:ilvl w:val="2"/>
          <w:numId w:val="1"/>
        </w:numPr>
      </w:pPr>
      <w:r>
        <w:t>Security Architecture</w:t>
      </w:r>
    </w:p>
    <w:p>
      <w:r>
        <w:rPr>
          <w:rFonts w:ascii="Figtree" w:hAnsi="Figtree"/>
          <w:b w:val="0"/>
          <w:i w:val="0"/>
          <w:sz w:val="22"/>
        </w:rPr>
        <w:t>DALP implements security across five distinct layers:</w:t>
      </w:r>
    </w:p>
    <w:p>
      <w:r>
        <w:rPr>
          <w:rFonts w:ascii="Figtree" w:hAnsi="Figtree"/>
          <w:b/>
          <w:i w:val="0"/>
          <w:sz w:val="22"/>
        </w:rPr>
        <w:t>Layer 1: Network Security</w:t>
      </w:r>
    </w:p>
    <w:p>
      <w:pPr>
        <w:pStyle w:val="ListParagraph"/>
        <w:numPr>
          <w:ilvl w:val="0"/>
          <w:numId w:val="4"/>
        </w:numPr>
      </w:pPr>
      <w:r>
        <w:rPr>
          <w:rFonts w:ascii="Figtree" w:hAnsi="Figtree"/>
          <w:b w:val="0"/>
          <w:i w:val="0"/>
          <w:sz w:val="22"/>
        </w:rPr>
        <w:t>Blockchain node communication encrypted via TLS</w:t>
      </w:r>
    </w:p>
    <w:p>
      <w:pPr>
        <w:pStyle w:val="ListParagraph"/>
        <w:numPr>
          <w:ilvl w:val="0"/>
          <w:numId w:val="4"/>
        </w:numPr>
      </w:pPr>
      <w:r>
        <w:rPr>
          <w:rFonts w:ascii="Figtree" w:hAnsi="Figtree"/>
          <w:b w:val="0"/>
          <w:i w:val="0"/>
          <w:sz w:val="22"/>
        </w:rPr>
        <w:t>API endpoints served over HTTPS with certificate management</w:t>
      </w:r>
    </w:p>
    <w:p>
      <w:pPr>
        <w:pStyle w:val="ListParagraph"/>
        <w:numPr>
          <w:ilvl w:val="0"/>
          <w:numId w:val="4"/>
        </w:numPr>
      </w:pPr>
      <w:r>
        <w:rPr>
          <w:rFonts w:ascii="Figtree" w:hAnsi="Figtree"/>
          <w:b w:val="0"/>
          <w:i w:val="0"/>
          <w:sz w:val="22"/>
        </w:rPr>
        <w:t>Network segmentation between application, database, and blockchain tiers</w:t>
      </w:r>
    </w:p>
    <w:p>
      <w:pPr>
        <w:pStyle w:val="ListParagraph"/>
        <w:numPr>
          <w:ilvl w:val="0"/>
          <w:numId w:val="4"/>
        </w:numPr>
      </w:pPr>
      <w:r>
        <w:rPr>
          <w:rFonts w:ascii="Figtree" w:hAnsi="Figtree"/>
          <w:b w:val="0"/>
          <w:i w:val="0"/>
          <w:sz w:val="22"/>
        </w:rPr>
        <w:t>Firewall rules restricting inter-service communication to required ports and protocols</w:t>
      </w:r>
    </w:p>
    <w:p>
      <w:r>
        <w:rPr>
          <w:rFonts w:ascii="Figtree" w:hAnsi="Figtree"/>
          <w:b/>
          <w:i w:val="0"/>
          <w:sz w:val="22"/>
        </w:rPr>
        <w:t>Layer 2: Application Security</w:t>
      </w:r>
    </w:p>
    <w:p>
      <w:pPr>
        <w:pStyle w:val="ListParagraph"/>
        <w:numPr>
          <w:ilvl w:val="0"/>
          <w:numId w:val="4"/>
        </w:numPr>
      </w:pPr>
      <w:r>
        <w:rPr>
          <w:rFonts w:ascii="Figtree" w:hAnsi="Figtree"/>
          <w:b w:val="0"/>
          <w:i w:val="0"/>
          <w:sz w:val="22"/>
        </w:rPr>
        <w:t>Input validation with hostile-input regression testing (SQLi-like and XSS-like payloads included in test suites)</w:t>
      </w:r>
    </w:p>
    <w:p>
      <w:pPr>
        <w:pStyle w:val="ListParagraph"/>
        <w:numPr>
          <w:ilvl w:val="0"/>
          <w:numId w:val="4"/>
        </w:numPr>
      </w:pPr>
      <w:r>
        <w:rPr>
          <w:rFonts w:ascii="Figtree" w:hAnsi="Figtree"/>
          <w:b w:val="0"/>
          <w:i w:val="0"/>
          <w:sz w:val="22"/>
        </w:rPr>
        <w:t>DAPI middleware enforces authentication, authorization, and tenant isolation on every request</w:t>
      </w:r>
    </w:p>
    <w:p>
      <w:pPr>
        <w:pStyle w:val="ListParagraph"/>
        <w:numPr>
          <w:ilvl w:val="0"/>
          <w:numId w:val="4"/>
        </w:numPr>
      </w:pPr>
      <w:r>
        <w:rPr>
          <w:rFonts w:ascii="Figtree" w:hAnsi="Figtree"/>
          <w:b w:val="0"/>
          <w:i w:val="0"/>
          <w:sz w:val="22"/>
        </w:rPr>
        <w:t>API key endpoint affinity: API keys are blocked on the RPC endpoint, preventing authentication method misuse</w:t>
      </w:r>
    </w:p>
    <w:p>
      <w:pPr>
        <w:pStyle w:val="ListParagraph"/>
        <w:numPr>
          <w:ilvl w:val="0"/>
          <w:numId w:val="4"/>
        </w:numPr>
      </w:pPr>
      <w:r>
        <w:rPr>
          <w:rFonts w:ascii="Figtree" w:hAnsi="Figtree"/>
          <w:b w:val="0"/>
          <w:i w:val="0"/>
          <w:sz w:val="22"/>
        </w:rPr>
        <w:t>Rate limiting and request throttling for API endpoints</w:t>
      </w:r>
    </w:p>
    <w:p>
      <w:r>
        <w:rPr>
          <w:rFonts w:ascii="Figtree" w:hAnsi="Figtree"/>
          <w:b/>
          <w:i w:val="0"/>
          <w:sz w:val="22"/>
        </w:rPr>
        <w:t>Layer 3: Identity and Access Security</w:t>
      </w:r>
    </w:p>
    <w:p>
      <w:pPr>
        <w:pStyle w:val="ListParagraph"/>
        <w:numPr>
          <w:ilvl w:val="0"/>
          <w:numId w:val="4"/>
        </w:numPr>
      </w:pPr>
      <w:r>
        <w:rPr>
          <w:rFonts w:ascii="Figtree" w:hAnsi="Figtree"/>
          <w:b w:val="0"/>
          <w:i w:val="0"/>
          <w:sz w:val="22"/>
        </w:rPr>
        <w:t>OnchainID provides verifiable, on-chain identity for all participants</w:t>
      </w:r>
    </w:p>
    <w:p>
      <w:pPr>
        <w:pStyle w:val="ListParagraph"/>
        <w:numPr>
          <w:ilvl w:val="0"/>
          <w:numId w:val="4"/>
        </w:numPr>
      </w:pPr>
      <w:r>
        <w:rPr>
          <w:rFonts w:ascii="Figtree" w:hAnsi="Figtree"/>
          <w:b w:val="0"/>
          <w:i w:val="0"/>
          <w:sz w:val="22"/>
        </w:rPr>
        <w:t>RBAC with five defined roles and four layers of access control</w:t>
      </w:r>
    </w:p>
    <w:p>
      <w:pPr>
        <w:pStyle w:val="ListParagraph"/>
        <w:numPr>
          <w:ilvl w:val="0"/>
          <w:numId w:val="4"/>
        </w:numPr>
      </w:pPr>
      <w:r>
        <w:rPr>
          <w:rFonts w:ascii="Figtree" w:hAnsi="Figtree"/>
          <w:b w:val="0"/>
          <w:i w:val="0"/>
          <w:sz w:val="22"/>
        </w:rPr>
        <w:t>Maker-checker workflows for all sensitive operations</w:t>
      </w:r>
    </w:p>
    <w:p>
      <w:pPr>
        <w:pStyle w:val="ListParagraph"/>
        <w:numPr>
          <w:ilvl w:val="0"/>
          <w:numId w:val="4"/>
        </w:numPr>
      </w:pPr>
      <w:r>
        <w:rPr>
          <w:rFonts w:ascii="Figtree" w:hAnsi="Figtree"/>
          <w:b w:val="0"/>
          <w:i w:val="0"/>
          <w:sz w:val="22"/>
        </w:rPr>
        <w:t>Wallet verification with multi-factor authentication (PIN code, TOTP, secret codes)</w:t>
      </w:r>
    </w:p>
    <w:p>
      <w:pPr>
        <w:pStyle w:val="ListParagraph"/>
        <w:numPr>
          <w:ilvl w:val="0"/>
          <w:numId w:val="4"/>
        </w:numPr>
      </w:pPr>
      <w:r>
        <w:rPr>
          <w:rFonts w:ascii="Figtree" w:hAnsi="Figtree"/>
          <w:b w:val="0"/>
          <w:i w:val="0"/>
          <w:sz w:val="22"/>
        </w:rPr>
        <w:t>Session management with organization-scoped membership verification</w:t>
      </w:r>
    </w:p>
    <w:p>
      <w:r>
        <w:rPr>
          <w:rFonts w:ascii="Figtree" w:hAnsi="Figtree"/>
          <w:b/>
          <w:i w:val="0"/>
          <w:sz w:val="22"/>
        </w:rPr>
        <w:t>Layer 4: Cryptographic Security</w:t>
      </w:r>
    </w:p>
    <w:p>
      <w:pPr>
        <w:pStyle w:val="ListParagraph"/>
        <w:numPr>
          <w:ilvl w:val="0"/>
          <w:numId w:val="4"/>
        </w:numPr>
      </w:pPr>
      <w:r>
        <w:rPr>
          <w:rFonts w:ascii="Figtree" w:hAnsi="Figtree"/>
          <w:b w:val="0"/>
          <w:i w:val="0"/>
          <w:sz w:val="22"/>
        </w:rPr>
        <w:t>Private key storage across multiple security tiers (encrypted DB, cloud KMS, HSM, MPC custody)</w:t>
      </w:r>
    </w:p>
    <w:p>
      <w:pPr>
        <w:pStyle w:val="ListParagraph"/>
        <w:numPr>
          <w:ilvl w:val="0"/>
          <w:numId w:val="4"/>
        </w:numPr>
      </w:pPr>
      <w:r>
        <w:rPr>
          <w:rFonts w:ascii="Figtree" w:hAnsi="Figtree"/>
          <w:b w:val="0"/>
          <w:i w:val="0"/>
          <w:sz w:val="22"/>
        </w:rPr>
        <w:t>ERC-8021 transaction attribution for provenance tracking</w:t>
      </w:r>
    </w:p>
    <w:p>
      <w:pPr>
        <w:pStyle w:val="ListParagraph"/>
        <w:numPr>
          <w:ilvl w:val="0"/>
          <w:numId w:val="4"/>
        </w:numPr>
      </w:pPr>
      <w:r>
        <w:rPr>
          <w:rFonts w:ascii="Figtree" w:hAnsi="Figtree"/>
          <w:b w:val="0"/>
          <w:i w:val="0"/>
          <w:sz w:val="22"/>
        </w:rPr>
        <w:t>Content-hash verification for KYC data integrity</w:t>
      </w:r>
    </w:p>
    <w:p>
      <w:pPr>
        <w:pStyle w:val="ListParagraph"/>
        <w:numPr>
          <w:ilvl w:val="0"/>
          <w:numId w:val="4"/>
        </w:numPr>
      </w:pPr>
      <w:r>
        <w:rPr>
          <w:rFonts w:ascii="Figtree" w:hAnsi="Figtree"/>
          <w:b w:val="0"/>
          <w:i w:val="0"/>
          <w:sz w:val="22"/>
        </w:rPr>
        <w:t>Digital signature verification for all on-chain operations</w:t>
      </w:r>
    </w:p>
    <w:p>
      <w:r>
        <w:rPr>
          <w:rFonts w:ascii="Figtree" w:hAnsi="Figtree"/>
          <w:b/>
          <w:i w:val="0"/>
          <w:sz w:val="22"/>
        </w:rPr>
        <w:t>Layer 5: Operational Security</w:t>
      </w:r>
    </w:p>
    <w:p>
      <w:pPr>
        <w:pStyle w:val="ListParagraph"/>
        <w:numPr>
          <w:ilvl w:val="0"/>
          <w:numId w:val="4"/>
        </w:numPr>
      </w:pPr>
      <w:r>
        <w:rPr>
          <w:rFonts w:ascii="Figtree" w:hAnsi="Figtree"/>
          <w:b w:val="0"/>
          <w:i w:val="0"/>
          <w:sz w:val="22"/>
        </w:rPr>
        <w:t>Full audit logging with structured, queryable event history</w:t>
      </w:r>
    </w:p>
    <w:p>
      <w:pPr>
        <w:pStyle w:val="ListParagraph"/>
        <w:numPr>
          <w:ilvl w:val="0"/>
          <w:numId w:val="4"/>
        </w:numPr>
      </w:pPr>
      <w:r>
        <w:rPr>
          <w:rFonts w:ascii="Figtree" w:hAnsi="Figtree"/>
          <w:b w:val="0"/>
          <w:i w:val="0"/>
          <w:sz w:val="22"/>
        </w:rPr>
        <w:t>Blockchain health monitoring with automated alerting</w:t>
      </w:r>
    </w:p>
    <w:p>
      <w:pPr>
        <w:pStyle w:val="ListParagraph"/>
        <w:numPr>
          <w:ilvl w:val="0"/>
          <w:numId w:val="4"/>
        </w:numPr>
      </w:pPr>
      <w:r>
        <w:rPr>
          <w:rFonts w:ascii="Figtree" w:hAnsi="Figtree"/>
          <w:b w:val="0"/>
          <w:i w:val="0"/>
          <w:sz w:val="22"/>
        </w:rPr>
        <w:t>Transaction reconciliation and cancellation workflows</w:t>
      </w:r>
    </w:p>
    <w:p>
      <w:pPr>
        <w:pStyle w:val="ListParagraph"/>
        <w:numPr>
          <w:ilvl w:val="0"/>
          <w:numId w:val="4"/>
        </w:numPr>
      </w:pPr>
      <w:r>
        <w:rPr>
          <w:rFonts w:ascii="Figtree" w:hAnsi="Figtree"/>
          <w:b w:val="0"/>
          <w:i w:val="0"/>
          <w:sz w:val="22"/>
        </w:rPr>
        <w:t>Nonce management with self-healing for stuck transactions</w:t>
      </w:r>
    </w:p>
    <w:p>
      <w:pPr>
        <w:pStyle w:val="ListParagraph"/>
        <w:numPr>
          <w:ilvl w:val="0"/>
          <w:numId w:val="4"/>
        </w:numPr>
      </w:pPr>
      <w:r>
        <w:rPr>
          <w:rFonts w:ascii="Figtree" w:hAnsi="Figtree"/>
          <w:b w:val="0"/>
          <w:i w:val="0"/>
          <w:sz w:val="22"/>
        </w:rPr>
        <w:t>Emergency pause capability for asset operations</w:t>
      </w:r>
    </w:p>
    <w:p>
      <w:pPr>
        <w:pStyle w:val="H3"/>
        <w:numPr>
          <w:ilvl w:val="2"/>
          <w:numId w:val="1"/>
        </w:numPr>
      </w:pPr>
      <w:r>
        <w:t>Key Management</w:t>
      </w:r>
    </w:p>
    <w:p>
      <w:r>
        <w:rPr>
          <w:rFonts w:ascii="Figtree" w:hAnsi="Figtree"/>
          <w:b w:val="0"/>
          <w:i w:val="0"/>
          <w:sz w:val="22"/>
        </w:rPr>
        <w:t>Key Guardian provides unified key management across multiple backend providers:</w:t>
      </w:r>
    </w:p>
    <w:p>
      <w:r>
        <w:rPr>
          <w:rFonts w:ascii="Figtree" w:hAnsi="Figtree"/>
          <w:b/>
          <w:i w:val="0"/>
          <w:sz w:val="22"/>
        </w:rPr>
        <w:t>Storage Backend Hierarchy: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08"/>
        <w:gridCol w:w="3074"/>
        <w:gridCol w:w="2705"/>
        <w:gridCol w:w="2582"/>
      </w:tblGrid>
      <w:tr>
        <w:trPr>
          <w:trHeight w:val="488"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Tier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Backend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Security Level</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r>
      <w:tr>
        <w:trPr>
          <w:trHeight w:val="488" w:hRule="atLeast"/>
        </w:trPr>
        <w:tc>
          <w:tcPr>
            <w:tcW w:type="dxa" w:w="2436"/>
            <w:vAlign w:val="center"/>
          </w:tcPr>
          <w:p>
            <w:pPr>
              <w:spacing w:line="276" w:lineRule="auto" w:before="0" w:after="0"/>
            </w:pPr>
            <w:r/>
            <w:r>
              <w:rPr>
                <w:rFonts w:ascii="Figtree" w:hAnsi="Figtree"/>
                <w:b w:val="0"/>
                <w:i w:val="0"/>
                <w:sz w:val="20"/>
              </w:rPr>
              <w:t>1</w:t>
            </w:r>
          </w:p>
        </w:tc>
        <w:tc>
          <w:tcPr>
            <w:tcW w:type="dxa" w:w="2436"/>
            <w:vAlign w:val="center"/>
          </w:tcPr>
          <w:p>
            <w:pPr>
              <w:spacing w:line="276" w:lineRule="auto" w:before="0" w:after="0"/>
            </w:pPr>
            <w:r/>
            <w:r>
              <w:rPr>
                <w:rFonts w:ascii="Figtree" w:hAnsi="Figtree"/>
                <w:b w:val="0"/>
                <w:i w:val="0"/>
                <w:sz w:val="20"/>
              </w:rPr>
              <w:t>HSM (FIPS 140-2 L3)</w:t>
            </w:r>
          </w:p>
        </w:tc>
        <w:tc>
          <w:tcPr>
            <w:tcW w:type="dxa" w:w="2436"/>
            <w:vAlign w:val="center"/>
          </w:tcPr>
          <w:p>
            <w:pPr>
              <w:spacing w:line="276" w:lineRule="auto" w:before="0" w:after="0"/>
            </w:pPr>
            <w:r/>
            <w:r>
              <w:rPr>
                <w:rFonts w:ascii="Figtree" w:hAnsi="Figtree"/>
                <w:b w:val="0"/>
                <w:i w:val="0"/>
                <w:sz w:val="20"/>
              </w:rPr>
              <w:t>Hardware-protected</w:t>
            </w:r>
          </w:p>
        </w:tc>
        <w:tc>
          <w:tcPr>
            <w:tcW w:type="dxa" w:w="2436"/>
            <w:vAlign w:val="center"/>
          </w:tcPr>
          <w:p>
            <w:pPr>
              <w:spacing w:line="276" w:lineRule="auto" w:before="0" w:after="0"/>
            </w:pPr>
            <w:r/>
            <w:r>
              <w:rPr>
                <w:rFonts w:ascii="Figtree" w:hAnsi="Figtree"/>
                <w:b w:val="0"/>
                <w:i w:val="0"/>
                <w:sz w:val="20"/>
              </w:rPr>
              <w:t>Regulated production</w:t>
            </w:r>
          </w:p>
        </w:tc>
      </w:tr>
      <w:tr>
        <w:trPr>
          <w:trHeight w:val="488" w:hRule="atLeast"/>
        </w:trPr>
        <w:tc>
          <w:tcPr>
            <w:tcW w:type="dxa" w:w="2436"/>
            <w:vAlign w:val="center"/>
          </w:tcPr>
          <w:p>
            <w:pPr>
              <w:spacing w:line="276" w:lineRule="auto" w:before="0" w:after="0"/>
            </w:pPr>
            <w:r/>
            <w:r>
              <w:rPr>
                <w:rFonts w:ascii="Figtree" w:hAnsi="Figtree"/>
                <w:b w:val="0"/>
                <w:i w:val="0"/>
                <w:sz w:val="20"/>
              </w:rPr>
              <w:t>2</w:t>
            </w:r>
          </w:p>
        </w:tc>
        <w:tc>
          <w:tcPr>
            <w:tcW w:type="dxa" w:w="2436"/>
            <w:vAlign w:val="center"/>
          </w:tcPr>
          <w:p>
            <w:pPr>
              <w:spacing w:line="276" w:lineRule="auto" w:before="0" w:after="0"/>
            </w:pPr>
            <w:r/>
            <w:r>
              <w:rPr>
                <w:rFonts w:ascii="Figtree" w:hAnsi="Figtree"/>
                <w:b w:val="0"/>
                <w:i w:val="0"/>
                <w:sz w:val="20"/>
              </w:rPr>
              <w:t>Fireblocks/DFNS MPC</w:t>
            </w:r>
          </w:p>
        </w:tc>
        <w:tc>
          <w:tcPr>
            <w:tcW w:type="dxa" w:w="2436"/>
            <w:vAlign w:val="center"/>
          </w:tcPr>
          <w:p>
            <w:pPr>
              <w:spacing w:line="276" w:lineRule="auto" w:before="0" w:after="0"/>
            </w:pPr>
            <w:r/>
            <w:r>
              <w:rPr>
                <w:rFonts w:ascii="Figtree" w:hAnsi="Figtree"/>
                <w:b w:val="0"/>
                <w:i w:val="0"/>
                <w:sz w:val="20"/>
              </w:rPr>
              <w:t>Distributed key shares</w:t>
            </w:r>
          </w:p>
        </w:tc>
        <w:tc>
          <w:tcPr>
            <w:tcW w:type="dxa" w:w="2436"/>
            <w:vAlign w:val="center"/>
          </w:tcPr>
          <w:p>
            <w:pPr>
              <w:spacing w:line="276" w:lineRule="auto" w:before="0" w:after="0"/>
            </w:pPr>
            <w:r/>
            <w:r>
              <w:rPr>
                <w:rFonts w:ascii="Figtree" w:hAnsi="Figtree"/>
                <w:b w:val="0"/>
                <w:i w:val="0"/>
                <w:sz w:val="20"/>
              </w:rPr>
              <w:t>Institutional custody</w:t>
            </w:r>
          </w:p>
        </w:tc>
      </w:tr>
      <w:tr>
        <w:trPr>
          <w:trHeight w:val="488" w:hRule="atLeast"/>
        </w:trPr>
        <w:tc>
          <w:tcPr>
            <w:tcW w:type="dxa" w:w="2436"/>
            <w:vAlign w:val="center"/>
          </w:tcPr>
          <w:p>
            <w:pPr>
              <w:spacing w:line="276" w:lineRule="auto" w:before="0" w:after="0"/>
            </w:pPr>
            <w:r/>
            <w:r>
              <w:rPr>
                <w:rFonts w:ascii="Figtree" w:hAnsi="Figtree"/>
                <w:b w:val="0"/>
                <w:i w:val="0"/>
                <w:sz w:val="20"/>
              </w:rPr>
              <w:t>3</w:t>
            </w:r>
          </w:p>
        </w:tc>
        <w:tc>
          <w:tcPr>
            <w:tcW w:type="dxa" w:w="2436"/>
            <w:vAlign w:val="center"/>
          </w:tcPr>
          <w:p>
            <w:pPr>
              <w:spacing w:line="276" w:lineRule="auto" w:before="0" w:after="0"/>
            </w:pPr>
            <w:r/>
            <w:r>
              <w:rPr>
                <w:rFonts w:ascii="Figtree" w:hAnsi="Figtree"/>
                <w:b w:val="0"/>
                <w:i w:val="0"/>
                <w:sz w:val="20"/>
              </w:rPr>
              <w:t>Cloud KMS (AWS/GCP/Azure)</w:t>
            </w:r>
          </w:p>
        </w:tc>
        <w:tc>
          <w:tcPr>
            <w:tcW w:type="dxa" w:w="2436"/>
            <w:vAlign w:val="center"/>
          </w:tcPr>
          <w:p>
            <w:pPr>
              <w:spacing w:line="276" w:lineRule="auto" w:before="0" w:after="0"/>
            </w:pPr>
            <w:r/>
            <w:r>
              <w:rPr>
                <w:rFonts w:ascii="Figtree" w:hAnsi="Figtree"/>
                <w:b w:val="0"/>
                <w:i w:val="0"/>
                <w:sz w:val="20"/>
              </w:rPr>
              <w:t>Platform-managed</w:t>
            </w:r>
          </w:p>
        </w:tc>
        <w:tc>
          <w:tcPr>
            <w:tcW w:type="dxa" w:w="2436"/>
            <w:vAlign w:val="center"/>
          </w:tcPr>
          <w:p>
            <w:pPr>
              <w:spacing w:line="276" w:lineRule="auto" w:before="0" w:after="0"/>
            </w:pPr>
            <w:r/>
            <w:r>
              <w:rPr>
                <w:rFonts w:ascii="Figtree" w:hAnsi="Figtree"/>
                <w:b w:val="0"/>
                <w:i w:val="0"/>
                <w:sz w:val="20"/>
              </w:rPr>
              <w:t>Standard production</w:t>
            </w:r>
          </w:p>
        </w:tc>
      </w:tr>
      <w:tr>
        <w:trPr>
          <w:trHeight w:val="488" w:hRule="atLeast"/>
        </w:trPr>
        <w:tc>
          <w:tcPr>
            <w:tcW w:type="dxa" w:w="2436"/>
            <w:vAlign w:val="center"/>
          </w:tcPr>
          <w:p>
            <w:pPr>
              <w:spacing w:line="276" w:lineRule="auto" w:before="0" w:after="0"/>
            </w:pPr>
            <w:r/>
            <w:r>
              <w:rPr>
                <w:rFonts w:ascii="Figtree" w:hAnsi="Figtree"/>
                <w:b w:val="0"/>
                <w:i w:val="0"/>
                <w:sz w:val="20"/>
              </w:rPr>
              <w:t>4</w:t>
            </w:r>
          </w:p>
        </w:tc>
        <w:tc>
          <w:tcPr>
            <w:tcW w:type="dxa" w:w="2436"/>
            <w:vAlign w:val="center"/>
          </w:tcPr>
          <w:p>
            <w:pPr>
              <w:spacing w:line="276" w:lineRule="auto" w:before="0" w:after="0"/>
            </w:pPr>
            <w:r/>
            <w:r>
              <w:rPr>
                <w:rFonts w:ascii="Figtree" w:hAnsi="Figtree"/>
                <w:b w:val="0"/>
                <w:i w:val="0"/>
                <w:sz w:val="20"/>
              </w:rPr>
              <w:t>HashiCorp Vault</w:t>
            </w:r>
          </w:p>
        </w:tc>
        <w:tc>
          <w:tcPr>
            <w:tcW w:type="dxa" w:w="2436"/>
            <w:vAlign w:val="center"/>
          </w:tcPr>
          <w:p>
            <w:pPr>
              <w:spacing w:line="276" w:lineRule="auto" w:before="0" w:after="0"/>
            </w:pPr>
            <w:r/>
            <w:r>
              <w:rPr>
                <w:rFonts w:ascii="Figtree" w:hAnsi="Figtree"/>
                <w:b w:val="0"/>
                <w:i w:val="0"/>
                <w:sz w:val="20"/>
              </w:rPr>
              <w:t>Software-managed</w:t>
            </w:r>
          </w:p>
        </w:tc>
        <w:tc>
          <w:tcPr>
            <w:tcW w:type="dxa" w:w="2436"/>
            <w:vAlign w:val="center"/>
          </w:tcPr>
          <w:p>
            <w:pPr>
              <w:spacing w:line="276" w:lineRule="auto" w:before="0" w:after="0"/>
            </w:pPr>
            <w:r/>
            <w:r>
              <w:rPr>
                <w:rFonts w:ascii="Figtree" w:hAnsi="Figtree"/>
                <w:b w:val="0"/>
                <w:i w:val="0"/>
                <w:sz w:val="20"/>
              </w:rPr>
              <w:t>Hybrid environments</w:t>
            </w:r>
          </w:p>
        </w:tc>
      </w:tr>
      <w:tr>
        <w:trPr>
          <w:trHeight w:val="488" w:hRule="atLeast"/>
        </w:trPr>
        <w:tc>
          <w:tcPr>
            <w:tcW w:type="dxa" w:w="2436"/>
            <w:vAlign w:val="center"/>
          </w:tcPr>
          <w:p>
            <w:pPr>
              <w:spacing w:line="276" w:lineRule="auto" w:before="0" w:after="0"/>
            </w:pPr>
            <w:r/>
            <w:r>
              <w:rPr>
                <w:rFonts w:ascii="Figtree" w:hAnsi="Figtree"/>
                <w:b w:val="0"/>
                <w:i w:val="0"/>
                <w:sz w:val="20"/>
              </w:rPr>
              <w:t>5</w:t>
            </w:r>
          </w:p>
        </w:tc>
        <w:tc>
          <w:tcPr>
            <w:tcW w:type="dxa" w:w="2436"/>
            <w:vAlign w:val="center"/>
          </w:tcPr>
          <w:p>
            <w:pPr>
              <w:spacing w:line="276" w:lineRule="auto" w:before="0" w:after="0"/>
            </w:pPr>
            <w:r/>
            <w:r>
              <w:rPr>
                <w:rFonts w:ascii="Figtree" w:hAnsi="Figtree"/>
                <w:b w:val="0"/>
                <w:i w:val="0"/>
                <w:sz w:val="20"/>
              </w:rPr>
              <w:t>Encrypted database</w:t>
            </w:r>
          </w:p>
        </w:tc>
        <w:tc>
          <w:tcPr>
            <w:tcW w:type="dxa" w:w="2436"/>
            <w:vAlign w:val="center"/>
          </w:tcPr>
          <w:p>
            <w:pPr>
              <w:spacing w:line="276" w:lineRule="auto" w:before="0" w:after="0"/>
            </w:pPr>
            <w:r/>
            <w:r>
              <w:rPr>
                <w:rFonts w:ascii="Figtree" w:hAnsi="Figtree"/>
                <w:b w:val="0"/>
                <w:i w:val="0"/>
                <w:sz w:val="20"/>
              </w:rPr>
              <w:t>Application encryption</w:t>
            </w:r>
          </w:p>
        </w:tc>
        <w:tc>
          <w:tcPr>
            <w:tcW w:type="dxa" w:w="2436"/>
            <w:vAlign w:val="center"/>
          </w:tcPr>
          <w:p>
            <w:pPr>
              <w:spacing w:line="276" w:lineRule="auto" w:before="0" w:after="0"/>
            </w:pPr>
            <w:r/>
            <w:r>
              <w:rPr>
                <w:rFonts w:ascii="Figtree" w:hAnsi="Figtree"/>
                <w:b w:val="0"/>
                <w:i w:val="0"/>
                <w:sz w:val="20"/>
              </w:rPr>
              <w:t>Development only</w:t>
            </w:r>
          </w:p>
        </w:tc>
      </w:tr>
    </w:tbl>
    <w:p>
      <w:pPr>
        <w:spacing w:before="0" w:after="0" w:line="120" w:lineRule="exact"/>
      </w:pPr>
    </w:p>
    <w:p>
      <w:r>
        <w:rPr>
          <w:rFonts w:ascii="Figtree" w:hAnsi="Figtree"/>
          <w:b w:val="0"/>
          <w:i w:val="0"/>
          <w:sz w:val="22"/>
        </w:rPr>
        <w:t>For Mashreq Bank, the recommended configuration is HSM integration for platform signing keys combined with Fireblocks MPC for institutional custody operations.</w:t>
      </w:r>
    </w:p>
    <w:p>
      <w:r>
        <w:rPr>
          <w:rFonts w:ascii="Figtree" w:hAnsi="Figtree"/>
          <w:b/>
          <w:i w:val="0"/>
          <w:sz w:val="22"/>
        </w:rPr>
        <w:t>Key Operations:</w:t>
      </w:r>
    </w:p>
    <w:p>
      <w:pPr>
        <w:pStyle w:val="ListParagraph"/>
        <w:numPr>
          <w:ilvl w:val="0"/>
          <w:numId w:val="4"/>
        </w:numPr>
      </w:pPr>
      <w:r>
        <w:rPr>
          <w:rFonts w:ascii="Figtree" w:hAnsi="Figtree"/>
          <w:b w:val="0"/>
          <w:i w:val="0"/>
          <w:sz w:val="22"/>
        </w:rPr>
        <w:t>Wallet creation and provisioning through provider-agnostic abstraction</w:t>
      </w:r>
    </w:p>
    <w:p>
      <w:pPr>
        <w:pStyle w:val="ListParagraph"/>
        <w:numPr>
          <w:ilvl w:val="0"/>
          <w:numId w:val="4"/>
        </w:numPr>
      </w:pPr>
      <w:r>
        <w:rPr>
          <w:rFonts w:ascii="Figtree" w:hAnsi="Figtree"/>
          <w:b w:val="0"/>
          <w:i w:val="0"/>
          <w:sz w:val="22"/>
        </w:rPr>
        <w:t>Transaction signing with provider-specific execution paths</w:t>
      </w:r>
    </w:p>
    <w:p>
      <w:pPr>
        <w:pStyle w:val="ListParagraph"/>
        <w:numPr>
          <w:ilvl w:val="0"/>
          <w:numId w:val="4"/>
        </w:numPr>
      </w:pPr>
      <w:r>
        <w:rPr>
          <w:rFonts w:ascii="Figtree" w:hAnsi="Figtree"/>
          <w:b w:val="0"/>
          <w:i w:val="0"/>
          <w:sz w:val="22"/>
        </w:rPr>
        <w:t>Key recovery through identity recovery workflows (durable, phase-tracked process)</w:t>
      </w:r>
    </w:p>
    <w:p>
      <w:pPr>
        <w:pStyle w:val="ListParagraph"/>
        <w:numPr>
          <w:ilvl w:val="0"/>
          <w:numId w:val="4"/>
        </w:numPr>
      </w:pPr>
      <w:r>
        <w:rPr>
          <w:rFonts w:ascii="Figtree" w:hAnsi="Figtree"/>
          <w:b w:val="0"/>
          <w:i w:val="0"/>
          <w:sz w:val="22"/>
        </w:rPr>
        <w:t>Forced movement recovery for compromised wallet scenarios</w:t>
      </w:r>
    </w:p>
    <w:p>
      <w:pPr>
        <w:pStyle w:val="ListParagraph"/>
        <w:numPr>
          <w:ilvl w:val="0"/>
          <w:numId w:val="4"/>
        </w:numPr>
      </w:pPr>
      <w:r>
        <w:rPr>
          <w:rFonts w:ascii="Figtree" w:hAnsi="Figtree"/>
          <w:b w:val="0"/>
          <w:i w:val="0"/>
          <w:sz w:val="22"/>
        </w:rPr>
        <w:t>Nonce management with durable coordination and operator repair surfaces</w:t>
      </w:r>
    </w:p>
    <w:p>
      <w:pPr>
        <w:pStyle w:val="H3"/>
        <w:numPr>
          <w:ilvl w:val="2"/>
          <w:numId w:val="1"/>
        </w:numPr>
      </w:pPr>
      <w:r>
        <w:t>Access Control</w:t>
      </w:r>
    </w:p>
    <w:p>
      <w:r>
        <w:rPr>
          <w:rFonts w:ascii="Figtree" w:hAnsi="Figtree"/>
          <w:b w:val="0"/>
          <w:i w:val="0"/>
          <w:sz w:val="22"/>
        </w:rPr>
        <w:t>DALP implements access control across 26 distinct permission scopes organized in four layers:</w:t>
      </w:r>
    </w:p>
    <w:p>
      <w:r>
        <w:rPr>
          <w:rFonts w:ascii="Figtree" w:hAnsi="Figtree"/>
          <w:b/>
          <w:i w:val="0"/>
          <w:sz w:val="22"/>
        </w:rPr>
        <w:t>Platform Level:</w:t>
      </w:r>
      <w:r>
        <w:rPr>
          <w:rFonts w:ascii="Figtree" w:hAnsi="Figtree"/>
          <w:b w:val="0"/>
          <w:i w:val="0"/>
          <w:sz w:val="22"/>
        </w:rPr>
        <w:t xml:space="preserve"> Administrator roles for organization management, system configuration, and platform governance</w:t>
      </w:r>
    </w:p>
    <w:p>
      <w:r>
        <w:rPr>
          <w:rFonts w:ascii="Figtree" w:hAnsi="Figtree"/>
          <w:b/>
          <w:i w:val="0"/>
          <w:sz w:val="22"/>
        </w:rPr>
        <w:t>System Level:</w:t>
      </w:r>
      <w:r>
        <w:rPr>
          <w:rFonts w:ascii="Figtree" w:hAnsi="Figtree"/>
          <w:b w:val="0"/>
          <w:i w:val="0"/>
          <w:sz w:val="22"/>
        </w:rPr>
        <w:t xml:space="preserve"> System manager roles for blockchain operations, compliance configuration, and identity management</w:t>
      </w:r>
    </w:p>
    <w:p>
      <w:r>
        <w:rPr>
          <w:rFonts w:ascii="Figtree" w:hAnsi="Figtree"/>
          <w:b/>
          <w:i w:val="0"/>
          <w:sz w:val="22"/>
        </w:rPr>
        <w:t>Token Level:</w:t>
      </w:r>
      <w:r>
        <w:rPr>
          <w:rFonts w:ascii="Figtree" w:hAnsi="Figtree"/>
          <w:b w:val="0"/>
          <w:i w:val="0"/>
          <w:sz w:val="22"/>
        </w:rPr>
        <w:t xml:space="preserve"> Token manager roles for asset operations, minting, transfer management, and corporate actions</w:t>
      </w:r>
    </w:p>
    <w:p>
      <w:r>
        <w:rPr>
          <w:rFonts w:ascii="Figtree" w:hAnsi="Figtree"/>
          <w:b/>
          <w:i w:val="0"/>
          <w:sz w:val="22"/>
        </w:rPr>
        <w:t>User Level:</w:t>
      </w:r>
      <w:r>
        <w:rPr>
          <w:rFonts w:ascii="Figtree" w:hAnsi="Figtree"/>
          <w:b w:val="0"/>
          <w:i w:val="0"/>
          <w:sz w:val="22"/>
        </w:rPr>
        <w:t xml:space="preserve"> Participant roles for transfer execution, claim management, and portfolio interaction</w:t>
      </w:r>
    </w:p>
    <w:p>
      <w:r>
        <w:rPr>
          <w:rFonts w:ascii="Figtree" w:hAnsi="Figtree"/>
          <w:b w:val="0"/>
          <w:i w:val="0"/>
          <w:sz w:val="22"/>
        </w:rPr>
        <w:t>Separation of duties is enforced through:</w:t>
      </w:r>
    </w:p>
    <w:p>
      <w:pPr>
        <w:pStyle w:val="ListParagraph"/>
        <w:numPr>
          <w:ilvl w:val="0"/>
          <w:numId w:val="4"/>
        </w:numPr>
      </w:pPr>
      <w:r>
        <w:rPr>
          <w:rFonts w:ascii="Figtree" w:hAnsi="Figtree"/>
          <w:b w:val="0"/>
          <w:i w:val="0"/>
          <w:sz w:val="22"/>
        </w:rPr>
        <w:t>Role exclusivity rules preventing concentration of authority</w:t>
      </w:r>
    </w:p>
    <w:p>
      <w:pPr>
        <w:pStyle w:val="ListParagraph"/>
        <w:numPr>
          <w:ilvl w:val="0"/>
          <w:numId w:val="4"/>
        </w:numPr>
      </w:pPr>
      <w:r>
        <w:rPr>
          <w:rFonts w:ascii="Figtree" w:hAnsi="Figtree"/>
          <w:b w:val="0"/>
          <w:i w:val="0"/>
          <w:sz w:val="22"/>
        </w:rPr>
        <w:t>Maker-checker approval requirements for sensitive operations</w:t>
      </w:r>
    </w:p>
    <w:p>
      <w:pPr>
        <w:pStyle w:val="ListParagraph"/>
        <w:numPr>
          <w:ilvl w:val="0"/>
          <w:numId w:val="4"/>
        </w:numPr>
      </w:pPr>
      <w:r>
        <w:rPr>
          <w:rFonts w:ascii="Figtree" w:hAnsi="Figtree"/>
          <w:b w:val="0"/>
          <w:i w:val="0"/>
          <w:sz w:val="22"/>
        </w:rPr>
        <w:t>Wallet verification gates for privileged transaction signing</w:t>
      </w:r>
    </w:p>
    <w:p>
      <w:pPr>
        <w:pStyle w:val="ListParagraph"/>
        <w:numPr>
          <w:ilvl w:val="0"/>
          <w:numId w:val="4"/>
        </w:numPr>
      </w:pPr>
      <w:r>
        <w:rPr>
          <w:rFonts w:ascii="Figtree" w:hAnsi="Figtree"/>
          <w:b w:val="0"/>
          <w:i w:val="0"/>
          <w:sz w:val="22"/>
        </w:rPr>
        <w:t>Organization-scoped membership verification for tenant isolation</w:t>
      </w:r>
    </w:p>
    <w:p>
      <w:pPr>
        <w:pStyle w:val="H3"/>
        <w:numPr>
          <w:ilvl w:val="2"/>
          <w:numId w:val="1"/>
        </w:numPr>
      </w:pPr>
      <w:r>
        <w:t>Data Protection</w:t>
      </w:r>
    </w:p>
    <w:p>
      <w:pPr>
        <w:pStyle w:val="ListParagraph"/>
        <w:numPr>
          <w:ilvl w:val="0"/>
          <w:numId w:val="4"/>
        </w:numPr>
      </w:pPr>
      <w:r>
        <w:rPr>
          <w:rFonts w:ascii="Figtree" w:hAnsi="Figtree"/>
          <w:b/>
          <w:i w:val="0"/>
          <w:sz w:val="22"/>
        </w:rPr>
        <w:t>Encryption at rest:</w:t>
      </w:r>
      <w:r>
        <w:rPr>
          <w:rFonts w:ascii="Figtree" w:hAnsi="Figtree"/>
          <w:b w:val="0"/>
          <w:i w:val="0"/>
          <w:sz w:val="22"/>
        </w:rPr>
        <w:t xml:space="preserve"> Database encryption, blockchain state encryption on disk, secret storage encryption</w:t>
      </w:r>
    </w:p>
    <w:p>
      <w:pPr>
        <w:pStyle w:val="ListParagraph"/>
        <w:numPr>
          <w:ilvl w:val="0"/>
          <w:numId w:val="4"/>
        </w:numPr>
      </w:pPr>
      <w:r>
        <w:rPr>
          <w:rFonts w:ascii="Figtree" w:hAnsi="Figtree"/>
          <w:b/>
          <w:i w:val="0"/>
          <w:sz w:val="22"/>
        </w:rPr>
        <w:t>Encryption in transit:</w:t>
      </w:r>
      <w:r>
        <w:rPr>
          <w:rFonts w:ascii="Figtree" w:hAnsi="Figtree"/>
          <w:b w:val="0"/>
          <w:i w:val="0"/>
          <w:sz w:val="22"/>
        </w:rPr>
        <w:t xml:space="preserve"> TLS for all API communications, encrypted blockchain node peering</w:t>
      </w:r>
    </w:p>
    <w:p>
      <w:pPr>
        <w:pStyle w:val="ListParagraph"/>
        <w:numPr>
          <w:ilvl w:val="0"/>
          <w:numId w:val="4"/>
        </w:numPr>
      </w:pPr>
      <w:r>
        <w:rPr>
          <w:rFonts w:ascii="Figtree" w:hAnsi="Figtree"/>
          <w:b/>
          <w:i w:val="0"/>
          <w:sz w:val="22"/>
        </w:rPr>
        <w:t>PII handling:</w:t>
      </w:r>
      <w:r>
        <w:rPr>
          <w:rFonts w:ascii="Figtree" w:hAnsi="Figtree"/>
          <w:b w:val="0"/>
          <w:i w:val="0"/>
          <w:sz w:val="22"/>
        </w:rPr>
        <w:t xml:space="preserve"> Identity data stored in compliance with data protection requirements. KYC data integrity verified through content-hash comparison.</w:t>
      </w:r>
    </w:p>
    <w:p>
      <w:pPr>
        <w:pStyle w:val="ListParagraph"/>
        <w:numPr>
          <w:ilvl w:val="0"/>
          <w:numId w:val="4"/>
        </w:numPr>
      </w:pPr>
      <w:r>
        <w:rPr>
          <w:rFonts w:ascii="Figtree" w:hAnsi="Figtree"/>
          <w:b/>
          <w:i w:val="0"/>
          <w:sz w:val="22"/>
        </w:rPr>
        <w:t>Document management:</w:t>
      </w:r>
      <w:r>
        <w:rPr>
          <w:rFonts w:ascii="Figtree" w:hAnsi="Figtree"/>
          <w:b w:val="0"/>
          <w:i w:val="0"/>
          <w:sz w:val="22"/>
        </w:rPr>
        <w:t xml:space="preserve"> Versioned document storage with SHA-256 hash verification, visibility-aware access controls, and controlled disclosure</w:t>
      </w:r>
    </w:p>
    <w:p>
      <w:pPr>
        <w:pStyle w:val="H3"/>
        <w:numPr>
          <w:ilvl w:val="2"/>
          <w:numId w:val="1"/>
        </w:numPr>
      </w:pPr>
      <w:r>
        <w:t>Security Certifications</w:t>
      </w:r>
    </w:p>
    <w:p>
      <w:r>
        <w:rPr>
          <w:rFonts w:ascii="Figtree" w:hAnsi="Figtree"/>
          <w:b w:val="0"/>
          <w:i w:val="0"/>
          <w:sz w:val="22"/>
        </w:rPr>
        <w:t>SettleMint maintains:</w:t>
      </w:r>
    </w:p>
    <w:p>
      <w:pPr>
        <w:pStyle w:val="ListParagraph"/>
        <w:numPr>
          <w:ilvl w:val="0"/>
          <w:numId w:val="4"/>
        </w:numPr>
      </w:pPr>
      <w:r>
        <w:rPr>
          <w:rFonts w:ascii="Figtree" w:hAnsi="Figtree"/>
          <w:b/>
          <w:i w:val="0"/>
          <w:sz w:val="22"/>
        </w:rPr>
        <w:t>ISO 27001</w:t>
      </w:r>
      <w:r>
        <w:rPr>
          <w:rFonts w:ascii="Figtree" w:hAnsi="Figtree"/>
          <w:b w:val="0"/>
          <w:i w:val="0"/>
          <w:sz w:val="22"/>
        </w:rPr>
        <w:t xml:space="preserve"> certification for information security management</w:t>
      </w:r>
    </w:p>
    <w:p>
      <w:pPr>
        <w:pStyle w:val="ListParagraph"/>
        <w:numPr>
          <w:ilvl w:val="0"/>
          <w:numId w:val="4"/>
        </w:numPr>
      </w:pPr>
      <w:r>
        <w:rPr>
          <w:rFonts w:ascii="Figtree" w:hAnsi="Figtree"/>
          <w:b/>
          <w:i w:val="0"/>
          <w:sz w:val="22"/>
        </w:rPr>
        <w:t>SOC 2 Type II</w:t>
      </w:r>
      <w:r>
        <w:rPr>
          <w:rFonts w:ascii="Figtree" w:hAnsi="Figtree"/>
          <w:b w:val="0"/>
          <w:i w:val="0"/>
          <w:sz w:val="22"/>
        </w:rPr>
        <w:t xml:space="preserve"> compliance for service organization controls</w:t>
      </w:r>
    </w:p>
    <w:p>
      <w:pPr>
        <w:pStyle w:val="ListParagraph"/>
        <w:numPr>
          <w:ilvl w:val="0"/>
          <w:numId w:val="4"/>
        </w:numPr>
      </w:pPr>
      <w:r>
        <w:rPr>
          <w:rFonts w:ascii="Figtree" w:hAnsi="Figtree"/>
          <w:b w:val="0"/>
          <w:i w:val="0"/>
          <w:sz w:val="22"/>
        </w:rPr>
        <w:t>Regular penetration testing by independent security firms</w:t>
      </w:r>
    </w:p>
    <w:p>
      <w:pPr>
        <w:pStyle w:val="ListParagraph"/>
        <w:numPr>
          <w:ilvl w:val="0"/>
          <w:numId w:val="4"/>
        </w:numPr>
      </w:pPr>
      <w:r>
        <w:rPr>
          <w:rFonts w:ascii="Figtree" w:hAnsi="Figtree"/>
          <w:b w:val="0"/>
          <w:i w:val="0"/>
          <w:sz w:val="22"/>
        </w:rPr>
        <w:t>Security review processes aligned with tier-1 bank vendor risk assessment requirements</w:t>
      </w:r>
    </w:p>
    <w:p>
      <w:r>
        <w:br w:type="page"/>
      </w:r>
    </w:p>
    <w:p>
      <w:pPr>
        <w:pStyle w:val="H2"/>
        <w:numPr>
          <w:ilvl w:val="1"/>
          <w:numId w:val="1"/>
        </w:numPr>
      </w:pPr>
      <w:r>
        <w:t>11. Implementation Approach</w:t>
      </w:r>
    </w:p>
    <w:p>
      <w:pPr>
        <w:pStyle w:val="H3"/>
        <w:numPr>
          <w:ilvl w:val="2"/>
          <w:numId w:val="1"/>
        </w:numPr>
      </w:pPr>
      <w:r>
        <w:t>Phase 1: Foundation and Bond Lifecycle (Months 1-4)</w:t>
      </w:r>
    </w:p>
    <w:p>
      <w:r>
        <w:rPr>
          <w:rFonts w:ascii="Figtree" w:hAnsi="Figtree"/>
          <w:b/>
          <w:i w:val="0"/>
          <w:sz w:val="22"/>
        </w:rPr>
        <w:t>Objective:</w:t>
      </w:r>
      <w:r>
        <w:rPr>
          <w:rFonts w:ascii="Figtree" w:hAnsi="Figtree"/>
          <w:b w:val="0"/>
          <w:i w:val="0"/>
          <w:sz w:val="22"/>
        </w:rPr>
        <w:t xml:space="preserve"> Deploy DALP core infrastructure and deliver a production bond lifecycle.</w:t>
      </w:r>
    </w:p>
    <w:p>
      <w:r>
        <w:rPr>
          <w:rFonts w:ascii="Figtree" w:hAnsi="Figtree"/>
          <w:b/>
          <w:i w:val="0"/>
          <w:sz w:val="22"/>
        </w:rPr>
        <w:t>Month 1: Infrastructure and Platform Setup</w:t>
      </w:r>
    </w:p>
    <w:p>
      <w:pPr>
        <w:pStyle w:val="ListParagraph"/>
        <w:numPr>
          <w:ilvl w:val="0"/>
          <w:numId w:val="4"/>
        </w:numPr>
      </w:pPr>
      <w:r>
        <w:rPr>
          <w:rFonts w:ascii="Figtree" w:hAnsi="Figtree"/>
          <w:b w:val="0"/>
          <w:i w:val="0"/>
          <w:sz w:val="22"/>
        </w:rPr>
        <w:t>Provision Kubernetes cluster in Mashreq Bank's UAE data center</w:t>
      </w:r>
    </w:p>
    <w:p>
      <w:pPr>
        <w:pStyle w:val="ListParagraph"/>
        <w:numPr>
          <w:ilvl w:val="0"/>
          <w:numId w:val="4"/>
        </w:numPr>
      </w:pPr>
      <w:r>
        <w:rPr>
          <w:rFonts w:ascii="Figtree" w:hAnsi="Figtree"/>
          <w:b w:val="0"/>
          <w:i w:val="0"/>
          <w:sz w:val="22"/>
        </w:rPr>
        <w:t>Deploy DALP platform components (DAPI, blockchain nodes, database, monitoring)</w:t>
      </w:r>
    </w:p>
    <w:p>
      <w:pPr>
        <w:pStyle w:val="ListParagraph"/>
        <w:numPr>
          <w:ilvl w:val="0"/>
          <w:numId w:val="4"/>
        </w:numPr>
      </w:pPr>
      <w:r>
        <w:rPr>
          <w:rFonts w:ascii="Figtree" w:hAnsi="Figtree"/>
          <w:b w:val="0"/>
          <w:i w:val="0"/>
          <w:sz w:val="22"/>
        </w:rPr>
        <w:t>Configure Hyperledger Besu private network with QBFT consensus (4 validators)</w:t>
      </w:r>
    </w:p>
    <w:p>
      <w:pPr>
        <w:pStyle w:val="ListParagraph"/>
        <w:numPr>
          <w:ilvl w:val="0"/>
          <w:numId w:val="4"/>
        </w:numPr>
      </w:pPr>
      <w:r>
        <w:rPr>
          <w:rFonts w:ascii="Figtree" w:hAnsi="Figtree"/>
          <w:b w:val="0"/>
          <w:i w:val="0"/>
          <w:sz w:val="22"/>
        </w:rPr>
        <w:t>Establish development, staging, and production environments</w:t>
      </w:r>
    </w:p>
    <w:p>
      <w:pPr>
        <w:pStyle w:val="ListParagraph"/>
        <w:numPr>
          <w:ilvl w:val="0"/>
          <w:numId w:val="4"/>
        </w:numPr>
      </w:pPr>
      <w:r>
        <w:rPr>
          <w:rFonts w:ascii="Figtree" w:hAnsi="Figtree"/>
          <w:b w:val="0"/>
          <w:i w:val="0"/>
          <w:sz w:val="22"/>
        </w:rPr>
        <w:t>Integrate with Mashreq Bank's identity infrastructure for SSO</w:t>
      </w:r>
    </w:p>
    <w:p>
      <w:pPr>
        <w:pStyle w:val="ListParagraph"/>
        <w:numPr>
          <w:ilvl w:val="0"/>
          <w:numId w:val="4"/>
        </w:numPr>
      </w:pPr>
      <w:r>
        <w:rPr>
          <w:rFonts w:ascii="Figtree" w:hAnsi="Figtree"/>
          <w:b w:val="0"/>
          <w:i w:val="0"/>
          <w:sz w:val="22"/>
        </w:rPr>
        <w:t>Deploy monitoring stack (VictoriaMetrics, Loki, Tempo, Grafana)</w:t>
      </w:r>
    </w:p>
    <w:p>
      <w:r>
        <w:rPr>
          <w:rFonts w:ascii="Figtree" w:hAnsi="Figtree"/>
          <w:b/>
          <w:i w:val="0"/>
          <w:sz w:val="22"/>
        </w:rPr>
        <w:t>Month 2: Identity and Compliance Foundation</w:t>
      </w:r>
    </w:p>
    <w:p>
      <w:pPr>
        <w:pStyle w:val="ListParagraph"/>
        <w:numPr>
          <w:ilvl w:val="0"/>
          <w:numId w:val="4"/>
        </w:numPr>
      </w:pPr>
      <w:r>
        <w:rPr>
          <w:rFonts w:ascii="Figtree" w:hAnsi="Figtree"/>
          <w:b w:val="0"/>
          <w:i w:val="0"/>
          <w:sz w:val="22"/>
        </w:rPr>
        <w:t>Configure OnchainID identity infrastructure</w:t>
      </w:r>
    </w:p>
    <w:p>
      <w:pPr>
        <w:pStyle w:val="ListParagraph"/>
        <w:numPr>
          <w:ilvl w:val="0"/>
          <w:numId w:val="4"/>
        </w:numPr>
      </w:pPr>
      <w:r>
        <w:rPr>
          <w:rFonts w:ascii="Figtree" w:hAnsi="Figtree"/>
          <w:b w:val="0"/>
          <w:i w:val="0"/>
          <w:sz w:val="22"/>
        </w:rPr>
        <w:t>Integrate with Mashreq Bank's KYC/KYB provider for claim issuance</w:t>
      </w:r>
    </w:p>
    <w:p>
      <w:pPr>
        <w:pStyle w:val="ListParagraph"/>
        <w:numPr>
          <w:ilvl w:val="0"/>
          <w:numId w:val="4"/>
        </w:numPr>
      </w:pPr>
      <w:r>
        <w:rPr>
          <w:rFonts w:ascii="Figtree" w:hAnsi="Figtree"/>
          <w:b w:val="0"/>
          <w:i w:val="0"/>
          <w:sz w:val="22"/>
        </w:rPr>
        <w:t>Deploy compliance modules for UAE regulatory requirements:</w:t>
      </w:r>
    </w:p>
    <w:p>
      <w:pPr>
        <w:pStyle w:val="ListParagraph"/>
        <w:numPr>
          <w:ilvl w:val="1"/>
          <w:numId w:val="4"/>
        </w:numPr>
      </w:pPr>
      <w:r>
        <w:rPr>
          <w:rFonts w:ascii="Figtree" w:hAnsi="Figtree"/>
          <w:b w:val="0"/>
          <w:i w:val="0"/>
          <w:sz w:val="22"/>
        </w:rPr>
        <w:t>Country allow/block lists (CBUAE/VARA alignment)</w:t>
      </w:r>
    </w:p>
    <w:p>
      <w:pPr>
        <w:pStyle w:val="ListParagraph"/>
        <w:numPr>
          <w:ilvl w:val="1"/>
          <w:numId w:val="4"/>
        </w:numPr>
      </w:pPr>
      <w:r>
        <w:rPr>
          <w:rFonts w:ascii="Figtree" w:hAnsi="Figtree"/>
          <w:b w:val="0"/>
          <w:i w:val="0"/>
          <w:sz w:val="22"/>
        </w:rPr>
        <w:t>Investor accreditation verification (DFSA qualified investor)</w:t>
      </w:r>
    </w:p>
    <w:p>
      <w:pPr>
        <w:pStyle w:val="ListParagraph"/>
        <w:numPr>
          <w:ilvl w:val="1"/>
          <w:numId w:val="4"/>
        </w:numPr>
      </w:pPr>
      <w:r>
        <w:rPr>
          <w:rFonts w:ascii="Figtree" w:hAnsi="Figtree"/>
          <w:b w:val="0"/>
          <w:i w:val="0"/>
          <w:sz w:val="22"/>
        </w:rPr>
        <w:t>Transfer amount limits (regulatory reporting thresholds)</w:t>
      </w:r>
    </w:p>
    <w:p>
      <w:pPr>
        <w:pStyle w:val="ListParagraph"/>
        <w:numPr>
          <w:ilvl w:val="1"/>
          <w:numId w:val="4"/>
        </w:numPr>
      </w:pPr>
      <w:r>
        <w:rPr>
          <w:rFonts w:ascii="Figtree" w:hAnsi="Figtree"/>
          <w:b w:val="0"/>
          <w:i w:val="0"/>
          <w:sz w:val="22"/>
        </w:rPr>
        <w:t>Holding period enforcement</w:t>
      </w:r>
    </w:p>
    <w:p>
      <w:pPr>
        <w:pStyle w:val="ListParagraph"/>
        <w:numPr>
          <w:ilvl w:val="0"/>
          <w:numId w:val="4"/>
        </w:numPr>
      </w:pPr>
      <w:r>
        <w:rPr>
          <w:rFonts w:ascii="Figtree" w:hAnsi="Figtree"/>
          <w:b w:val="0"/>
          <w:i w:val="0"/>
          <w:sz w:val="22"/>
        </w:rPr>
        <w:t>Configure role-based access control aligned with Mashreq Bank's organizational structure</w:t>
      </w:r>
    </w:p>
    <w:p>
      <w:pPr>
        <w:pStyle w:val="ListParagraph"/>
        <w:numPr>
          <w:ilvl w:val="0"/>
          <w:numId w:val="4"/>
        </w:numPr>
      </w:pPr>
      <w:r>
        <w:rPr>
          <w:rFonts w:ascii="Figtree" w:hAnsi="Figtree"/>
          <w:b w:val="0"/>
          <w:i w:val="0"/>
          <w:sz w:val="22"/>
        </w:rPr>
        <w:t>Establish maker-checker approval workflows</w:t>
      </w:r>
    </w:p>
    <w:p>
      <w:r>
        <w:rPr>
          <w:rFonts w:ascii="Figtree" w:hAnsi="Figtree"/>
          <w:b/>
          <w:i w:val="0"/>
          <w:sz w:val="22"/>
        </w:rPr>
        <w:t>Month 3: Bond Template and Custody Integration</w:t>
      </w:r>
    </w:p>
    <w:p>
      <w:pPr>
        <w:pStyle w:val="ListParagraph"/>
        <w:numPr>
          <w:ilvl w:val="0"/>
          <w:numId w:val="4"/>
        </w:numPr>
      </w:pPr>
      <w:r>
        <w:rPr>
          <w:rFonts w:ascii="Figtree" w:hAnsi="Figtree"/>
          <w:b w:val="0"/>
          <w:i w:val="0"/>
          <w:sz w:val="22"/>
        </w:rPr>
        <w:t>Deploy bond asset template with Mashreq-specific term configurations</w:t>
      </w:r>
    </w:p>
    <w:p>
      <w:pPr>
        <w:pStyle w:val="ListParagraph"/>
        <w:numPr>
          <w:ilvl w:val="0"/>
          <w:numId w:val="4"/>
        </w:numPr>
      </w:pPr>
      <w:r>
        <w:rPr>
          <w:rFonts w:ascii="Figtree" w:hAnsi="Figtree"/>
          <w:b w:val="0"/>
          <w:i w:val="0"/>
          <w:sz w:val="22"/>
        </w:rPr>
        <w:t>Integrate Fireblocks as primary custody provider</w:t>
      </w:r>
    </w:p>
    <w:p>
      <w:pPr>
        <w:pStyle w:val="ListParagraph"/>
        <w:numPr>
          <w:ilvl w:val="0"/>
          <w:numId w:val="4"/>
        </w:numPr>
      </w:pPr>
      <w:r>
        <w:rPr>
          <w:rFonts w:ascii="Figtree" w:hAnsi="Figtree"/>
          <w:b w:val="0"/>
          <w:i w:val="0"/>
          <w:sz w:val="22"/>
        </w:rPr>
        <w:t>Configure maker-checker signing workflows</w:t>
      </w:r>
    </w:p>
    <w:p>
      <w:pPr>
        <w:pStyle w:val="ListParagraph"/>
        <w:numPr>
          <w:ilvl w:val="0"/>
          <w:numId w:val="4"/>
        </w:numPr>
      </w:pPr>
      <w:r>
        <w:rPr>
          <w:rFonts w:ascii="Figtree" w:hAnsi="Figtree"/>
          <w:b w:val="0"/>
          <w:i w:val="0"/>
          <w:sz w:val="22"/>
        </w:rPr>
        <w:t>Implement bond issuance workflow: template selection through deployment</w:t>
      </w:r>
    </w:p>
    <w:p>
      <w:pPr>
        <w:pStyle w:val="ListParagraph"/>
        <w:numPr>
          <w:ilvl w:val="0"/>
          <w:numId w:val="4"/>
        </w:numPr>
      </w:pPr>
      <w:r>
        <w:rPr>
          <w:rFonts w:ascii="Figtree" w:hAnsi="Figtree"/>
          <w:b w:val="0"/>
          <w:i w:val="0"/>
          <w:sz w:val="22"/>
        </w:rPr>
        <w:t>Configure coupon processing automation</w:t>
      </w:r>
    </w:p>
    <w:p>
      <w:pPr>
        <w:pStyle w:val="ListParagraph"/>
        <w:numPr>
          <w:ilvl w:val="0"/>
          <w:numId w:val="4"/>
        </w:numPr>
      </w:pPr>
      <w:r>
        <w:rPr>
          <w:rFonts w:ascii="Figtree" w:hAnsi="Figtree"/>
          <w:b w:val="0"/>
          <w:i w:val="0"/>
          <w:sz w:val="22"/>
        </w:rPr>
        <w:t>Set up maturity and redemption logic</w:t>
      </w:r>
    </w:p>
    <w:p>
      <w:r>
        <w:rPr>
          <w:rFonts w:ascii="Figtree" w:hAnsi="Figtree"/>
          <w:b/>
          <w:i w:val="0"/>
          <w:sz w:val="22"/>
        </w:rPr>
        <w:t>Month 4: Testing, UAT, and Go-Live</w:t>
      </w:r>
    </w:p>
    <w:p>
      <w:pPr>
        <w:pStyle w:val="ListParagraph"/>
        <w:numPr>
          <w:ilvl w:val="0"/>
          <w:numId w:val="4"/>
        </w:numPr>
      </w:pPr>
      <w:r>
        <w:rPr>
          <w:rFonts w:ascii="Figtree" w:hAnsi="Figtree"/>
          <w:b w:val="0"/>
          <w:i w:val="0"/>
          <w:sz w:val="22"/>
        </w:rPr>
        <w:t>System integration testing across all components</w:t>
      </w:r>
    </w:p>
    <w:p>
      <w:pPr>
        <w:pStyle w:val="ListParagraph"/>
        <w:numPr>
          <w:ilvl w:val="0"/>
          <w:numId w:val="4"/>
        </w:numPr>
      </w:pPr>
      <w:r>
        <w:rPr>
          <w:rFonts w:ascii="Figtree" w:hAnsi="Figtree"/>
          <w:b w:val="0"/>
          <w:i w:val="0"/>
          <w:sz w:val="22"/>
        </w:rPr>
        <w:t>Performance testing under expected transaction volumes</w:t>
      </w:r>
    </w:p>
    <w:p>
      <w:pPr>
        <w:pStyle w:val="ListParagraph"/>
        <w:numPr>
          <w:ilvl w:val="0"/>
          <w:numId w:val="4"/>
        </w:numPr>
      </w:pPr>
      <w:r>
        <w:rPr>
          <w:rFonts w:ascii="Figtree" w:hAnsi="Figtree"/>
          <w:b w:val="0"/>
          <w:i w:val="0"/>
          <w:sz w:val="22"/>
        </w:rPr>
        <w:t>Security testing and penetration testing</w:t>
      </w:r>
    </w:p>
    <w:p>
      <w:pPr>
        <w:pStyle w:val="ListParagraph"/>
        <w:numPr>
          <w:ilvl w:val="0"/>
          <w:numId w:val="4"/>
        </w:numPr>
      </w:pPr>
      <w:r>
        <w:rPr>
          <w:rFonts w:ascii="Figtree" w:hAnsi="Figtree"/>
          <w:b w:val="0"/>
          <w:i w:val="0"/>
          <w:sz w:val="22"/>
        </w:rPr>
        <w:t>User acceptance testing with Mashreq Bank operations teams</w:t>
      </w:r>
    </w:p>
    <w:p>
      <w:pPr>
        <w:pStyle w:val="ListParagraph"/>
        <w:numPr>
          <w:ilvl w:val="0"/>
          <w:numId w:val="4"/>
        </w:numPr>
      </w:pPr>
      <w:r>
        <w:rPr>
          <w:rFonts w:ascii="Figtree" w:hAnsi="Figtree"/>
          <w:b w:val="0"/>
          <w:i w:val="0"/>
          <w:sz w:val="22"/>
        </w:rPr>
        <w:t>Operational readiness testing (failover, recovery procedures)</w:t>
      </w:r>
    </w:p>
    <w:p>
      <w:pPr>
        <w:pStyle w:val="ListParagraph"/>
        <w:numPr>
          <w:ilvl w:val="0"/>
          <w:numId w:val="4"/>
        </w:numPr>
      </w:pPr>
      <w:r>
        <w:rPr>
          <w:rFonts w:ascii="Figtree" w:hAnsi="Figtree"/>
          <w:b w:val="0"/>
          <w:i w:val="0"/>
          <w:sz w:val="22"/>
        </w:rPr>
        <w:t>Production go-live for bond lifecycle</w:t>
      </w:r>
    </w:p>
    <w:p>
      <w:r>
        <w:rPr>
          <w:rFonts w:ascii="Figtree" w:hAnsi="Figtree"/>
          <w:b/>
          <w:i w:val="0"/>
          <w:sz w:val="22"/>
        </w:rPr>
        <w:t>Phase 1 Deliverables:</w:t>
      </w:r>
    </w:p>
    <w:p>
      <w:pPr>
        <w:pStyle w:val="ListParagraph"/>
        <w:numPr>
          <w:ilvl w:val="0"/>
          <w:numId w:val="4"/>
        </w:numPr>
      </w:pPr>
      <w:r>
        <w:rPr>
          <w:rFonts w:ascii="Figtree" w:hAnsi="Figtree"/>
          <w:b w:val="0"/>
          <w:i w:val="0"/>
          <w:sz w:val="22"/>
        </w:rPr>
        <w:t>Production DALP platform in Mashreq Bank's data center</w:t>
      </w:r>
    </w:p>
    <w:p>
      <w:pPr>
        <w:pStyle w:val="ListParagraph"/>
        <w:numPr>
          <w:ilvl w:val="0"/>
          <w:numId w:val="4"/>
        </w:numPr>
      </w:pPr>
      <w:r>
        <w:rPr>
          <w:rFonts w:ascii="Figtree" w:hAnsi="Figtree"/>
          <w:b w:val="0"/>
          <w:i w:val="0"/>
          <w:sz w:val="22"/>
        </w:rPr>
        <w:t>Bond issuance and lifecycle management</w:t>
      </w:r>
    </w:p>
    <w:p>
      <w:pPr>
        <w:pStyle w:val="ListParagraph"/>
        <w:numPr>
          <w:ilvl w:val="0"/>
          <w:numId w:val="4"/>
        </w:numPr>
      </w:pPr>
      <w:r>
        <w:rPr>
          <w:rFonts w:ascii="Figtree" w:hAnsi="Figtree"/>
          <w:b w:val="0"/>
          <w:i w:val="0"/>
          <w:sz w:val="22"/>
        </w:rPr>
        <w:t>UAE regulatory compliance configuration</w:t>
      </w:r>
    </w:p>
    <w:p>
      <w:pPr>
        <w:pStyle w:val="ListParagraph"/>
        <w:numPr>
          <w:ilvl w:val="0"/>
          <w:numId w:val="4"/>
        </w:numPr>
      </w:pPr>
      <w:r>
        <w:rPr>
          <w:rFonts w:ascii="Figtree" w:hAnsi="Figtree"/>
          <w:b w:val="0"/>
          <w:i w:val="0"/>
          <w:sz w:val="22"/>
        </w:rPr>
        <w:t>Institutional custody integration</w:t>
      </w:r>
    </w:p>
    <w:p>
      <w:pPr>
        <w:pStyle w:val="ListParagraph"/>
        <w:numPr>
          <w:ilvl w:val="0"/>
          <w:numId w:val="4"/>
        </w:numPr>
      </w:pPr>
      <w:r>
        <w:rPr>
          <w:rFonts w:ascii="Figtree" w:hAnsi="Figtree"/>
          <w:b w:val="0"/>
          <w:i w:val="0"/>
          <w:sz w:val="22"/>
        </w:rPr>
        <w:t>Monitoring and observability</w:t>
      </w:r>
    </w:p>
    <w:p>
      <w:pPr>
        <w:pStyle w:val="ListParagraph"/>
        <w:numPr>
          <w:ilvl w:val="0"/>
          <w:numId w:val="4"/>
        </w:numPr>
      </w:pPr>
      <w:r>
        <w:rPr>
          <w:rFonts w:ascii="Figtree" w:hAnsi="Figtree"/>
          <w:b w:val="0"/>
          <w:i w:val="0"/>
          <w:sz w:val="22"/>
        </w:rPr>
        <w:t>Operations team training</w:t>
      </w:r>
    </w:p>
    <w:p>
      <w:pPr>
        <w:pStyle w:val="H3"/>
        <w:numPr>
          <w:ilvl w:val="2"/>
          <w:numId w:val="1"/>
        </w:numPr>
      </w:pPr>
      <w:r>
        <w:t>Phase 2: Multi-Asset Expansion (Months 5-8)</w:t>
      </w:r>
    </w:p>
    <w:p>
      <w:r>
        <w:rPr>
          <w:rFonts w:ascii="Figtree" w:hAnsi="Figtree"/>
          <w:b/>
          <w:i w:val="0"/>
          <w:sz w:val="22"/>
        </w:rPr>
        <w:t>Objective:</w:t>
      </w:r>
      <w:r>
        <w:rPr>
          <w:rFonts w:ascii="Figtree" w:hAnsi="Figtree"/>
          <w:b w:val="0"/>
          <w:i w:val="0"/>
          <w:sz w:val="22"/>
        </w:rPr>
        <w:t xml:space="preserve"> Expand to deposit tokens, stablecoins, and fund tokenization.</w:t>
      </w:r>
    </w:p>
    <w:p>
      <w:r>
        <w:rPr>
          <w:rFonts w:ascii="Figtree" w:hAnsi="Figtree"/>
          <w:b/>
          <w:i w:val="0"/>
          <w:sz w:val="22"/>
        </w:rPr>
        <w:t>Month 5-6: Deposit Token and Stablecoin Deployment</w:t>
      </w:r>
    </w:p>
    <w:p>
      <w:pPr>
        <w:pStyle w:val="ListParagraph"/>
        <w:numPr>
          <w:ilvl w:val="0"/>
          <w:numId w:val="4"/>
        </w:numPr>
      </w:pPr>
      <w:r>
        <w:rPr>
          <w:rFonts w:ascii="Figtree" w:hAnsi="Figtree"/>
          <w:b w:val="0"/>
          <w:i w:val="0"/>
          <w:sz w:val="22"/>
        </w:rPr>
        <w:t>Deploy deposit token template for tokenized bank deposits</w:t>
      </w:r>
    </w:p>
    <w:p>
      <w:pPr>
        <w:pStyle w:val="ListParagraph"/>
        <w:numPr>
          <w:ilvl w:val="0"/>
          <w:numId w:val="4"/>
        </w:numPr>
      </w:pPr>
      <w:r>
        <w:rPr>
          <w:rFonts w:ascii="Figtree" w:hAnsi="Figtree"/>
          <w:b w:val="0"/>
          <w:i w:val="0"/>
          <w:sz w:val="22"/>
        </w:rPr>
        <w:t>Configure interest calculation and maturity management</w:t>
      </w:r>
    </w:p>
    <w:p>
      <w:pPr>
        <w:pStyle w:val="ListParagraph"/>
        <w:numPr>
          <w:ilvl w:val="0"/>
          <w:numId w:val="4"/>
        </w:numPr>
      </w:pPr>
      <w:r>
        <w:rPr>
          <w:rFonts w:ascii="Figtree" w:hAnsi="Figtree"/>
          <w:b w:val="0"/>
          <w:i w:val="0"/>
          <w:sz w:val="22"/>
        </w:rPr>
        <w:t>Deploy stablecoin template for AED-pegged or USD-pegged operations</w:t>
      </w:r>
    </w:p>
    <w:p>
      <w:pPr>
        <w:pStyle w:val="ListParagraph"/>
        <w:numPr>
          <w:ilvl w:val="0"/>
          <w:numId w:val="4"/>
        </w:numPr>
      </w:pPr>
      <w:r>
        <w:rPr>
          <w:rFonts w:ascii="Figtree" w:hAnsi="Figtree"/>
          <w:b w:val="0"/>
          <w:i w:val="0"/>
          <w:sz w:val="22"/>
        </w:rPr>
        <w:t>Configure reserve monitoring and minting/burning controls</w:t>
      </w:r>
    </w:p>
    <w:p>
      <w:pPr>
        <w:pStyle w:val="ListParagraph"/>
        <w:numPr>
          <w:ilvl w:val="0"/>
          <w:numId w:val="4"/>
        </w:numPr>
      </w:pPr>
      <w:r>
        <w:rPr>
          <w:rFonts w:ascii="Figtree" w:hAnsi="Figtree"/>
          <w:b w:val="0"/>
          <w:i w:val="0"/>
          <w:sz w:val="22"/>
        </w:rPr>
        <w:t>Extend compliance modules for deposit and stablecoin-specific requirements</w:t>
      </w:r>
    </w:p>
    <w:p>
      <w:pPr>
        <w:pStyle w:val="ListParagraph"/>
        <w:numPr>
          <w:ilvl w:val="0"/>
          <w:numId w:val="4"/>
        </w:numPr>
      </w:pPr>
      <w:r>
        <w:rPr>
          <w:rFonts w:ascii="Figtree" w:hAnsi="Figtree"/>
          <w:b w:val="0"/>
          <w:i w:val="0"/>
          <w:sz w:val="22"/>
        </w:rPr>
        <w:t>Integration with Mashreq Bank's treasury management systems</w:t>
      </w:r>
    </w:p>
    <w:p>
      <w:r>
        <w:rPr>
          <w:rFonts w:ascii="Figtree" w:hAnsi="Figtree"/>
          <w:b/>
          <w:i w:val="0"/>
          <w:sz w:val="22"/>
        </w:rPr>
        <w:t>Month 7-8: Fund Tokenization and Primary Offering</w:t>
      </w:r>
    </w:p>
    <w:p>
      <w:pPr>
        <w:pStyle w:val="ListParagraph"/>
        <w:numPr>
          <w:ilvl w:val="0"/>
          <w:numId w:val="4"/>
        </w:numPr>
      </w:pPr>
      <w:r>
        <w:rPr>
          <w:rFonts w:ascii="Figtree" w:hAnsi="Figtree"/>
          <w:b w:val="0"/>
          <w:i w:val="0"/>
          <w:sz w:val="22"/>
        </w:rPr>
        <w:t>Deploy fund asset template for tokenized investment products</w:t>
      </w:r>
    </w:p>
    <w:p>
      <w:pPr>
        <w:pStyle w:val="ListParagraph"/>
        <w:numPr>
          <w:ilvl w:val="0"/>
          <w:numId w:val="4"/>
        </w:numPr>
      </w:pPr>
      <w:r>
        <w:rPr>
          <w:rFonts w:ascii="Figtree" w:hAnsi="Figtree"/>
          <w:b w:val="0"/>
          <w:i w:val="0"/>
          <w:sz w:val="22"/>
        </w:rPr>
        <w:t>Configure NAV integration, subscription/redemption automation</w:t>
      </w:r>
    </w:p>
    <w:p>
      <w:pPr>
        <w:pStyle w:val="ListParagraph"/>
        <w:numPr>
          <w:ilvl w:val="0"/>
          <w:numId w:val="4"/>
        </w:numPr>
      </w:pPr>
      <w:r>
        <w:rPr>
          <w:rFonts w:ascii="Figtree" w:hAnsi="Figtree"/>
          <w:b w:val="0"/>
          <w:i w:val="0"/>
          <w:sz w:val="22"/>
        </w:rPr>
        <w:t>Deploy token sale addon for primary distribution</w:t>
      </w:r>
    </w:p>
    <w:p>
      <w:pPr>
        <w:pStyle w:val="ListParagraph"/>
        <w:numPr>
          <w:ilvl w:val="0"/>
          <w:numId w:val="4"/>
        </w:numPr>
      </w:pPr>
      <w:r>
        <w:rPr>
          <w:rFonts w:ascii="Figtree" w:hAnsi="Figtree"/>
          <w:b w:val="0"/>
          <w:i w:val="0"/>
          <w:sz w:val="22"/>
        </w:rPr>
        <w:t>Configure presale mechanics, payment currencies, and investor limits</w:t>
      </w:r>
    </w:p>
    <w:p>
      <w:pPr>
        <w:pStyle w:val="ListParagraph"/>
        <w:numPr>
          <w:ilvl w:val="0"/>
          <w:numId w:val="4"/>
        </w:numPr>
      </w:pPr>
      <w:r>
        <w:rPr>
          <w:rFonts w:ascii="Figtree" w:hAnsi="Figtree"/>
          <w:b w:val="0"/>
          <w:i w:val="0"/>
          <w:sz w:val="22"/>
        </w:rPr>
        <w:t>Extend identity infrastructure for broader investor onboarding</w:t>
      </w:r>
    </w:p>
    <w:p>
      <w:pPr>
        <w:pStyle w:val="ListParagraph"/>
        <w:numPr>
          <w:ilvl w:val="0"/>
          <w:numId w:val="4"/>
        </w:numPr>
      </w:pPr>
      <w:r>
        <w:rPr>
          <w:rFonts w:ascii="Figtree" w:hAnsi="Figtree"/>
          <w:b w:val="0"/>
          <w:i w:val="0"/>
          <w:sz w:val="22"/>
        </w:rPr>
        <w:t>User acceptance testing and production deployment</w:t>
      </w:r>
    </w:p>
    <w:p>
      <w:r>
        <w:rPr>
          <w:rFonts w:ascii="Figtree" w:hAnsi="Figtree"/>
          <w:b/>
          <w:i w:val="0"/>
          <w:sz w:val="22"/>
        </w:rPr>
        <w:t>Phase 2 Deliverables:</w:t>
      </w:r>
    </w:p>
    <w:p>
      <w:pPr>
        <w:pStyle w:val="ListParagraph"/>
        <w:numPr>
          <w:ilvl w:val="0"/>
          <w:numId w:val="4"/>
        </w:numPr>
      </w:pPr>
      <w:r>
        <w:rPr>
          <w:rFonts w:ascii="Figtree" w:hAnsi="Figtree"/>
          <w:b w:val="0"/>
          <w:i w:val="0"/>
          <w:sz w:val="22"/>
        </w:rPr>
        <w:t>Production deposit token operations</w:t>
      </w:r>
    </w:p>
    <w:p>
      <w:pPr>
        <w:pStyle w:val="ListParagraph"/>
        <w:numPr>
          <w:ilvl w:val="0"/>
          <w:numId w:val="4"/>
        </w:numPr>
      </w:pPr>
      <w:r>
        <w:rPr>
          <w:rFonts w:ascii="Figtree" w:hAnsi="Figtree"/>
          <w:b w:val="0"/>
          <w:i w:val="0"/>
          <w:sz w:val="22"/>
        </w:rPr>
        <w:t>Production stablecoin operations</w:t>
      </w:r>
    </w:p>
    <w:p>
      <w:pPr>
        <w:pStyle w:val="ListParagraph"/>
        <w:numPr>
          <w:ilvl w:val="0"/>
          <w:numId w:val="4"/>
        </w:numPr>
      </w:pPr>
      <w:r>
        <w:rPr>
          <w:rFonts w:ascii="Figtree" w:hAnsi="Figtree"/>
          <w:b w:val="0"/>
          <w:i w:val="0"/>
          <w:sz w:val="22"/>
        </w:rPr>
        <w:t>Fund tokenization and primary offering capability</w:t>
      </w:r>
    </w:p>
    <w:p>
      <w:pPr>
        <w:pStyle w:val="ListParagraph"/>
        <w:numPr>
          <w:ilvl w:val="0"/>
          <w:numId w:val="4"/>
        </w:numPr>
      </w:pPr>
      <w:r>
        <w:rPr>
          <w:rFonts w:ascii="Figtree" w:hAnsi="Figtree"/>
          <w:b w:val="0"/>
          <w:i w:val="0"/>
          <w:sz w:val="22"/>
        </w:rPr>
        <w:t>Extended compliance configuration</w:t>
      </w:r>
    </w:p>
    <w:p>
      <w:pPr>
        <w:pStyle w:val="ListParagraph"/>
        <w:numPr>
          <w:ilvl w:val="0"/>
          <w:numId w:val="4"/>
        </w:numPr>
      </w:pPr>
      <w:r>
        <w:rPr>
          <w:rFonts w:ascii="Figtree" w:hAnsi="Figtree"/>
          <w:b w:val="0"/>
          <w:i w:val="0"/>
          <w:sz w:val="22"/>
        </w:rPr>
        <w:t>Core banking integration for deposit and payment operations</w:t>
      </w:r>
    </w:p>
    <w:p>
      <w:pPr>
        <w:pStyle w:val="H3"/>
        <w:numPr>
          <w:ilvl w:val="2"/>
          <w:numId w:val="1"/>
        </w:numPr>
      </w:pPr>
      <w:r>
        <w:t>Phase 3: Advanced Settlement and Cross-Border (Months 9-12)</w:t>
      </w:r>
    </w:p>
    <w:p>
      <w:r>
        <w:rPr>
          <w:rFonts w:ascii="Figtree" w:hAnsi="Figtree"/>
          <w:b/>
          <w:i w:val="0"/>
          <w:sz w:val="22"/>
        </w:rPr>
        <w:t>Objective:</w:t>
      </w:r>
      <w:r>
        <w:rPr>
          <w:rFonts w:ascii="Figtree" w:hAnsi="Figtree"/>
          <w:b w:val="0"/>
          <w:i w:val="0"/>
          <w:sz w:val="22"/>
        </w:rPr>
        <w:t xml:space="preserve"> Deliver atomic settlement, multi-party settlement, and cross-border capabilities.</w:t>
      </w:r>
    </w:p>
    <w:p>
      <w:r>
        <w:rPr>
          <w:rFonts w:ascii="Figtree" w:hAnsi="Figtree"/>
          <w:b/>
          <w:i w:val="0"/>
          <w:sz w:val="22"/>
        </w:rPr>
        <w:t>Month 9-10: XvP Settlement and Multi-Party Operations</w:t>
      </w:r>
    </w:p>
    <w:p>
      <w:pPr>
        <w:pStyle w:val="ListParagraph"/>
        <w:numPr>
          <w:ilvl w:val="0"/>
          <w:numId w:val="4"/>
        </w:numPr>
      </w:pPr>
      <w:r>
        <w:rPr>
          <w:rFonts w:ascii="Figtree" w:hAnsi="Figtree"/>
          <w:b w:val="0"/>
          <w:i w:val="0"/>
          <w:sz w:val="22"/>
        </w:rPr>
        <w:t>Deploy XvP settlement addon for atomic DvP/XvP operations</w:t>
      </w:r>
    </w:p>
    <w:p>
      <w:pPr>
        <w:pStyle w:val="ListParagraph"/>
        <w:numPr>
          <w:ilvl w:val="0"/>
          <w:numId w:val="4"/>
        </w:numPr>
      </w:pPr>
      <w:r>
        <w:rPr>
          <w:rFonts w:ascii="Figtree" w:hAnsi="Figtree"/>
          <w:b w:val="0"/>
          <w:i w:val="0"/>
          <w:sz w:val="22"/>
        </w:rPr>
        <w:t>Configure multi-party settlement workflows with approval requirements</w:t>
      </w:r>
    </w:p>
    <w:p>
      <w:pPr>
        <w:pStyle w:val="ListParagraph"/>
        <w:numPr>
          <w:ilvl w:val="0"/>
          <w:numId w:val="4"/>
        </w:numPr>
      </w:pPr>
      <w:r>
        <w:rPr>
          <w:rFonts w:ascii="Figtree" w:hAnsi="Figtree"/>
          <w:b w:val="0"/>
          <w:i w:val="0"/>
          <w:sz w:val="22"/>
        </w:rPr>
        <w:t>Implement hashlock-based cross-chain settlement capability</w:t>
      </w:r>
    </w:p>
    <w:p>
      <w:pPr>
        <w:pStyle w:val="ListParagraph"/>
        <w:numPr>
          <w:ilvl w:val="0"/>
          <w:numId w:val="4"/>
        </w:numPr>
      </w:pPr>
      <w:r>
        <w:rPr>
          <w:rFonts w:ascii="Figtree" w:hAnsi="Figtree"/>
          <w:b w:val="0"/>
          <w:i w:val="0"/>
          <w:sz w:val="22"/>
        </w:rPr>
        <w:t>Integration with payment rails for cash leg settlement</w:t>
      </w:r>
    </w:p>
    <w:p>
      <w:pPr>
        <w:pStyle w:val="ListParagraph"/>
        <w:numPr>
          <w:ilvl w:val="0"/>
          <w:numId w:val="4"/>
        </w:numPr>
      </w:pPr>
      <w:r>
        <w:rPr>
          <w:rFonts w:ascii="Figtree" w:hAnsi="Figtree"/>
          <w:b w:val="0"/>
          <w:i w:val="0"/>
          <w:sz w:val="22"/>
        </w:rPr>
        <w:t>Deploy vault addon for multi-signature custody operations</w:t>
      </w:r>
    </w:p>
    <w:p>
      <w:r>
        <w:rPr>
          <w:rFonts w:ascii="Figtree" w:hAnsi="Figtree"/>
          <w:b/>
          <w:i w:val="0"/>
          <w:sz w:val="22"/>
        </w:rPr>
        <w:t>Month 11-12: Cross-Border and Advanced Features</w:t>
      </w:r>
    </w:p>
    <w:p>
      <w:pPr>
        <w:pStyle w:val="ListParagraph"/>
        <w:numPr>
          <w:ilvl w:val="0"/>
          <w:numId w:val="4"/>
        </w:numPr>
      </w:pPr>
      <w:r>
        <w:rPr>
          <w:rFonts w:ascii="Figtree" w:hAnsi="Figtree"/>
          <w:b w:val="0"/>
          <w:i w:val="0"/>
          <w:sz w:val="22"/>
        </w:rPr>
        <w:t>Configure multi-chain deployment for cross-border operations</w:t>
      </w:r>
    </w:p>
    <w:p>
      <w:pPr>
        <w:pStyle w:val="ListParagraph"/>
        <w:numPr>
          <w:ilvl w:val="0"/>
          <w:numId w:val="4"/>
        </w:numPr>
      </w:pPr>
      <w:r>
        <w:rPr>
          <w:rFonts w:ascii="Figtree" w:hAnsi="Figtree"/>
          <w:b w:val="0"/>
          <w:i w:val="0"/>
          <w:sz w:val="22"/>
        </w:rPr>
        <w:t>Extend compliance modules for international jurisdictions</w:t>
      </w:r>
    </w:p>
    <w:p>
      <w:pPr>
        <w:pStyle w:val="ListParagraph"/>
        <w:numPr>
          <w:ilvl w:val="0"/>
          <w:numId w:val="4"/>
        </w:numPr>
      </w:pPr>
      <w:r>
        <w:rPr>
          <w:rFonts w:ascii="Figtree" w:hAnsi="Figtree"/>
          <w:b w:val="0"/>
          <w:i w:val="0"/>
          <w:sz w:val="22"/>
        </w:rPr>
        <w:t>Deploy real estate tokenization template (aligned with Dubai tokenization strategy)</w:t>
      </w:r>
    </w:p>
    <w:p>
      <w:pPr>
        <w:pStyle w:val="ListParagraph"/>
        <w:numPr>
          <w:ilvl w:val="0"/>
          <w:numId w:val="4"/>
        </w:numPr>
      </w:pPr>
      <w:r>
        <w:rPr>
          <w:rFonts w:ascii="Figtree" w:hAnsi="Figtree"/>
          <w:b w:val="0"/>
          <w:i w:val="0"/>
          <w:sz w:val="22"/>
        </w:rPr>
        <w:t>Deploy configurable token template for sukuk and custom instruments</w:t>
      </w:r>
    </w:p>
    <w:p>
      <w:pPr>
        <w:pStyle w:val="ListParagraph"/>
        <w:numPr>
          <w:ilvl w:val="0"/>
          <w:numId w:val="4"/>
        </w:numPr>
      </w:pPr>
      <w:r>
        <w:rPr>
          <w:rFonts w:ascii="Figtree" w:hAnsi="Figtree"/>
          <w:b w:val="0"/>
          <w:i w:val="0"/>
          <w:sz w:val="22"/>
        </w:rPr>
        <w:t>Advanced reporting and regulatory export capabilities</w:t>
      </w:r>
    </w:p>
    <w:p>
      <w:pPr>
        <w:pStyle w:val="ListParagraph"/>
        <w:numPr>
          <w:ilvl w:val="0"/>
          <w:numId w:val="4"/>
        </w:numPr>
      </w:pPr>
      <w:r>
        <w:rPr>
          <w:rFonts w:ascii="Figtree" w:hAnsi="Figtree"/>
          <w:b w:val="0"/>
          <w:i w:val="0"/>
          <w:sz w:val="22"/>
        </w:rPr>
        <w:t>Full platform optimization and performance tuning</w:t>
      </w:r>
    </w:p>
    <w:p>
      <w:r>
        <w:rPr>
          <w:rFonts w:ascii="Figtree" w:hAnsi="Figtree"/>
          <w:b/>
          <w:i w:val="0"/>
          <w:sz w:val="22"/>
        </w:rPr>
        <w:t>Phase 3 Deliverables:</w:t>
      </w:r>
    </w:p>
    <w:p>
      <w:pPr>
        <w:pStyle w:val="ListParagraph"/>
        <w:numPr>
          <w:ilvl w:val="0"/>
          <w:numId w:val="4"/>
        </w:numPr>
      </w:pPr>
      <w:r>
        <w:rPr>
          <w:rFonts w:ascii="Figtree" w:hAnsi="Figtree"/>
          <w:b w:val="0"/>
          <w:i w:val="0"/>
          <w:sz w:val="22"/>
        </w:rPr>
        <w:t>Atomic DvP/XvP settlement capability</w:t>
      </w:r>
    </w:p>
    <w:p>
      <w:pPr>
        <w:pStyle w:val="ListParagraph"/>
        <w:numPr>
          <w:ilvl w:val="0"/>
          <w:numId w:val="4"/>
        </w:numPr>
      </w:pPr>
      <w:r>
        <w:rPr>
          <w:rFonts w:ascii="Figtree" w:hAnsi="Figtree"/>
          <w:b w:val="0"/>
          <w:i w:val="0"/>
          <w:sz w:val="22"/>
        </w:rPr>
        <w:t>Cross-border digital asset operations</w:t>
      </w:r>
    </w:p>
    <w:p>
      <w:pPr>
        <w:pStyle w:val="ListParagraph"/>
        <w:numPr>
          <w:ilvl w:val="0"/>
          <w:numId w:val="4"/>
        </w:numPr>
      </w:pPr>
      <w:r>
        <w:rPr>
          <w:rFonts w:ascii="Figtree" w:hAnsi="Figtree"/>
          <w:b w:val="0"/>
          <w:i w:val="0"/>
          <w:sz w:val="22"/>
        </w:rPr>
        <w:t>Real estate tokenization</w:t>
      </w:r>
    </w:p>
    <w:p>
      <w:pPr>
        <w:pStyle w:val="ListParagraph"/>
        <w:numPr>
          <w:ilvl w:val="0"/>
          <w:numId w:val="4"/>
        </w:numPr>
      </w:pPr>
      <w:r>
        <w:rPr>
          <w:rFonts w:ascii="Figtree" w:hAnsi="Figtree"/>
          <w:b w:val="0"/>
          <w:i w:val="0"/>
          <w:sz w:val="22"/>
        </w:rPr>
        <w:t>Sukuk and custom instrument support</w:t>
      </w:r>
    </w:p>
    <w:p>
      <w:pPr>
        <w:pStyle w:val="ListParagraph"/>
        <w:numPr>
          <w:ilvl w:val="0"/>
          <w:numId w:val="4"/>
        </w:numPr>
      </w:pPr>
      <w:r>
        <w:rPr>
          <w:rFonts w:ascii="Figtree" w:hAnsi="Figtree"/>
          <w:b w:val="0"/>
          <w:i w:val="0"/>
          <w:sz w:val="22"/>
        </w:rPr>
        <w:t>Full multi-asset operating model</w:t>
      </w:r>
    </w:p>
    <w:p>
      <w:pPr>
        <w:pStyle w:val="H3"/>
        <w:numPr>
          <w:ilvl w:val="2"/>
          <w:numId w:val="1"/>
        </w:numPr>
      </w:pPr>
      <w:r>
        <w:t>Governance Model</w:t>
      </w:r>
    </w:p>
    <w:p>
      <w:r>
        <w:rPr>
          <w:rFonts w:ascii="Figtree" w:hAnsi="Figtree"/>
          <w:b/>
          <w:i w:val="0"/>
          <w:sz w:val="22"/>
        </w:rPr>
        <w:t>Steering Committee:</w:t>
      </w:r>
    </w:p>
    <w:p>
      <w:pPr>
        <w:pStyle w:val="ListParagraph"/>
        <w:numPr>
          <w:ilvl w:val="0"/>
          <w:numId w:val="4"/>
        </w:numPr>
      </w:pPr>
      <w:r>
        <w:rPr>
          <w:rFonts w:ascii="Figtree" w:hAnsi="Figtree"/>
          <w:b w:val="0"/>
          <w:i w:val="0"/>
          <w:sz w:val="22"/>
        </w:rPr>
        <w:t>Quarterly executive reviews with Mashreq Bank C-suite and SettleMint leadership</w:t>
      </w:r>
    </w:p>
    <w:p>
      <w:pPr>
        <w:pStyle w:val="ListParagraph"/>
        <w:numPr>
          <w:ilvl w:val="0"/>
          <w:numId w:val="4"/>
        </w:numPr>
      </w:pPr>
      <w:r>
        <w:rPr>
          <w:rFonts w:ascii="Figtree" w:hAnsi="Figtree"/>
          <w:b w:val="0"/>
          <w:i w:val="0"/>
          <w:sz w:val="22"/>
        </w:rPr>
        <w:t>Strategic direction, budget, and scope governance</w:t>
      </w:r>
    </w:p>
    <w:p>
      <w:pPr>
        <w:pStyle w:val="ListParagraph"/>
        <w:numPr>
          <w:ilvl w:val="0"/>
          <w:numId w:val="4"/>
        </w:numPr>
      </w:pPr>
      <w:r>
        <w:rPr>
          <w:rFonts w:ascii="Figtree" w:hAnsi="Figtree"/>
          <w:b w:val="0"/>
          <w:i w:val="0"/>
          <w:sz w:val="22"/>
        </w:rPr>
        <w:t>Regulatory change impact assessment</w:t>
      </w:r>
    </w:p>
    <w:p>
      <w:r>
        <w:rPr>
          <w:rFonts w:ascii="Figtree" w:hAnsi="Figtree"/>
          <w:b/>
          <w:i w:val="0"/>
          <w:sz w:val="22"/>
        </w:rPr>
        <w:t>Project Management Office (PMO):</w:t>
      </w:r>
    </w:p>
    <w:p>
      <w:pPr>
        <w:pStyle w:val="ListParagraph"/>
        <w:numPr>
          <w:ilvl w:val="0"/>
          <w:numId w:val="4"/>
        </w:numPr>
      </w:pPr>
      <w:r>
        <w:rPr>
          <w:rFonts w:ascii="Figtree" w:hAnsi="Figtree"/>
          <w:b w:val="0"/>
          <w:i w:val="0"/>
          <w:sz w:val="22"/>
        </w:rPr>
        <w:t>Bi-weekly sprint reviews with delivery status, risk register, and dependency tracking</w:t>
      </w:r>
    </w:p>
    <w:p>
      <w:pPr>
        <w:pStyle w:val="ListParagraph"/>
        <w:numPr>
          <w:ilvl w:val="0"/>
          <w:numId w:val="4"/>
        </w:numPr>
      </w:pPr>
      <w:r>
        <w:rPr>
          <w:rFonts w:ascii="Figtree" w:hAnsi="Figtree"/>
          <w:b w:val="0"/>
          <w:i w:val="0"/>
          <w:sz w:val="22"/>
        </w:rPr>
        <w:t>Change management and scope control</w:t>
      </w:r>
    </w:p>
    <w:p>
      <w:pPr>
        <w:pStyle w:val="ListParagraph"/>
        <w:numPr>
          <w:ilvl w:val="0"/>
          <w:numId w:val="4"/>
        </w:numPr>
      </w:pPr>
      <w:r>
        <w:rPr>
          <w:rFonts w:ascii="Figtree" w:hAnsi="Figtree"/>
          <w:b w:val="0"/>
          <w:i w:val="0"/>
          <w:sz w:val="22"/>
        </w:rPr>
        <w:t>Resource allocation and timeline management</w:t>
      </w:r>
    </w:p>
    <w:p>
      <w:r>
        <w:rPr>
          <w:rFonts w:ascii="Figtree" w:hAnsi="Figtree"/>
          <w:b/>
          <w:i w:val="0"/>
          <w:sz w:val="22"/>
        </w:rPr>
        <w:t>Architecture Board:</w:t>
      </w:r>
    </w:p>
    <w:p>
      <w:pPr>
        <w:pStyle w:val="ListParagraph"/>
        <w:numPr>
          <w:ilvl w:val="0"/>
          <w:numId w:val="4"/>
        </w:numPr>
      </w:pPr>
      <w:r>
        <w:rPr>
          <w:rFonts w:ascii="Figtree" w:hAnsi="Figtree"/>
          <w:b w:val="0"/>
          <w:i w:val="0"/>
          <w:sz w:val="22"/>
        </w:rPr>
        <w:t>Monthly technical reviews covering architecture decisions, integration patterns, and security posture</w:t>
      </w:r>
    </w:p>
    <w:p>
      <w:pPr>
        <w:pStyle w:val="ListParagraph"/>
        <w:numPr>
          <w:ilvl w:val="0"/>
          <w:numId w:val="4"/>
        </w:numPr>
      </w:pPr>
      <w:r>
        <w:rPr>
          <w:rFonts w:ascii="Figtree" w:hAnsi="Figtree"/>
          <w:b w:val="0"/>
          <w:i w:val="0"/>
          <w:sz w:val="22"/>
        </w:rPr>
        <w:t>Performance benchmarking and capacity planning</w:t>
      </w:r>
    </w:p>
    <w:p>
      <w:pPr>
        <w:pStyle w:val="ListParagraph"/>
        <w:numPr>
          <w:ilvl w:val="0"/>
          <w:numId w:val="4"/>
        </w:numPr>
      </w:pPr>
      <w:r>
        <w:rPr>
          <w:rFonts w:ascii="Figtree" w:hAnsi="Figtree"/>
          <w:b w:val="0"/>
          <w:i w:val="0"/>
          <w:sz w:val="22"/>
        </w:rPr>
        <w:t>Technology roadmap alignment</w:t>
      </w:r>
    </w:p>
    <w:p>
      <w:pPr>
        <w:pStyle w:val="H3"/>
        <w:numPr>
          <w:ilvl w:val="2"/>
          <w:numId w:val="1"/>
        </w:numPr>
      </w:pPr>
      <w:r>
        <w:t>Testing Strategy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74"/>
        <w:gridCol w:w="4758"/>
        <w:gridCol w:w="1839"/>
      </w:tblGrid>
      <w:tr>
        <w:trPr>
          <w:trHeight w:val="488"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Test Type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Scope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Timing</w:t>
            </w:r>
          </w:p>
        </w:tc>
      </w:tr>
      <w:tr>
        <w:trPr>
          <w:trHeight w:val="488" w:hRule="atLeast"/>
        </w:trPr>
        <w:tc>
          <w:tcPr>
            <w:tcW w:type="dxa" w:w="3249"/>
            <w:vAlign w:val="center"/>
          </w:tcPr>
          <w:p>
            <w:pPr>
              <w:spacing w:line="276" w:lineRule="auto" w:before="0" w:after="0"/>
            </w:pPr>
            <w:r/>
            <w:r>
              <w:rPr>
                <w:rFonts w:ascii="Figtree" w:hAnsi="Figtree"/>
                <w:b/>
                <w:i w:val="0"/>
                <w:sz w:val="20"/>
              </w:rPr>
              <w:t>Unit Testing</w:t>
            </w:r>
          </w:p>
        </w:tc>
        <w:tc>
          <w:tcPr>
            <w:tcW w:type="dxa" w:w="3249"/>
            <w:vAlign w:val="center"/>
          </w:tcPr>
          <w:p>
            <w:pPr>
              <w:spacing w:line="276" w:lineRule="auto" w:before="0" w:after="0"/>
            </w:pPr>
            <w:r/>
            <w:r>
              <w:rPr>
                <w:rFonts w:ascii="Figtree" w:hAnsi="Figtree"/>
                <w:b w:val="0"/>
                <w:i w:val="0"/>
                <w:sz w:val="20"/>
              </w:rPr>
              <w:t>Smart contract logic, API endpoints, compliance modules</w:t>
            </w:r>
          </w:p>
        </w:tc>
        <w:tc>
          <w:tcPr>
            <w:tcW w:type="dxa" w:w="3249"/>
            <w:vAlign w:val="center"/>
          </w:tcPr>
          <w:p>
            <w:pPr>
              <w:spacing w:line="276" w:lineRule="auto" w:before="0" w:after="0"/>
            </w:pPr>
            <w:r/>
            <w:r>
              <w:rPr>
                <w:rFonts w:ascii="Figtree" w:hAnsi="Figtree"/>
                <w:b w:val="0"/>
                <w:i w:val="0"/>
                <w:sz w:val="20"/>
              </w:rPr>
              <w:t>Continuous during development</w:t>
            </w:r>
          </w:p>
        </w:tc>
      </w:tr>
      <w:tr>
        <w:trPr>
          <w:trHeight w:val="488" w:hRule="atLeast"/>
        </w:trPr>
        <w:tc>
          <w:tcPr>
            <w:tcW w:type="dxa" w:w="3249"/>
            <w:vAlign w:val="center"/>
          </w:tcPr>
          <w:p>
            <w:pPr>
              <w:spacing w:line="276" w:lineRule="auto" w:before="0" w:after="0"/>
            </w:pPr>
            <w:r/>
            <w:r>
              <w:rPr>
                <w:rFonts w:ascii="Figtree" w:hAnsi="Figtree"/>
                <w:b/>
                <w:i w:val="0"/>
                <w:sz w:val="20"/>
              </w:rPr>
              <w:t>Integration Testing</w:t>
            </w:r>
          </w:p>
        </w:tc>
        <w:tc>
          <w:tcPr>
            <w:tcW w:type="dxa" w:w="3249"/>
            <w:vAlign w:val="center"/>
          </w:tcPr>
          <w:p>
            <w:pPr>
              <w:spacing w:line="276" w:lineRule="auto" w:before="0" w:after="0"/>
            </w:pPr>
            <w:r/>
            <w:r>
              <w:rPr>
                <w:rFonts w:ascii="Figtree" w:hAnsi="Figtree"/>
                <w:b w:val="0"/>
                <w:i w:val="0"/>
                <w:sz w:val="20"/>
              </w:rPr>
              <w:t>Inter-service communication, custody integration, payment rail connectivity</w:t>
            </w:r>
          </w:p>
        </w:tc>
        <w:tc>
          <w:tcPr>
            <w:tcW w:type="dxa" w:w="3249"/>
            <w:vAlign w:val="center"/>
          </w:tcPr>
          <w:p>
            <w:pPr>
              <w:spacing w:line="276" w:lineRule="auto" w:before="0" w:after="0"/>
            </w:pPr>
            <w:r/>
            <w:r>
              <w:rPr>
                <w:rFonts w:ascii="Figtree" w:hAnsi="Figtree"/>
                <w:b w:val="0"/>
                <w:i w:val="0"/>
                <w:sz w:val="20"/>
              </w:rPr>
              <w:t>Sprint cycles</w:t>
            </w:r>
          </w:p>
        </w:tc>
      </w:tr>
      <w:tr>
        <w:trPr>
          <w:trHeight w:val="488" w:hRule="atLeast"/>
        </w:trPr>
        <w:tc>
          <w:tcPr>
            <w:tcW w:type="dxa" w:w="3249"/>
            <w:vAlign w:val="center"/>
          </w:tcPr>
          <w:p>
            <w:pPr>
              <w:spacing w:line="276" w:lineRule="auto" w:before="0" w:after="0"/>
            </w:pPr>
            <w:r/>
            <w:r>
              <w:rPr>
                <w:rFonts w:ascii="Figtree" w:hAnsi="Figtree"/>
                <w:b/>
                <w:i w:val="0"/>
                <w:sz w:val="20"/>
              </w:rPr>
              <w:t>System Integration Testing (SIT)</w:t>
            </w:r>
          </w:p>
        </w:tc>
        <w:tc>
          <w:tcPr>
            <w:tcW w:type="dxa" w:w="3249"/>
            <w:vAlign w:val="center"/>
          </w:tcPr>
          <w:p>
            <w:pPr>
              <w:spacing w:line="276" w:lineRule="auto" w:before="0" w:after="0"/>
            </w:pPr>
            <w:r/>
            <w:r>
              <w:rPr>
                <w:rFonts w:ascii="Figtree" w:hAnsi="Figtree"/>
                <w:b w:val="0"/>
                <w:i w:val="0"/>
                <w:sz w:val="20"/>
              </w:rPr>
              <w:t>End-to-end workflows across all platform components</w:t>
            </w:r>
          </w:p>
        </w:tc>
        <w:tc>
          <w:tcPr>
            <w:tcW w:type="dxa" w:w="3249"/>
            <w:vAlign w:val="center"/>
          </w:tcPr>
          <w:p>
            <w:pPr>
              <w:spacing w:line="276" w:lineRule="auto" w:before="0" w:after="0"/>
            </w:pPr>
            <w:r/>
            <w:r>
              <w:rPr>
                <w:rFonts w:ascii="Figtree" w:hAnsi="Figtree"/>
                <w:b w:val="0"/>
                <w:i w:val="0"/>
                <w:sz w:val="20"/>
              </w:rPr>
              <w:t>Pre-UAT</w:t>
            </w:r>
          </w:p>
        </w:tc>
      </w:tr>
      <w:tr>
        <w:trPr>
          <w:trHeight w:val="488" w:hRule="atLeast"/>
        </w:trPr>
        <w:tc>
          <w:tcPr>
            <w:tcW w:type="dxa" w:w="3249"/>
            <w:vAlign w:val="center"/>
          </w:tcPr>
          <w:p>
            <w:pPr>
              <w:spacing w:line="276" w:lineRule="auto" w:before="0" w:after="0"/>
            </w:pPr>
            <w:r/>
            <w:r>
              <w:rPr>
                <w:rFonts w:ascii="Figtree" w:hAnsi="Figtree"/>
                <w:b/>
                <w:i w:val="0"/>
                <w:sz w:val="20"/>
              </w:rPr>
              <w:t>Performance Testing</w:t>
            </w:r>
          </w:p>
        </w:tc>
        <w:tc>
          <w:tcPr>
            <w:tcW w:type="dxa" w:w="3249"/>
            <w:vAlign w:val="center"/>
          </w:tcPr>
          <w:p>
            <w:pPr>
              <w:spacing w:line="276" w:lineRule="auto" w:before="0" w:after="0"/>
            </w:pPr>
            <w:r/>
            <w:r>
              <w:rPr>
                <w:rFonts w:ascii="Figtree" w:hAnsi="Figtree"/>
                <w:b w:val="0"/>
                <w:i w:val="0"/>
                <w:sz w:val="20"/>
              </w:rPr>
              <w:t>Transaction throughput, latency under load, concurrent user capacity</w:t>
            </w:r>
          </w:p>
        </w:tc>
        <w:tc>
          <w:tcPr>
            <w:tcW w:type="dxa" w:w="3249"/>
            <w:vAlign w:val="center"/>
          </w:tcPr>
          <w:p>
            <w:pPr>
              <w:spacing w:line="276" w:lineRule="auto" w:before="0" w:after="0"/>
            </w:pPr>
            <w:r/>
            <w:r>
              <w:rPr>
                <w:rFonts w:ascii="Figtree" w:hAnsi="Figtree"/>
                <w:b w:val="0"/>
                <w:i w:val="0"/>
                <w:sz w:val="20"/>
              </w:rPr>
              <w:t>Pre-UAT</w:t>
            </w:r>
          </w:p>
        </w:tc>
      </w:tr>
      <w:tr>
        <w:trPr>
          <w:trHeight w:val="488" w:hRule="atLeast"/>
        </w:trPr>
        <w:tc>
          <w:tcPr>
            <w:tcW w:type="dxa" w:w="3249"/>
            <w:vAlign w:val="center"/>
          </w:tcPr>
          <w:p>
            <w:pPr>
              <w:spacing w:line="276" w:lineRule="auto" w:before="0" w:after="0"/>
            </w:pPr>
            <w:r/>
            <w:r>
              <w:rPr>
                <w:rFonts w:ascii="Figtree" w:hAnsi="Figtree"/>
                <w:b/>
                <w:i w:val="0"/>
                <w:sz w:val="20"/>
              </w:rPr>
              <w:t>Security Testing</w:t>
            </w:r>
          </w:p>
        </w:tc>
        <w:tc>
          <w:tcPr>
            <w:tcW w:type="dxa" w:w="3249"/>
            <w:vAlign w:val="center"/>
          </w:tcPr>
          <w:p>
            <w:pPr>
              <w:spacing w:line="276" w:lineRule="auto" w:before="0" w:after="0"/>
            </w:pPr>
            <w:r/>
            <w:r>
              <w:rPr>
                <w:rFonts w:ascii="Figtree" w:hAnsi="Figtree"/>
                <w:b w:val="0"/>
                <w:i w:val="0"/>
                <w:sz w:val="20"/>
              </w:rPr>
              <w:t>Penetration testing, vulnerability scanning, smart contract audit</w:t>
            </w:r>
          </w:p>
        </w:tc>
        <w:tc>
          <w:tcPr>
            <w:tcW w:type="dxa" w:w="3249"/>
            <w:vAlign w:val="center"/>
          </w:tcPr>
          <w:p>
            <w:pPr>
              <w:spacing w:line="276" w:lineRule="auto" w:before="0" w:after="0"/>
            </w:pPr>
            <w:r/>
            <w:r>
              <w:rPr>
                <w:rFonts w:ascii="Figtree" w:hAnsi="Figtree"/>
                <w:b w:val="0"/>
                <w:i w:val="0"/>
                <w:sz w:val="20"/>
              </w:rPr>
              <w:t>Pre-go-live</w:t>
            </w:r>
          </w:p>
        </w:tc>
      </w:tr>
      <w:tr>
        <w:trPr>
          <w:trHeight w:val="488" w:hRule="atLeast"/>
        </w:trPr>
        <w:tc>
          <w:tcPr>
            <w:tcW w:type="dxa" w:w="3249"/>
            <w:vAlign w:val="center"/>
          </w:tcPr>
          <w:p>
            <w:pPr>
              <w:spacing w:line="276" w:lineRule="auto" w:before="0" w:after="0"/>
            </w:pPr>
            <w:r/>
            <w:r>
              <w:rPr>
                <w:rFonts w:ascii="Figtree" w:hAnsi="Figtree"/>
                <w:b/>
                <w:i w:val="0"/>
                <w:sz w:val="20"/>
              </w:rPr>
              <w:t>User Acceptance Testing (UAT)</w:t>
            </w:r>
          </w:p>
        </w:tc>
        <w:tc>
          <w:tcPr>
            <w:tcW w:type="dxa" w:w="3249"/>
            <w:vAlign w:val="center"/>
          </w:tcPr>
          <w:p>
            <w:pPr>
              <w:spacing w:line="276" w:lineRule="auto" w:before="0" w:after="0"/>
            </w:pPr>
            <w:r/>
            <w:r>
              <w:rPr>
                <w:rFonts w:ascii="Figtree" w:hAnsi="Figtree"/>
                <w:b w:val="0"/>
                <w:i w:val="0"/>
                <w:sz w:val="20"/>
              </w:rPr>
              <w:t>Business workflow validation with Mashreq Bank operations teams</w:t>
            </w:r>
          </w:p>
        </w:tc>
        <w:tc>
          <w:tcPr>
            <w:tcW w:type="dxa" w:w="3249"/>
            <w:vAlign w:val="center"/>
          </w:tcPr>
          <w:p>
            <w:pPr>
              <w:spacing w:line="276" w:lineRule="auto" w:before="0" w:after="0"/>
            </w:pPr>
            <w:r/>
            <w:r>
              <w:rPr>
                <w:rFonts w:ascii="Figtree" w:hAnsi="Figtree"/>
                <w:b w:val="0"/>
                <w:i w:val="0"/>
                <w:sz w:val="20"/>
              </w:rPr>
              <w:t>Pre-go-live</w:t>
            </w:r>
          </w:p>
        </w:tc>
      </w:tr>
      <w:tr>
        <w:trPr>
          <w:trHeight w:val="488" w:hRule="atLeast"/>
        </w:trPr>
        <w:tc>
          <w:tcPr>
            <w:tcW w:type="dxa" w:w="3249"/>
            <w:vAlign w:val="center"/>
          </w:tcPr>
          <w:p>
            <w:pPr>
              <w:spacing w:line="276" w:lineRule="auto" w:before="0" w:after="0"/>
            </w:pPr>
            <w:r/>
            <w:r>
              <w:rPr>
                <w:rFonts w:ascii="Figtree" w:hAnsi="Figtree"/>
                <w:b/>
                <w:i w:val="0"/>
                <w:sz w:val="20"/>
              </w:rPr>
              <w:t>Operational Readiness Testing (ORT)</w:t>
            </w:r>
          </w:p>
        </w:tc>
        <w:tc>
          <w:tcPr>
            <w:tcW w:type="dxa" w:w="3249"/>
            <w:vAlign w:val="center"/>
          </w:tcPr>
          <w:p>
            <w:pPr>
              <w:spacing w:line="276" w:lineRule="auto" w:before="0" w:after="0"/>
            </w:pPr>
            <w:r/>
            <w:r>
              <w:rPr>
                <w:rFonts w:ascii="Figtree" w:hAnsi="Figtree"/>
                <w:b w:val="0"/>
                <w:i w:val="0"/>
                <w:sz w:val="20"/>
              </w:rPr>
              <w:t>Failover, recovery, monitoring, alerting, runbook validation</w:t>
            </w:r>
          </w:p>
        </w:tc>
        <w:tc>
          <w:tcPr>
            <w:tcW w:type="dxa" w:w="3249"/>
            <w:vAlign w:val="center"/>
          </w:tcPr>
          <w:p>
            <w:pPr>
              <w:spacing w:line="276" w:lineRule="auto" w:before="0" w:after="0"/>
            </w:pPr>
            <w:r/>
            <w:r>
              <w:rPr>
                <w:rFonts w:ascii="Figtree" w:hAnsi="Figtree"/>
                <w:b w:val="0"/>
                <w:i w:val="0"/>
                <w:sz w:val="20"/>
              </w:rPr>
              <w:t>Pre-go-live</w:t>
            </w:r>
          </w:p>
        </w:tc>
      </w:tr>
      <w:tr>
        <w:trPr>
          <w:trHeight w:val="488" w:hRule="atLeast"/>
        </w:trPr>
        <w:tc>
          <w:tcPr>
            <w:tcW w:type="dxa" w:w="3249"/>
            <w:vAlign w:val="center"/>
          </w:tcPr>
          <w:p>
            <w:pPr>
              <w:spacing w:line="276" w:lineRule="auto" w:before="0" w:after="0"/>
            </w:pPr>
            <w:r/>
            <w:r>
              <w:rPr>
                <w:rFonts w:ascii="Figtree" w:hAnsi="Figtree"/>
                <w:b/>
                <w:i w:val="0"/>
                <w:sz w:val="20"/>
              </w:rPr>
              <w:t>Disaster Recovery Testing</w:t>
            </w:r>
          </w:p>
        </w:tc>
        <w:tc>
          <w:tcPr>
            <w:tcW w:type="dxa" w:w="3249"/>
            <w:vAlign w:val="center"/>
          </w:tcPr>
          <w:p>
            <w:pPr>
              <w:spacing w:line="276" w:lineRule="auto" w:before="0" w:after="0"/>
            </w:pPr>
            <w:r/>
            <w:r>
              <w:rPr>
                <w:rFonts w:ascii="Figtree" w:hAnsi="Figtree"/>
                <w:b w:val="0"/>
                <w:i w:val="0"/>
                <w:sz w:val="20"/>
              </w:rPr>
              <w:t>Full DR failover and recovery procedure validation</w:t>
            </w:r>
          </w:p>
        </w:tc>
        <w:tc>
          <w:tcPr>
            <w:tcW w:type="dxa" w:w="3249"/>
            <w:vAlign w:val="center"/>
          </w:tcPr>
          <w:p>
            <w:pPr>
              <w:spacing w:line="276" w:lineRule="auto" w:before="0" w:after="0"/>
            </w:pPr>
            <w:r/>
            <w:r>
              <w:rPr>
                <w:rFonts w:ascii="Figtree" w:hAnsi="Figtree"/>
                <w:b w:val="0"/>
                <w:i w:val="0"/>
                <w:sz w:val="20"/>
              </w:rPr>
              <w:t>Post-go-live</w:t>
            </w:r>
          </w:p>
        </w:tc>
      </w:tr>
    </w:tbl>
    <w:p>
      <w:pPr>
        <w:spacing w:before="0" w:after="0" w:line="120" w:lineRule="exact"/>
      </w:pPr>
    </w:p>
    <w:p>
      <w:pPr>
        <w:pStyle w:val="H3"/>
        <w:numPr>
          <w:ilvl w:val="2"/>
          <w:numId w:val="1"/>
        </w:numPr>
      </w:pPr>
      <w:r>
        <w:t>Training and Knowledge Transfer</w:t>
      </w:r>
    </w:p>
    <w:p>
      <w:r>
        <w:rPr>
          <w:rFonts w:ascii="Figtree" w:hAnsi="Figtree"/>
          <w:b w:val="0"/>
          <w:i w:val="0"/>
          <w:sz w:val="22"/>
        </w:rPr>
        <w:t>SettleMint provides training across five stakeholder groups: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62"/>
        <w:gridCol w:w="5156"/>
        <w:gridCol w:w="2153"/>
      </w:tblGrid>
      <w:tr>
        <w:trPr>
          <w:trHeight w:val="488"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Stakeholder Group</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Training Focus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Format</w:t>
            </w:r>
          </w:p>
        </w:tc>
      </w:tr>
      <w:tr>
        <w:trPr>
          <w:trHeight w:val="488" w:hRule="atLeast"/>
        </w:trPr>
        <w:tc>
          <w:tcPr>
            <w:tcW w:type="dxa" w:w="3249"/>
            <w:vAlign w:val="center"/>
          </w:tcPr>
          <w:p>
            <w:pPr>
              <w:spacing w:line="276" w:lineRule="auto" w:before="0" w:after="0"/>
            </w:pPr>
            <w:r/>
            <w:r>
              <w:rPr>
                <w:rFonts w:ascii="Figtree" w:hAnsi="Figtree"/>
                <w:b/>
                <w:i w:val="0"/>
                <w:sz w:val="20"/>
              </w:rPr>
              <w:t>Platform Administrators</w:t>
            </w:r>
          </w:p>
        </w:tc>
        <w:tc>
          <w:tcPr>
            <w:tcW w:type="dxa" w:w="3249"/>
            <w:vAlign w:val="center"/>
          </w:tcPr>
          <w:p>
            <w:pPr>
              <w:spacing w:line="276" w:lineRule="auto" w:before="0" w:after="0"/>
            </w:pPr>
            <w:r/>
            <w:r>
              <w:rPr>
                <w:rFonts w:ascii="Figtree" w:hAnsi="Figtree"/>
                <w:b w:val="0"/>
                <w:i w:val="0"/>
                <w:sz w:val="20"/>
              </w:rPr>
              <w:t>Infrastructure management, Kubernetes operations, monitoring, incident response</w:t>
            </w:r>
          </w:p>
        </w:tc>
        <w:tc>
          <w:tcPr>
            <w:tcW w:type="dxa" w:w="3249"/>
            <w:vAlign w:val="center"/>
          </w:tcPr>
          <w:p>
            <w:pPr>
              <w:spacing w:line="276" w:lineRule="auto" w:before="0" w:after="0"/>
            </w:pPr>
            <w:r/>
            <w:r>
              <w:rPr>
                <w:rFonts w:ascii="Figtree" w:hAnsi="Figtree"/>
                <w:b w:val="0"/>
                <w:i w:val="0"/>
                <w:sz w:val="20"/>
              </w:rPr>
              <w:t>Hands-on workshop (5 days)</w:t>
            </w:r>
          </w:p>
        </w:tc>
      </w:tr>
      <w:tr>
        <w:trPr>
          <w:trHeight w:val="488" w:hRule="atLeast"/>
        </w:trPr>
        <w:tc>
          <w:tcPr>
            <w:tcW w:type="dxa" w:w="3249"/>
            <w:vAlign w:val="center"/>
          </w:tcPr>
          <w:p>
            <w:pPr>
              <w:spacing w:line="276" w:lineRule="auto" w:before="0" w:after="0"/>
            </w:pPr>
            <w:r/>
            <w:r>
              <w:rPr>
                <w:rFonts w:ascii="Figtree" w:hAnsi="Figtree"/>
                <w:b/>
                <w:i w:val="0"/>
                <w:sz w:val="20"/>
              </w:rPr>
              <w:t>Operations Teams</w:t>
            </w:r>
          </w:p>
        </w:tc>
        <w:tc>
          <w:tcPr>
            <w:tcW w:type="dxa" w:w="3249"/>
            <w:vAlign w:val="center"/>
          </w:tcPr>
          <w:p>
            <w:pPr>
              <w:spacing w:line="276" w:lineRule="auto" w:before="0" w:after="0"/>
            </w:pPr>
            <w:r/>
            <w:r>
              <w:rPr>
                <w:rFonts w:ascii="Figtree" w:hAnsi="Figtree"/>
                <w:b w:val="0"/>
                <w:i w:val="0"/>
                <w:sz w:val="20"/>
              </w:rPr>
              <w:t>Asset issuance, compliance configuration, custody operations, corporate actions</w:t>
            </w:r>
          </w:p>
        </w:tc>
        <w:tc>
          <w:tcPr>
            <w:tcW w:type="dxa" w:w="3249"/>
            <w:vAlign w:val="center"/>
          </w:tcPr>
          <w:p>
            <w:pPr>
              <w:spacing w:line="276" w:lineRule="auto" w:before="0" w:after="0"/>
            </w:pPr>
            <w:r/>
            <w:r>
              <w:rPr>
                <w:rFonts w:ascii="Figtree" w:hAnsi="Figtree"/>
                <w:b w:val="0"/>
                <w:i w:val="0"/>
                <w:sz w:val="20"/>
              </w:rPr>
              <w:t>Hands-on workshop (3 days)</w:t>
            </w:r>
          </w:p>
        </w:tc>
      </w:tr>
      <w:tr>
        <w:trPr>
          <w:trHeight w:val="488" w:hRule="atLeast"/>
        </w:trPr>
        <w:tc>
          <w:tcPr>
            <w:tcW w:type="dxa" w:w="3249"/>
            <w:vAlign w:val="center"/>
          </w:tcPr>
          <w:p>
            <w:pPr>
              <w:spacing w:line="276" w:lineRule="auto" w:before="0" w:after="0"/>
            </w:pPr>
            <w:r/>
            <w:r>
              <w:rPr>
                <w:rFonts w:ascii="Figtree" w:hAnsi="Figtree"/>
                <w:b/>
                <w:i w:val="0"/>
                <w:sz w:val="20"/>
              </w:rPr>
              <w:t>Compliance Officers</w:t>
            </w:r>
          </w:p>
        </w:tc>
        <w:tc>
          <w:tcPr>
            <w:tcW w:type="dxa" w:w="3249"/>
            <w:vAlign w:val="center"/>
          </w:tcPr>
          <w:p>
            <w:pPr>
              <w:spacing w:line="276" w:lineRule="auto" w:before="0" w:after="0"/>
            </w:pPr>
            <w:r/>
            <w:r>
              <w:rPr>
                <w:rFonts w:ascii="Figtree" w:hAnsi="Figtree"/>
                <w:b w:val="0"/>
                <w:i w:val="0"/>
                <w:sz w:val="20"/>
              </w:rPr>
              <w:t>Compliance module configuration, regulatory reporting, audit trail navigation</w:t>
            </w:r>
          </w:p>
        </w:tc>
        <w:tc>
          <w:tcPr>
            <w:tcW w:type="dxa" w:w="3249"/>
            <w:vAlign w:val="center"/>
          </w:tcPr>
          <w:p>
            <w:pPr>
              <w:spacing w:line="276" w:lineRule="auto" w:before="0" w:after="0"/>
            </w:pPr>
            <w:r/>
            <w:r>
              <w:rPr>
                <w:rFonts w:ascii="Figtree" w:hAnsi="Figtree"/>
                <w:b w:val="0"/>
                <w:i w:val="0"/>
                <w:sz w:val="20"/>
              </w:rPr>
              <w:t>Workshop + documentation (2 days)</w:t>
            </w:r>
          </w:p>
        </w:tc>
      </w:tr>
      <w:tr>
        <w:trPr>
          <w:trHeight w:val="488" w:hRule="atLeast"/>
        </w:trPr>
        <w:tc>
          <w:tcPr>
            <w:tcW w:type="dxa" w:w="3249"/>
            <w:vAlign w:val="center"/>
          </w:tcPr>
          <w:p>
            <w:pPr>
              <w:spacing w:line="276" w:lineRule="auto" w:before="0" w:after="0"/>
            </w:pPr>
            <w:r/>
            <w:r>
              <w:rPr>
                <w:rFonts w:ascii="Figtree" w:hAnsi="Figtree"/>
                <w:b/>
                <w:i w:val="0"/>
                <w:sz w:val="20"/>
              </w:rPr>
              <w:t>Integration Engineers</w:t>
            </w:r>
          </w:p>
        </w:tc>
        <w:tc>
          <w:tcPr>
            <w:tcW w:type="dxa" w:w="3249"/>
            <w:vAlign w:val="center"/>
          </w:tcPr>
          <w:p>
            <w:pPr>
              <w:spacing w:line="276" w:lineRule="auto" w:before="0" w:after="0"/>
            </w:pPr>
            <w:r/>
            <w:r>
              <w:rPr>
                <w:rFonts w:ascii="Figtree" w:hAnsi="Figtree"/>
                <w:b w:val="0"/>
                <w:i w:val="0"/>
                <w:sz w:val="20"/>
              </w:rPr>
              <w:t>API integration, webhook configuration, core banking connectivity</w:t>
            </w:r>
          </w:p>
        </w:tc>
        <w:tc>
          <w:tcPr>
            <w:tcW w:type="dxa" w:w="3249"/>
            <w:vAlign w:val="center"/>
          </w:tcPr>
          <w:p>
            <w:pPr>
              <w:spacing w:line="276" w:lineRule="auto" w:before="0" w:after="0"/>
            </w:pPr>
            <w:r/>
            <w:r>
              <w:rPr>
                <w:rFonts w:ascii="Figtree" w:hAnsi="Figtree"/>
                <w:b w:val="0"/>
                <w:i w:val="0"/>
                <w:sz w:val="20"/>
              </w:rPr>
              <w:t>Technical workshop (3 days)</w:t>
            </w:r>
          </w:p>
        </w:tc>
      </w:tr>
      <w:tr>
        <w:trPr>
          <w:trHeight w:val="488" w:hRule="atLeast"/>
        </w:trPr>
        <w:tc>
          <w:tcPr>
            <w:tcW w:type="dxa" w:w="3249"/>
            <w:vAlign w:val="center"/>
          </w:tcPr>
          <w:p>
            <w:pPr>
              <w:spacing w:line="276" w:lineRule="auto" w:before="0" w:after="0"/>
            </w:pPr>
            <w:r/>
            <w:r>
              <w:rPr>
                <w:rFonts w:ascii="Figtree" w:hAnsi="Figtree"/>
                <w:b/>
                <w:i w:val="0"/>
                <w:sz w:val="20"/>
              </w:rPr>
              <w:t>Business Stakeholders</w:t>
            </w:r>
          </w:p>
        </w:tc>
        <w:tc>
          <w:tcPr>
            <w:tcW w:type="dxa" w:w="3249"/>
            <w:vAlign w:val="center"/>
          </w:tcPr>
          <w:p>
            <w:pPr>
              <w:spacing w:line="276" w:lineRule="auto" w:before="0" w:after="0"/>
            </w:pPr>
            <w:r/>
            <w:r>
              <w:rPr>
                <w:rFonts w:ascii="Figtree" w:hAnsi="Figtree"/>
                <w:b w:val="0"/>
                <w:i w:val="0"/>
                <w:sz w:val="20"/>
              </w:rPr>
              <w:t>Platform capabilities, use case overview, operational dashboards</w:t>
            </w:r>
          </w:p>
        </w:tc>
        <w:tc>
          <w:tcPr>
            <w:tcW w:type="dxa" w:w="3249"/>
            <w:vAlign w:val="center"/>
          </w:tcPr>
          <w:p>
            <w:pPr>
              <w:spacing w:line="276" w:lineRule="auto" w:before="0" w:after="0"/>
            </w:pPr>
            <w:r/>
            <w:r>
              <w:rPr>
                <w:rFonts w:ascii="Figtree" w:hAnsi="Figtree"/>
                <w:b w:val="0"/>
                <w:i w:val="0"/>
                <w:sz w:val="20"/>
              </w:rPr>
              <w:t>Executive briefing (1 day)</w:t>
            </w:r>
          </w:p>
        </w:tc>
      </w:tr>
    </w:tbl>
    <w:p>
      <w:pPr>
        <w:spacing w:before="0" w:after="0" w:line="120" w:lineRule="exact"/>
      </w:pPr>
    </w:p>
    <w:p>
      <w:r>
        <w:rPr>
          <w:rFonts w:ascii="Figtree" w:hAnsi="Figtree"/>
          <w:b w:val="0"/>
          <w:i w:val="0"/>
          <w:sz w:val="22"/>
        </w:rPr>
        <w:t>All training includes comprehensive documentation, runbooks, and developer guides aligned with DALP's published documentation.</w:t>
      </w:r>
    </w:p>
    <w:p>
      <w:r>
        <w:br w:type="page"/>
      </w:r>
    </w:p>
    <w:p>
      <w:pPr>
        <w:pStyle w:val="H2"/>
        <w:numPr>
          <w:ilvl w:val="1"/>
          <w:numId w:val="1"/>
        </w:numPr>
      </w:pPr>
      <w:r>
        <w:t>12. Support and SLA Framework</w:t>
      </w:r>
    </w:p>
    <w:p>
      <w:pPr>
        <w:pStyle w:val="H3"/>
        <w:numPr>
          <w:ilvl w:val="2"/>
          <w:numId w:val="1"/>
        </w:numPr>
      </w:pPr>
      <w:r>
        <w:t>SLA Targets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41"/>
        <w:gridCol w:w="5353"/>
        <w:gridCol w:w="1041"/>
        <w:gridCol w:w="1635"/>
      </w:tblGrid>
      <w:tr>
        <w:trPr>
          <w:trHeight w:val="488"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Response Time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Resolution Target</w:t>
            </w:r>
          </w:p>
        </w:tc>
      </w:tr>
      <w:tr>
        <w:trPr>
          <w:trHeight w:val="488" w:hRule="atLeast"/>
        </w:trPr>
        <w:tc>
          <w:tcPr>
            <w:tcW w:type="dxa" w:w="2436"/>
            <w:vAlign w:val="center"/>
          </w:tcPr>
          <w:p>
            <w:pPr>
              <w:spacing w:line="276" w:lineRule="auto" w:before="0" w:after="0"/>
            </w:pPr>
            <w:r/>
            <w:r>
              <w:rPr>
                <w:rFonts w:ascii="Figtree" w:hAnsi="Figtree"/>
                <w:b/>
                <w:i w:val="0"/>
                <w:sz w:val="20"/>
              </w:rPr>
              <w:t>Severity 1</w:t>
            </w:r>
          </w:p>
        </w:tc>
        <w:tc>
          <w:tcPr>
            <w:tcW w:type="dxa" w:w="2436"/>
            <w:vAlign w:val="center"/>
          </w:tcPr>
          <w:p>
            <w:pPr>
              <w:spacing w:line="276" w:lineRule="auto" w:before="0" w:after="0"/>
            </w:pPr>
            <w:r/>
            <w:r>
              <w:rPr>
                <w:rFonts w:ascii="Figtree" w:hAnsi="Figtree"/>
                <w:b w:val="0"/>
                <w:i w:val="0"/>
                <w:sz w:val="20"/>
              </w:rPr>
              <w:t>Platform unavailable, settlement blocked, compliance enforcement failure</w:t>
            </w:r>
          </w:p>
        </w:tc>
        <w:tc>
          <w:tcPr>
            <w:tcW w:type="dxa" w:w="2436"/>
            <w:vAlign w:val="center"/>
          </w:tcPr>
          <w:p>
            <w:pPr>
              <w:spacing w:line="276" w:lineRule="auto" w:before="0" w:after="0"/>
            </w:pPr>
            <w:r/>
            <w:r>
              <w:rPr>
                <w:rFonts w:ascii="Figtree" w:hAnsi="Figtree"/>
                <w:b w:val="0"/>
                <w:i w:val="0"/>
                <w:sz w:val="20"/>
              </w:rPr>
              <w:t>30 minutes</w:t>
            </w:r>
          </w:p>
        </w:tc>
        <w:tc>
          <w:tcPr>
            <w:tcW w:type="dxa" w:w="2436"/>
            <w:vAlign w:val="center"/>
          </w:tcPr>
          <w:p>
            <w:pPr>
              <w:spacing w:line="276" w:lineRule="auto" w:before="0" w:after="0"/>
            </w:pPr>
            <w:r/>
            <w:r>
              <w:rPr>
                <w:rFonts w:ascii="Figtree" w:hAnsi="Figtree"/>
                <w:b w:val="0"/>
                <w:i w:val="0"/>
                <w:sz w:val="20"/>
              </w:rPr>
              <w:t>4 hours</w:t>
            </w:r>
          </w:p>
        </w:tc>
      </w:tr>
      <w:tr>
        <w:trPr>
          <w:trHeight w:val="488" w:hRule="atLeast"/>
        </w:trPr>
        <w:tc>
          <w:tcPr>
            <w:tcW w:type="dxa" w:w="2436"/>
            <w:vAlign w:val="center"/>
          </w:tcPr>
          <w:p>
            <w:pPr>
              <w:spacing w:line="276" w:lineRule="auto" w:before="0" w:after="0"/>
            </w:pPr>
            <w:r/>
            <w:r>
              <w:rPr>
                <w:rFonts w:ascii="Figtree" w:hAnsi="Figtree"/>
                <w:b/>
                <w:i w:val="0"/>
                <w:sz w:val="20"/>
              </w:rPr>
              <w:t>Severity 2</w:t>
            </w:r>
          </w:p>
        </w:tc>
        <w:tc>
          <w:tcPr>
            <w:tcW w:type="dxa" w:w="2436"/>
            <w:vAlign w:val="center"/>
          </w:tcPr>
          <w:p>
            <w:pPr>
              <w:spacing w:line="276" w:lineRule="auto" w:before="0" w:after="0"/>
            </w:pPr>
            <w:r/>
            <w:r>
              <w:rPr>
                <w:rFonts w:ascii="Figtree" w:hAnsi="Figtree"/>
                <w:b w:val="0"/>
                <w:i w:val="0"/>
                <w:sz w:val="20"/>
              </w:rPr>
              <w:t>Significant functionality degraded, workaround not available</w:t>
            </w:r>
          </w:p>
        </w:tc>
        <w:tc>
          <w:tcPr>
            <w:tcW w:type="dxa" w:w="2436"/>
            <w:vAlign w:val="center"/>
          </w:tcPr>
          <w:p>
            <w:pPr>
              <w:spacing w:line="276" w:lineRule="auto" w:before="0" w:after="0"/>
            </w:pPr>
            <w:r/>
            <w:r>
              <w:rPr>
                <w:rFonts w:ascii="Figtree" w:hAnsi="Figtree"/>
                <w:b w:val="0"/>
                <w:i w:val="0"/>
                <w:sz w:val="20"/>
              </w:rPr>
              <w:t>2 hours</w:t>
            </w:r>
          </w:p>
        </w:tc>
        <w:tc>
          <w:tcPr>
            <w:tcW w:type="dxa" w:w="2436"/>
            <w:vAlign w:val="center"/>
          </w:tcPr>
          <w:p>
            <w:pPr>
              <w:spacing w:line="276" w:lineRule="auto" w:before="0" w:after="0"/>
            </w:pPr>
            <w:r/>
            <w:r>
              <w:rPr>
                <w:rFonts w:ascii="Figtree" w:hAnsi="Figtree"/>
                <w:b w:val="0"/>
                <w:i w:val="0"/>
                <w:sz w:val="20"/>
              </w:rPr>
              <w:t>8 hours</w:t>
            </w:r>
          </w:p>
        </w:tc>
      </w:tr>
      <w:tr>
        <w:trPr>
          <w:trHeight w:val="488" w:hRule="atLeast"/>
        </w:trPr>
        <w:tc>
          <w:tcPr>
            <w:tcW w:type="dxa" w:w="2436"/>
            <w:vAlign w:val="center"/>
          </w:tcPr>
          <w:p>
            <w:pPr>
              <w:spacing w:line="276" w:lineRule="auto" w:before="0" w:after="0"/>
            </w:pPr>
            <w:r/>
            <w:r>
              <w:rPr>
                <w:rFonts w:ascii="Figtree" w:hAnsi="Figtree"/>
                <w:b/>
                <w:i w:val="0"/>
                <w:sz w:val="20"/>
              </w:rPr>
              <w:t>Severity 3</w:t>
            </w:r>
          </w:p>
        </w:tc>
        <w:tc>
          <w:tcPr>
            <w:tcW w:type="dxa" w:w="2436"/>
            <w:vAlign w:val="center"/>
          </w:tcPr>
          <w:p>
            <w:pPr>
              <w:spacing w:line="276" w:lineRule="auto" w:before="0" w:after="0"/>
            </w:pPr>
            <w:r/>
            <w:r>
              <w:rPr>
                <w:rFonts w:ascii="Figtree" w:hAnsi="Figtree"/>
                <w:b w:val="0"/>
                <w:i w:val="0"/>
                <w:sz w:val="20"/>
              </w:rPr>
              <w:t>Functionality impaired, workaround available</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24 hours</w:t>
            </w:r>
          </w:p>
        </w:tc>
      </w:tr>
      <w:tr>
        <w:trPr>
          <w:trHeight w:val="488" w:hRule="atLeast"/>
        </w:trPr>
        <w:tc>
          <w:tcPr>
            <w:tcW w:type="dxa" w:w="2436"/>
            <w:vAlign w:val="center"/>
          </w:tcPr>
          <w:p>
            <w:pPr>
              <w:spacing w:line="276" w:lineRule="auto" w:before="0" w:after="0"/>
            </w:pPr>
            <w:r/>
            <w:r>
              <w:rPr>
                <w:rFonts w:ascii="Figtree" w:hAnsi="Figtree"/>
                <w:b/>
                <w:i w:val="0"/>
                <w:sz w:val="20"/>
              </w:rPr>
              <w:t>Severity 4</w:t>
            </w:r>
          </w:p>
        </w:tc>
        <w:tc>
          <w:tcPr>
            <w:tcW w:type="dxa" w:w="2436"/>
            <w:vAlign w:val="center"/>
          </w:tcPr>
          <w:p>
            <w:pPr>
              <w:spacing w:line="276" w:lineRule="auto" w:before="0" w:after="0"/>
            </w:pPr>
            <w:r/>
            <w:r>
              <w:rPr>
                <w:rFonts w:ascii="Figtree" w:hAnsi="Figtree"/>
                <w:b w:val="0"/>
                <w:i w:val="0"/>
                <w:sz w:val="20"/>
              </w:rPr>
              <w:t>Minor issue, cosmetic, or enhancement request</w:t>
            </w:r>
          </w:p>
        </w:tc>
        <w:tc>
          <w:tcPr>
            <w:tcW w:type="dxa" w:w="2436"/>
            <w:vAlign w:val="center"/>
          </w:tcPr>
          <w:p>
            <w:pPr>
              <w:spacing w:line="276" w:lineRule="auto" w:before="0" w:after="0"/>
            </w:pPr>
            <w:r/>
            <w:r>
              <w:rPr>
                <w:rFonts w:ascii="Figtree" w:hAnsi="Figtree"/>
                <w:b w:val="0"/>
                <w:i w:val="0"/>
                <w:sz w:val="20"/>
              </w:rPr>
              <w:t>1 business day</w:t>
            </w:r>
          </w:p>
        </w:tc>
        <w:tc>
          <w:tcPr>
            <w:tcW w:type="dxa" w:w="2436"/>
            <w:vAlign w:val="center"/>
          </w:tcPr>
          <w:p>
            <w:pPr>
              <w:spacing w:line="276" w:lineRule="auto" w:before="0" w:after="0"/>
            </w:pPr>
            <w:r/>
            <w:r>
              <w:rPr>
                <w:rFonts w:ascii="Figtree" w:hAnsi="Figtree"/>
                <w:b w:val="0"/>
                <w:i w:val="0"/>
                <w:sz w:val="20"/>
              </w:rPr>
              <w:t>Next scheduled release</w:t>
            </w:r>
          </w:p>
        </w:tc>
      </w:tr>
    </w:tbl>
    <w:p>
      <w:pPr>
        <w:spacing w:before="0" w:after="0" w:line="120" w:lineRule="exact"/>
      </w:pPr>
    </w:p>
    <w:p>
      <w:pPr>
        <w:pStyle w:val="H3"/>
        <w:numPr>
          <w:ilvl w:val="2"/>
          <w:numId w:val="1"/>
        </w:numPr>
      </w:pPr>
      <w:r>
        <w:t>Support Tiers</w:t>
      </w:r>
    </w:p>
    <w:p>
      <w:r>
        <w:rPr>
          <w:rFonts w:ascii="Figtree" w:hAnsi="Figtree"/>
          <w:b/>
          <w:i w:val="0"/>
          <w:sz w:val="22"/>
        </w:rPr>
        <w:t>Tier 1: Platform Operations Support</w:t>
      </w:r>
    </w:p>
    <w:p>
      <w:pPr>
        <w:pStyle w:val="ListParagraph"/>
        <w:numPr>
          <w:ilvl w:val="0"/>
          <w:numId w:val="4"/>
        </w:numPr>
      </w:pPr>
      <w:r>
        <w:rPr>
          <w:rFonts w:ascii="Figtree" w:hAnsi="Figtree"/>
          <w:b w:val="0"/>
          <w:i w:val="0"/>
          <w:sz w:val="22"/>
        </w:rPr>
        <w:t>24/7 monitoring and alerting through DALP's built-in observability stack</w:t>
      </w:r>
    </w:p>
    <w:p>
      <w:pPr>
        <w:pStyle w:val="ListParagraph"/>
        <w:numPr>
          <w:ilvl w:val="0"/>
          <w:numId w:val="4"/>
        </w:numPr>
      </w:pPr>
      <w:r>
        <w:rPr>
          <w:rFonts w:ascii="Figtree" w:hAnsi="Figtree"/>
          <w:b w:val="0"/>
          <w:i w:val="0"/>
          <w:sz w:val="22"/>
        </w:rPr>
        <w:t>First-response incident triage and classification</w:t>
      </w:r>
    </w:p>
    <w:p>
      <w:pPr>
        <w:pStyle w:val="ListParagraph"/>
        <w:numPr>
          <w:ilvl w:val="0"/>
          <w:numId w:val="4"/>
        </w:numPr>
      </w:pPr>
      <w:r>
        <w:rPr>
          <w:rFonts w:ascii="Figtree" w:hAnsi="Figtree"/>
          <w:b w:val="0"/>
          <w:i w:val="0"/>
          <w:sz w:val="22"/>
        </w:rPr>
        <w:t>Known-issue resolution from operational runbooks</w:t>
      </w:r>
    </w:p>
    <w:p>
      <w:pPr>
        <w:pStyle w:val="ListParagraph"/>
        <w:numPr>
          <w:ilvl w:val="0"/>
          <w:numId w:val="4"/>
        </w:numPr>
      </w:pPr>
      <w:r>
        <w:rPr>
          <w:rFonts w:ascii="Figtree" w:hAnsi="Figtree"/>
          <w:b w:val="0"/>
          <w:i w:val="0"/>
          <w:sz w:val="22"/>
        </w:rPr>
        <w:t>Escalation to Tier 2 for unresolved issues</w:t>
      </w:r>
    </w:p>
    <w:p>
      <w:r>
        <w:rPr>
          <w:rFonts w:ascii="Figtree" w:hAnsi="Figtree"/>
          <w:b/>
          <w:i w:val="0"/>
          <w:sz w:val="22"/>
        </w:rPr>
        <w:t>Tier 2: Technical Support</w:t>
      </w:r>
    </w:p>
    <w:p>
      <w:pPr>
        <w:pStyle w:val="ListParagraph"/>
        <w:numPr>
          <w:ilvl w:val="0"/>
          <w:numId w:val="4"/>
        </w:numPr>
      </w:pPr>
      <w:r>
        <w:rPr>
          <w:rFonts w:ascii="Figtree" w:hAnsi="Figtree"/>
          <w:b w:val="0"/>
          <w:i w:val="0"/>
          <w:sz w:val="22"/>
        </w:rPr>
        <w:t>Platform engineering team with deep DALP expertise</w:t>
      </w:r>
    </w:p>
    <w:p>
      <w:pPr>
        <w:pStyle w:val="ListParagraph"/>
        <w:numPr>
          <w:ilvl w:val="0"/>
          <w:numId w:val="4"/>
        </w:numPr>
      </w:pPr>
      <w:r>
        <w:rPr>
          <w:rFonts w:ascii="Figtree" w:hAnsi="Figtree"/>
          <w:b w:val="0"/>
          <w:i w:val="0"/>
          <w:sz w:val="22"/>
        </w:rPr>
        <w:t>Root cause analysis for complex issues</w:t>
      </w:r>
    </w:p>
    <w:p>
      <w:pPr>
        <w:pStyle w:val="ListParagraph"/>
        <w:numPr>
          <w:ilvl w:val="0"/>
          <w:numId w:val="4"/>
        </w:numPr>
      </w:pPr>
      <w:r>
        <w:rPr>
          <w:rFonts w:ascii="Figtree" w:hAnsi="Figtree"/>
          <w:b w:val="0"/>
          <w:i w:val="0"/>
          <w:sz w:val="22"/>
        </w:rPr>
        <w:t>Configuration changes and compliance module adjustments</w:t>
      </w:r>
    </w:p>
    <w:p>
      <w:pPr>
        <w:pStyle w:val="ListParagraph"/>
        <w:numPr>
          <w:ilvl w:val="0"/>
          <w:numId w:val="4"/>
        </w:numPr>
      </w:pPr>
      <w:r>
        <w:rPr>
          <w:rFonts w:ascii="Figtree" w:hAnsi="Figtree"/>
          <w:b w:val="0"/>
          <w:i w:val="0"/>
          <w:sz w:val="22"/>
        </w:rPr>
        <w:t>Performance optimization and capacity planning</w:t>
      </w:r>
    </w:p>
    <w:p>
      <w:r>
        <w:rPr>
          <w:rFonts w:ascii="Figtree" w:hAnsi="Figtree"/>
          <w:b/>
          <w:i w:val="0"/>
          <w:sz w:val="22"/>
        </w:rPr>
        <w:t>Tier 3: Engineering Support</w:t>
      </w:r>
    </w:p>
    <w:p>
      <w:pPr>
        <w:pStyle w:val="ListParagraph"/>
        <w:numPr>
          <w:ilvl w:val="0"/>
          <w:numId w:val="4"/>
        </w:numPr>
      </w:pPr>
      <w:r>
        <w:rPr>
          <w:rFonts w:ascii="Figtree" w:hAnsi="Figtree"/>
          <w:b w:val="0"/>
          <w:i w:val="0"/>
          <w:sz w:val="22"/>
        </w:rPr>
        <w:t>SettleMint engineering team for platform-level issues</w:t>
      </w:r>
    </w:p>
    <w:p>
      <w:pPr>
        <w:pStyle w:val="ListParagraph"/>
        <w:numPr>
          <w:ilvl w:val="0"/>
          <w:numId w:val="4"/>
        </w:numPr>
      </w:pPr>
      <w:r>
        <w:rPr>
          <w:rFonts w:ascii="Figtree" w:hAnsi="Figtree"/>
          <w:b w:val="0"/>
          <w:i w:val="0"/>
          <w:sz w:val="22"/>
        </w:rPr>
        <w:t>Smart contract analysis and blockchain-level investigation</w:t>
      </w:r>
    </w:p>
    <w:p>
      <w:pPr>
        <w:pStyle w:val="ListParagraph"/>
        <w:numPr>
          <w:ilvl w:val="0"/>
          <w:numId w:val="4"/>
        </w:numPr>
      </w:pPr>
      <w:r>
        <w:rPr>
          <w:rFonts w:ascii="Figtree" w:hAnsi="Figtree"/>
          <w:b w:val="0"/>
          <w:i w:val="0"/>
          <w:sz w:val="22"/>
        </w:rPr>
        <w:t>Security incident response and forensics</w:t>
      </w:r>
    </w:p>
    <w:p>
      <w:pPr>
        <w:pStyle w:val="ListParagraph"/>
        <w:numPr>
          <w:ilvl w:val="0"/>
          <w:numId w:val="4"/>
        </w:numPr>
      </w:pPr>
      <w:r>
        <w:rPr>
          <w:rFonts w:ascii="Figtree" w:hAnsi="Figtree"/>
          <w:b w:val="0"/>
          <w:i w:val="0"/>
          <w:sz w:val="22"/>
        </w:rPr>
        <w:t>Custom feature development and platform enhancements</w:t>
      </w:r>
    </w:p>
    <w:p>
      <w:pPr>
        <w:pStyle w:val="H3"/>
        <w:numPr>
          <w:ilvl w:val="2"/>
          <w:numId w:val="1"/>
        </w:numPr>
      </w:pPr>
      <w:r>
        <w:t>Maintenance Windows</w:t>
      </w:r>
    </w:p>
    <w:p>
      <w:pPr>
        <w:pStyle w:val="ListParagraph"/>
        <w:numPr>
          <w:ilvl w:val="0"/>
          <w:numId w:val="4"/>
        </w:numPr>
      </w:pPr>
      <w:r>
        <w:rPr>
          <w:rFonts w:ascii="Figtree" w:hAnsi="Figtree"/>
          <w:b/>
          <w:i w:val="0"/>
          <w:sz w:val="22"/>
        </w:rPr>
        <w:t>Standard maintenance:</w:t>
      </w:r>
      <w:r>
        <w:rPr>
          <w:rFonts w:ascii="Figtree" w:hAnsi="Figtree"/>
          <w:b w:val="0"/>
          <w:i w:val="0"/>
          <w:sz w:val="22"/>
        </w:rPr>
        <w:t xml:space="preserve"> Weekly, during agreed off-peak hours (e.g., Friday 23:00-02:00 GST)</w:t>
      </w:r>
    </w:p>
    <w:p>
      <w:pPr>
        <w:pStyle w:val="ListParagraph"/>
        <w:numPr>
          <w:ilvl w:val="0"/>
          <w:numId w:val="4"/>
        </w:numPr>
      </w:pPr>
      <w:r>
        <w:rPr>
          <w:rFonts w:ascii="Figtree" w:hAnsi="Figtree"/>
          <w:b/>
          <w:i w:val="0"/>
          <w:sz w:val="22"/>
        </w:rPr>
        <w:t>Emergency maintenance:</w:t>
      </w:r>
      <w:r>
        <w:rPr>
          <w:rFonts w:ascii="Figtree" w:hAnsi="Figtree"/>
          <w:b w:val="0"/>
          <w:i w:val="0"/>
          <w:sz w:val="22"/>
        </w:rPr>
        <w:t xml:space="preserve"> As required with minimum 2-hour notice for critical security patches</w:t>
      </w:r>
    </w:p>
    <w:p>
      <w:pPr>
        <w:pStyle w:val="ListParagraph"/>
        <w:numPr>
          <w:ilvl w:val="0"/>
          <w:numId w:val="4"/>
        </w:numPr>
      </w:pPr>
      <w:r>
        <w:rPr>
          <w:rFonts w:ascii="Figtree" w:hAnsi="Figtree"/>
          <w:b/>
          <w:i w:val="0"/>
          <w:sz w:val="22"/>
        </w:rPr>
        <w:t>Platform updates:</w:t>
      </w:r>
      <w:r>
        <w:rPr>
          <w:rFonts w:ascii="Figtree" w:hAnsi="Figtree"/>
          <w:b w:val="0"/>
          <w:i w:val="0"/>
          <w:sz w:val="22"/>
        </w:rPr>
        <w:t xml:space="preserve"> Quarterly release cycles with staging environment validation before production deployment</w:t>
      </w:r>
    </w:p>
    <w:p>
      <w:pPr>
        <w:pStyle w:val="H3"/>
        <w:numPr>
          <w:ilvl w:val="2"/>
          <w:numId w:val="1"/>
        </w:numPr>
      </w:pPr>
      <w:r>
        <w:t>Platform Updates and Regulatory Change Management</w:t>
      </w:r>
    </w:p>
    <w:p>
      <w:r>
        <w:rPr>
          <w:rFonts w:ascii="Figtree" w:hAnsi="Figtree"/>
          <w:b w:val="0"/>
          <w:i w:val="0"/>
          <w:sz w:val="22"/>
        </w:rPr>
        <w:t>SettleMint provides ongoing platform evolution:</w:t>
      </w:r>
    </w:p>
    <w:p>
      <w:pPr>
        <w:pStyle w:val="ListParagraph"/>
        <w:numPr>
          <w:ilvl w:val="0"/>
          <w:numId w:val="4"/>
        </w:numPr>
      </w:pPr>
      <w:r>
        <w:rPr>
          <w:rFonts w:ascii="Figtree" w:hAnsi="Figtree"/>
          <w:b w:val="0"/>
          <w:i w:val="0"/>
          <w:sz w:val="22"/>
        </w:rPr>
        <w:t>Quarterly platform releases with new features, security patches, and performance improvements</w:t>
      </w:r>
    </w:p>
    <w:p>
      <w:pPr>
        <w:pStyle w:val="ListParagraph"/>
        <w:numPr>
          <w:ilvl w:val="0"/>
          <w:numId w:val="4"/>
        </w:numPr>
      </w:pPr>
      <w:r>
        <w:rPr>
          <w:rFonts w:ascii="Figtree" w:hAnsi="Figtree"/>
          <w:b w:val="0"/>
          <w:i w:val="0"/>
          <w:sz w:val="22"/>
        </w:rPr>
        <w:t>Regulatory change impact assessments when UAE regulatory frameworks are updated</w:t>
      </w:r>
    </w:p>
    <w:p>
      <w:pPr>
        <w:pStyle w:val="ListParagraph"/>
        <w:numPr>
          <w:ilvl w:val="0"/>
          <w:numId w:val="4"/>
        </w:numPr>
      </w:pPr>
      <w:r>
        <w:rPr>
          <w:rFonts w:ascii="Figtree" w:hAnsi="Figtree"/>
          <w:b w:val="0"/>
          <w:i w:val="0"/>
          <w:sz w:val="22"/>
        </w:rPr>
        <w:t>Compliance module updates to align with new regulatory requirements</w:t>
      </w:r>
    </w:p>
    <w:p>
      <w:pPr>
        <w:pStyle w:val="ListParagraph"/>
        <w:numPr>
          <w:ilvl w:val="0"/>
          <w:numId w:val="4"/>
        </w:numPr>
      </w:pPr>
      <w:r>
        <w:rPr>
          <w:rFonts w:ascii="Figtree" w:hAnsi="Figtree"/>
          <w:b w:val="0"/>
          <w:i w:val="0"/>
          <w:sz w:val="22"/>
        </w:rPr>
        <w:t>Proactive security patching for identified vulnerabilities</w:t>
      </w:r>
    </w:p>
    <w:p>
      <w:pPr>
        <w:pStyle w:val="ListParagraph"/>
        <w:numPr>
          <w:ilvl w:val="0"/>
          <w:numId w:val="4"/>
        </w:numPr>
      </w:pPr>
      <w:r>
        <w:rPr>
          <w:rFonts w:ascii="Figtree" w:hAnsi="Figtree"/>
          <w:b w:val="0"/>
          <w:i w:val="0"/>
          <w:sz w:val="22"/>
        </w:rPr>
        <w:t>Backward-compatible API versioning with documented deprecation windows</w:t>
      </w:r>
    </w:p>
    <w:p>
      <w:r>
        <w:br w:type="page"/>
      </w:r>
    </w:p>
    <w:p>
      <w:pPr>
        <w:pStyle w:val="H2"/>
        <w:numPr>
          <w:ilvl w:val="1"/>
          <w:numId w:val="1"/>
        </w:numPr>
      </w:pPr>
      <w:r>
        <w:t>13. Commercial Framework</w:t>
      </w:r>
    </w:p>
    <w:p>
      <w:pPr>
        <w:pStyle w:val="H3"/>
        <w:numPr>
          <w:ilvl w:val="2"/>
          <w:numId w:val="1"/>
        </w:numPr>
      </w:pPr>
      <w:r>
        <w:t>Platform Licensing</w:t>
      </w:r>
    </w:p>
    <w:p>
      <w:r>
        <w:rPr>
          <w:rFonts w:ascii="Figtree" w:hAnsi="Figtree"/>
          <w:b w:val="0"/>
          <w:i w:val="0"/>
          <w:sz w:val="22"/>
        </w:rPr>
        <w:t>DALP platform licensing follows an AUM/volume tiered model: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66"/>
        <w:gridCol w:w="1571"/>
        <w:gridCol w:w="6034"/>
      </w:tblGrid>
      <w:tr>
        <w:trPr>
          <w:trHeight w:val="488"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Tier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AUM Range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88" w:hRule="atLeast"/>
        </w:trPr>
        <w:tc>
          <w:tcPr>
            <w:tcW w:type="dxa" w:w="3249"/>
            <w:vAlign w:val="center"/>
          </w:tcPr>
          <w:p>
            <w:pPr>
              <w:spacing w:line="276" w:lineRule="auto" w:before="0" w:after="0"/>
            </w:pPr>
            <w:r/>
            <w:r>
              <w:rPr>
                <w:rFonts w:ascii="Figtree" w:hAnsi="Figtree"/>
                <w:b/>
                <w:i w:val="0"/>
                <w:sz w:val="20"/>
              </w:rPr>
              <w:t>Foundation</w:t>
            </w:r>
          </w:p>
        </w:tc>
        <w:tc>
          <w:tcPr>
            <w:tcW w:type="dxa" w:w="3249"/>
            <w:vAlign w:val="center"/>
          </w:tcPr>
          <w:p>
            <w:pPr>
              <w:spacing w:line="276" w:lineRule="auto" w:before="0" w:after="0"/>
            </w:pPr>
            <w:r/>
            <w:r>
              <w:rPr>
                <w:rFonts w:ascii="Figtree" w:hAnsi="Figtree"/>
                <w:b w:val="0"/>
                <w:i w:val="0"/>
                <w:sz w:val="20"/>
              </w:rPr>
              <w:t>Up to $500M AUM</w:t>
            </w:r>
          </w:p>
        </w:tc>
        <w:tc>
          <w:tcPr>
            <w:tcW w:type="dxa" w:w="3249"/>
            <w:vAlign w:val="center"/>
          </w:tcPr>
          <w:p>
            <w:pPr>
              <w:spacing w:line="276" w:lineRule="auto" w:before="0" w:after="0"/>
            </w:pPr>
            <w:r/>
            <w:r>
              <w:rPr>
                <w:rFonts w:ascii="Figtree" w:hAnsi="Figtree"/>
                <w:b w:val="0"/>
                <w:i w:val="0"/>
                <w:sz w:val="20"/>
              </w:rPr>
              <w:t>Core platform with up to 3 asset templates</w:t>
            </w:r>
          </w:p>
        </w:tc>
      </w:tr>
      <w:tr>
        <w:trPr>
          <w:trHeight w:val="488" w:hRule="atLeast"/>
        </w:trPr>
        <w:tc>
          <w:tcPr>
            <w:tcW w:type="dxa" w:w="3249"/>
            <w:vAlign w:val="center"/>
          </w:tcPr>
          <w:p>
            <w:pPr>
              <w:spacing w:line="276" w:lineRule="auto" w:before="0" w:after="0"/>
            </w:pPr>
            <w:r/>
            <w:r>
              <w:rPr>
                <w:rFonts w:ascii="Figtree" w:hAnsi="Figtree"/>
                <w:b/>
                <w:i w:val="0"/>
                <w:sz w:val="20"/>
              </w:rPr>
              <w:t>Growth</w:t>
            </w:r>
          </w:p>
        </w:tc>
        <w:tc>
          <w:tcPr>
            <w:tcW w:type="dxa" w:w="3249"/>
            <w:vAlign w:val="center"/>
          </w:tcPr>
          <w:p>
            <w:pPr>
              <w:spacing w:line="276" w:lineRule="auto" w:before="0" w:after="0"/>
            </w:pPr>
            <w:r/>
            <w:r>
              <w:rPr>
                <w:rFonts w:ascii="Figtree" w:hAnsi="Figtree"/>
                <w:b w:val="0"/>
                <w:i w:val="0"/>
                <w:sz w:val="20"/>
              </w:rPr>
              <w:t>$500M - $2B AUM</w:t>
            </w:r>
          </w:p>
        </w:tc>
        <w:tc>
          <w:tcPr>
            <w:tcW w:type="dxa" w:w="3249"/>
            <w:vAlign w:val="center"/>
          </w:tcPr>
          <w:p>
            <w:pPr>
              <w:spacing w:line="276" w:lineRule="auto" w:before="0" w:after="0"/>
            </w:pPr>
            <w:r/>
            <w:r>
              <w:rPr>
                <w:rFonts w:ascii="Figtree" w:hAnsi="Figtree"/>
                <w:b w:val="0"/>
                <w:i w:val="0"/>
                <w:sz w:val="20"/>
              </w:rPr>
              <w:t>Full platform with all 7 asset templates and XvP settlement</w:t>
            </w:r>
          </w:p>
        </w:tc>
      </w:tr>
      <w:tr>
        <w:trPr>
          <w:trHeight w:val="488" w:hRule="atLeast"/>
        </w:trPr>
        <w:tc>
          <w:tcPr>
            <w:tcW w:type="dxa" w:w="3249"/>
            <w:vAlign w:val="center"/>
          </w:tcPr>
          <w:p>
            <w:pPr>
              <w:spacing w:line="276" w:lineRule="auto" w:before="0" w:after="0"/>
            </w:pPr>
            <w:r/>
            <w:r>
              <w:rPr>
                <w:rFonts w:ascii="Figtree" w:hAnsi="Figtree"/>
                <w:b/>
                <w:i w:val="0"/>
                <w:sz w:val="20"/>
              </w:rPr>
              <w:t>Scale</w:t>
            </w:r>
          </w:p>
        </w:tc>
        <w:tc>
          <w:tcPr>
            <w:tcW w:type="dxa" w:w="3249"/>
            <w:vAlign w:val="center"/>
          </w:tcPr>
          <w:p>
            <w:pPr>
              <w:spacing w:line="276" w:lineRule="auto" w:before="0" w:after="0"/>
            </w:pPr>
            <w:r/>
            <w:r>
              <w:rPr>
                <w:rFonts w:ascii="Figtree" w:hAnsi="Figtree"/>
                <w:b w:val="0"/>
                <w:i w:val="0"/>
                <w:sz w:val="20"/>
              </w:rPr>
              <w:t>$2B+ AUM</w:t>
            </w:r>
          </w:p>
        </w:tc>
        <w:tc>
          <w:tcPr>
            <w:tcW w:type="dxa" w:w="3249"/>
            <w:vAlign w:val="center"/>
          </w:tcPr>
          <w:p>
            <w:pPr>
              <w:spacing w:line="276" w:lineRule="auto" w:before="0" w:after="0"/>
            </w:pPr>
            <w:r/>
            <w:r>
              <w:rPr>
                <w:rFonts w:ascii="Figtree" w:hAnsi="Figtree"/>
                <w:b w:val="0"/>
                <w:i w:val="0"/>
                <w:sz w:val="20"/>
              </w:rPr>
              <w:t>Full platform with multi-chain, cross-border, and advanced features</w:t>
            </w:r>
          </w:p>
        </w:tc>
      </w:tr>
    </w:tbl>
    <w:p>
      <w:pPr>
        <w:spacing w:before="0" w:after="0" w:line="120" w:lineRule="exact"/>
      </w:pPr>
    </w:p>
    <w:p>
      <w:r>
        <w:rPr>
          <w:rFonts w:ascii="Figtree" w:hAnsi="Figtree"/>
          <w:b w:val="0"/>
          <w:i w:val="0"/>
          <w:sz w:val="22"/>
        </w:rPr>
        <w:t>Licensing is annual, covering the DALP platform, all standard updates, and access to new compliance modules and asset template enhancements released during the license period.</w:t>
      </w:r>
    </w:p>
    <w:p>
      <w:pPr>
        <w:pStyle w:val="H3"/>
        <w:numPr>
          <w:ilvl w:val="2"/>
          <w:numId w:val="1"/>
        </w:numPr>
      </w:pPr>
      <w:r>
        <w:t>Implementation Services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84"/>
        <w:gridCol w:w="5184"/>
        <w:gridCol w:w="2304"/>
      </w:tblGrid>
      <w:tr>
        <w:trPr>
          <w:trHeight w:val="488"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Scope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Commercial Model</w:t>
            </w:r>
          </w:p>
        </w:tc>
      </w:tr>
      <w:tr>
        <w:trPr>
          <w:trHeight w:val="488" w:hRule="atLeast"/>
        </w:trPr>
        <w:tc>
          <w:tcPr>
            <w:tcW w:type="dxa" w:w="3249"/>
            <w:vAlign w:val="center"/>
          </w:tcPr>
          <w:p>
            <w:pPr>
              <w:spacing w:line="276" w:lineRule="auto" w:before="0" w:after="0"/>
            </w:pPr>
            <w:r/>
            <w:r>
              <w:rPr>
                <w:rFonts w:ascii="Figtree" w:hAnsi="Figtree"/>
                <w:b/>
                <w:i w:val="0"/>
                <w:sz w:val="20"/>
              </w:rPr>
              <w:t>Phase 1</w:t>
            </w:r>
          </w:p>
        </w:tc>
        <w:tc>
          <w:tcPr>
            <w:tcW w:type="dxa" w:w="3249"/>
            <w:vAlign w:val="center"/>
          </w:tcPr>
          <w:p>
            <w:pPr>
              <w:spacing w:line="276" w:lineRule="auto" w:before="0" w:after="0"/>
            </w:pPr>
            <w:r/>
            <w:r>
              <w:rPr>
                <w:rFonts w:ascii="Figtree" w:hAnsi="Figtree"/>
                <w:b w:val="0"/>
                <w:i w:val="0"/>
                <w:sz w:val="20"/>
              </w:rPr>
              <w:t>Foundation and Bond Lifecycle</w:t>
            </w:r>
          </w:p>
        </w:tc>
        <w:tc>
          <w:tcPr>
            <w:tcW w:type="dxa" w:w="3249"/>
            <w:vAlign w:val="center"/>
          </w:tcPr>
          <w:p>
            <w:pPr>
              <w:spacing w:line="276" w:lineRule="auto" w:before="0" w:after="0"/>
            </w:pPr>
            <w:r/>
            <w:r>
              <w:rPr>
                <w:rFonts w:ascii="Figtree" w:hAnsi="Figtree"/>
                <w:b w:val="0"/>
                <w:i w:val="0"/>
                <w:sz w:val="20"/>
              </w:rPr>
              <w:t>Fixed fee</w:t>
            </w:r>
          </w:p>
        </w:tc>
      </w:tr>
      <w:tr>
        <w:trPr>
          <w:trHeight w:val="488" w:hRule="atLeast"/>
        </w:trPr>
        <w:tc>
          <w:tcPr>
            <w:tcW w:type="dxa" w:w="3249"/>
            <w:vAlign w:val="center"/>
          </w:tcPr>
          <w:p>
            <w:pPr>
              <w:spacing w:line="276" w:lineRule="auto" w:before="0" w:after="0"/>
            </w:pPr>
            <w:r/>
            <w:r>
              <w:rPr>
                <w:rFonts w:ascii="Figtree" w:hAnsi="Figtree"/>
                <w:b/>
                <w:i w:val="0"/>
                <w:sz w:val="20"/>
              </w:rPr>
              <w:t>Phase 2</w:t>
            </w:r>
          </w:p>
        </w:tc>
        <w:tc>
          <w:tcPr>
            <w:tcW w:type="dxa" w:w="3249"/>
            <w:vAlign w:val="center"/>
          </w:tcPr>
          <w:p>
            <w:pPr>
              <w:spacing w:line="276" w:lineRule="auto" w:before="0" w:after="0"/>
            </w:pPr>
            <w:r/>
            <w:r>
              <w:rPr>
                <w:rFonts w:ascii="Figtree" w:hAnsi="Figtree"/>
                <w:b w:val="0"/>
                <w:i w:val="0"/>
                <w:sz w:val="20"/>
              </w:rPr>
              <w:t>Multi-Asset Expansion</w:t>
            </w:r>
          </w:p>
        </w:tc>
        <w:tc>
          <w:tcPr>
            <w:tcW w:type="dxa" w:w="3249"/>
            <w:vAlign w:val="center"/>
          </w:tcPr>
          <w:p>
            <w:pPr>
              <w:spacing w:line="276" w:lineRule="auto" w:before="0" w:after="0"/>
            </w:pPr>
            <w:r/>
            <w:r>
              <w:rPr>
                <w:rFonts w:ascii="Figtree" w:hAnsi="Figtree"/>
                <w:b w:val="0"/>
                <w:i w:val="0"/>
                <w:sz w:val="20"/>
              </w:rPr>
              <w:t>Fixed fee</w:t>
            </w:r>
          </w:p>
        </w:tc>
      </w:tr>
      <w:tr>
        <w:trPr>
          <w:trHeight w:val="488" w:hRule="atLeast"/>
        </w:trPr>
        <w:tc>
          <w:tcPr>
            <w:tcW w:type="dxa" w:w="3249"/>
            <w:vAlign w:val="center"/>
          </w:tcPr>
          <w:p>
            <w:pPr>
              <w:spacing w:line="276" w:lineRule="auto" w:before="0" w:after="0"/>
            </w:pPr>
            <w:r/>
            <w:r>
              <w:rPr>
                <w:rFonts w:ascii="Figtree" w:hAnsi="Figtree"/>
                <w:b/>
                <w:i w:val="0"/>
                <w:sz w:val="20"/>
              </w:rPr>
              <w:t>Phase 3</w:t>
            </w:r>
          </w:p>
        </w:tc>
        <w:tc>
          <w:tcPr>
            <w:tcW w:type="dxa" w:w="3249"/>
            <w:vAlign w:val="center"/>
          </w:tcPr>
          <w:p>
            <w:pPr>
              <w:spacing w:line="276" w:lineRule="auto" w:before="0" w:after="0"/>
            </w:pPr>
            <w:r/>
            <w:r>
              <w:rPr>
                <w:rFonts w:ascii="Figtree" w:hAnsi="Figtree"/>
                <w:b w:val="0"/>
                <w:i w:val="0"/>
                <w:sz w:val="20"/>
              </w:rPr>
              <w:t>Advanced Settlement and Cross-Border</w:t>
            </w:r>
          </w:p>
        </w:tc>
        <w:tc>
          <w:tcPr>
            <w:tcW w:type="dxa" w:w="3249"/>
            <w:vAlign w:val="center"/>
          </w:tcPr>
          <w:p>
            <w:pPr>
              <w:spacing w:line="276" w:lineRule="auto" w:before="0" w:after="0"/>
            </w:pPr>
            <w:r/>
            <w:r>
              <w:rPr>
                <w:rFonts w:ascii="Figtree" w:hAnsi="Figtree"/>
                <w:b w:val="0"/>
                <w:i w:val="0"/>
                <w:sz w:val="20"/>
              </w:rPr>
              <w:t>Fixed fee</w:t>
            </w:r>
          </w:p>
        </w:tc>
      </w:tr>
    </w:tbl>
    <w:p>
      <w:pPr>
        <w:spacing w:before="0" w:after="0" w:line="120" w:lineRule="exact"/>
      </w:pPr>
    </w:p>
    <w:p>
      <w:r>
        <w:rPr>
          <w:rFonts w:ascii="Figtree" w:hAnsi="Figtree"/>
          <w:b w:val="0"/>
          <w:i w:val="0"/>
          <w:sz w:val="22"/>
        </w:rPr>
        <w:t>Fixed-fee phases provide cost certainty for Mashreq Bank. Each phase has defined deliverables and acceptance criteria.</w:t>
      </w:r>
    </w:p>
    <w:p>
      <w:pPr>
        <w:pStyle w:val="H3"/>
        <w:numPr>
          <w:ilvl w:val="2"/>
          <w:numId w:val="1"/>
        </w:numPr>
      </w:pPr>
      <w:r>
        <w:t>Annual Support</w:t>
      </w:r>
    </w:p>
    <w:p>
      <w:r>
        <w:rPr>
          <w:rFonts w:ascii="Figtree" w:hAnsi="Figtree"/>
          <w:b w:val="0"/>
          <w:i w:val="0"/>
          <w:sz w:val="22"/>
        </w:rPr>
        <w:t>Annual support covers:</w:t>
      </w:r>
    </w:p>
    <w:p>
      <w:pPr>
        <w:pStyle w:val="ListParagraph"/>
        <w:numPr>
          <w:ilvl w:val="0"/>
          <w:numId w:val="4"/>
        </w:numPr>
      </w:pPr>
      <w:r>
        <w:rPr>
          <w:rFonts w:ascii="Figtree" w:hAnsi="Figtree"/>
          <w:b w:val="0"/>
          <w:i w:val="0"/>
          <w:sz w:val="22"/>
        </w:rPr>
        <w:t>24/7 Severity 1 incident response</w:t>
      </w:r>
    </w:p>
    <w:p>
      <w:pPr>
        <w:pStyle w:val="ListParagraph"/>
        <w:numPr>
          <w:ilvl w:val="0"/>
          <w:numId w:val="4"/>
        </w:numPr>
      </w:pPr>
      <w:r>
        <w:rPr>
          <w:rFonts w:ascii="Figtree" w:hAnsi="Figtree"/>
          <w:b w:val="0"/>
          <w:i w:val="0"/>
          <w:sz w:val="22"/>
        </w:rPr>
        <w:t>Business hours Severity 2-4 support</w:t>
      </w:r>
    </w:p>
    <w:p>
      <w:pPr>
        <w:pStyle w:val="ListParagraph"/>
        <w:numPr>
          <w:ilvl w:val="0"/>
          <w:numId w:val="4"/>
        </w:numPr>
      </w:pPr>
      <w:r>
        <w:rPr>
          <w:rFonts w:ascii="Figtree" w:hAnsi="Figtree"/>
          <w:b w:val="0"/>
          <w:i w:val="0"/>
          <w:sz w:val="22"/>
        </w:rPr>
        <w:t>Quarterly platform updates</w:t>
      </w:r>
    </w:p>
    <w:p>
      <w:pPr>
        <w:pStyle w:val="ListParagraph"/>
        <w:numPr>
          <w:ilvl w:val="0"/>
          <w:numId w:val="4"/>
        </w:numPr>
      </w:pPr>
      <w:r>
        <w:rPr>
          <w:rFonts w:ascii="Figtree" w:hAnsi="Figtree"/>
          <w:b w:val="0"/>
          <w:i w:val="0"/>
          <w:sz w:val="22"/>
        </w:rPr>
        <w:t>Regulatory change management</w:t>
      </w:r>
    </w:p>
    <w:p>
      <w:pPr>
        <w:pStyle w:val="ListParagraph"/>
        <w:numPr>
          <w:ilvl w:val="0"/>
          <w:numId w:val="4"/>
        </w:numPr>
      </w:pPr>
      <w:r>
        <w:rPr>
          <w:rFonts w:ascii="Figtree" w:hAnsi="Figtree"/>
          <w:b w:val="0"/>
          <w:i w:val="0"/>
          <w:sz w:val="22"/>
        </w:rPr>
        <w:t>Dedicated customer success manager</w:t>
      </w:r>
    </w:p>
    <w:p>
      <w:pPr>
        <w:pStyle w:val="H3"/>
        <w:numPr>
          <w:ilvl w:val="2"/>
          <w:numId w:val="1"/>
        </w:numPr>
      </w:pPr>
      <w:r>
        <w:t>Commercial Principles</w:t>
      </w:r>
    </w:p>
    <w:p>
      <w:pPr>
        <w:pStyle w:val="ListParagraph"/>
        <w:numPr>
          <w:ilvl w:val="0"/>
          <w:numId w:val="4"/>
        </w:numPr>
      </w:pPr>
      <w:r>
        <w:rPr>
          <w:rFonts w:ascii="Figtree" w:hAnsi="Figtree"/>
          <w:b/>
          <w:i w:val="0"/>
          <w:sz w:val="22"/>
        </w:rPr>
        <w:t>No vendor lock-in:</w:t>
      </w:r>
      <w:r>
        <w:rPr>
          <w:rFonts w:ascii="Figtree" w:hAnsi="Figtree"/>
          <w:b w:val="0"/>
          <w:i w:val="0"/>
          <w:sz w:val="22"/>
        </w:rPr>
        <w:t xml:space="preserve"> DALP uses open standards (ERC-3643, EVM, ISO 20022). Mashreq Bank retains full ownership of deployed smart contracts and on-chain data.</w:t>
      </w:r>
    </w:p>
    <w:p>
      <w:pPr>
        <w:pStyle w:val="ListParagraph"/>
        <w:numPr>
          <w:ilvl w:val="0"/>
          <w:numId w:val="4"/>
        </w:numPr>
      </w:pPr>
      <w:r>
        <w:rPr>
          <w:rFonts w:ascii="Figtree" w:hAnsi="Figtree"/>
          <w:b/>
          <w:i w:val="0"/>
          <w:sz w:val="22"/>
        </w:rPr>
        <w:t>Transparent pricing:</w:t>
      </w:r>
      <w:r>
        <w:rPr>
          <w:rFonts w:ascii="Figtree" w:hAnsi="Figtree"/>
          <w:b w:val="0"/>
          <w:i w:val="0"/>
          <w:sz w:val="22"/>
        </w:rPr>
        <w:t xml:space="preserve"> No hidden fees for compliance module activation, user counts, or transaction volumes within the licensed tier.</w:t>
      </w:r>
    </w:p>
    <w:p>
      <w:pPr>
        <w:pStyle w:val="ListParagraph"/>
        <w:numPr>
          <w:ilvl w:val="0"/>
          <w:numId w:val="4"/>
        </w:numPr>
      </w:pPr>
      <w:r>
        <w:rPr>
          <w:rFonts w:ascii="Figtree" w:hAnsi="Figtree"/>
          <w:b/>
          <w:i w:val="0"/>
          <w:sz w:val="22"/>
        </w:rPr>
        <w:t>Flexible scaling:</w:t>
      </w:r>
      <w:r>
        <w:rPr>
          <w:rFonts w:ascii="Figtree" w:hAnsi="Figtree"/>
          <w:b w:val="0"/>
          <w:i w:val="0"/>
          <w:sz w:val="22"/>
        </w:rPr>
        <w:t xml:space="preserve"> Upgrade between tiers as AUM grows without re-implementation.</w:t>
      </w:r>
    </w:p>
    <w:p>
      <w:pPr>
        <w:pStyle w:val="ListParagraph"/>
        <w:numPr>
          <w:ilvl w:val="0"/>
          <w:numId w:val="4"/>
        </w:numPr>
      </w:pPr>
      <w:r>
        <w:rPr>
          <w:rFonts w:ascii="Figtree" w:hAnsi="Figtree"/>
          <w:b/>
          <w:i w:val="0"/>
          <w:sz w:val="22"/>
        </w:rPr>
        <w:t>Data ownership:</w:t>
      </w:r>
      <w:r>
        <w:rPr>
          <w:rFonts w:ascii="Figtree" w:hAnsi="Figtree"/>
          <w:b w:val="0"/>
          <w:i w:val="0"/>
          <w:sz w:val="22"/>
        </w:rPr>
        <w:t xml:space="preserve"> All data generated on Mashreq Bank's infrastructure belongs to Mashreq Bank.</w:t>
      </w:r>
    </w:p>
    <w:p>
      <w:r>
        <w:br w:type="page"/>
      </w:r>
    </w:p>
    <w:p>
      <w:pPr>
        <w:pStyle w:val="H2"/>
        <w:numPr>
          <w:ilvl w:val="1"/>
          <w:numId w:val="1"/>
        </w:numPr>
      </w:pPr>
      <w:r>
        <w:t>14. Why SettleMint</w:t>
      </w:r>
    </w:p>
    <w:p>
      <w:pPr>
        <w:pStyle w:val="H3"/>
        <w:numPr>
          <w:ilvl w:val="2"/>
          <w:numId w:val="1"/>
        </w:numPr>
      </w:pPr>
      <w:r>
        <w:t>Summary of Key Advantages</w:t>
      </w:r>
    </w:p>
    <w:p>
      <w:r>
        <w:rPr>
          <w:rFonts w:ascii="Figtree" w:hAnsi="Figtree"/>
          <w:b/>
          <w:i w:val="0"/>
          <w:sz w:val="22"/>
        </w:rPr>
        <w:t>1. The only complete digital asset lifecycle platform designed for regulated institutions</w:t>
      </w:r>
    </w:p>
    <w:p>
      <w:r>
        <w:rPr>
          <w:rFonts w:ascii="Figtree" w:hAnsi="Figtree"/>
          <w:b w:val="0"/>
          <w:i w:val="0"/>
          <w:sz w:val="22"/>
        </w:rPr>
        <w:t>DALP covers issuance, compliance, custody, settlement, and servicing in a single platform. No other vendor offers the combination of multi-asset lifecycle automation, ex-ante compliance enforcement, atomic settlement, institutional custody integration, and multi-jurisdiction compliance coverage in one integrated system.</w:t>
      </w:r>
    </w:p>
    <w:p>
      <w:r>
        <w:rPr>
          <w:rFonts w:ascii="Figtree" w:hAnsi="Figtree"/>
          <w:b/>
          <w:i w:val="0"/>
          <w:sz w:val="22"/>
        </w:rPr>
        <w:t>2. Nearly a decade of institutional blockchain delivery</w:t>
      </w:r>
    </w:p>
    <w:p>
      <w:r>
        <w:rPr>
          <w:rFonts w:ascii="Figtree" w:hAnsi="Figtree"/>
          <w:b w:val="0"/>
          <w:i w:val="0"/>
          <w:sz w:val="22"/>
        </w:rPr>
        <w:t>SettleMint has been building blockchain infrastructure for regulated institutions since 2016. This is not a startup pivoting to tokenization; it is a company that has spent its entire existence solving the specific challenges of operating digital assets in regulated environments.</w:t>
      </w:r>
    </w:p>
    <w:p>
      <w:r>
        <w:rPr>
          <w:rFonts w:ascii="Figtree" w:hAnsi="Figtree"/>
          <w:b/>
          <w:i w:val="0"/>
          <w:sz w:val="22"/>
        </w:rPr>
        <w:t>3. Production-proven at bank and sovereign scale</w:t>
      </w:r>
    </w:p>
    <w:p>
      <w:r>
        <w:rPr>
          <w:rFonts w:ascii="Figtree" w:hAnsi="Figtree"/>
          <w:b w:val="0"/>
          <w:i w:val="0"/>
          <w:sz w:val="22"/>
        </w:rPr>
        <w:t>Multi-year continuous production deployments with regulated banks and sovereign entities demonstrate operational maturity in compliance-heavy environments. DALP is the product of sustained iteration with regulated clients, not a theoretical architecture.</w:t>
      </w:r>
    </w:p>
    <w:p>
      <w:r>
        <w:rPr>
          <w:rFonts w:ascii="Figtree" w:hAnsi="Figtree"/>
          <w:b/>
          <w:i w:val="0"/>
          <w:sz w:val="22"/>
        </w:rPr>
        <w:t>4. MENA presence and UAE regulatory expertise</w:t>
      </w:r>
    </w:p>
    <w:p>
      <w:r>
        <w:rPr>
          <w:rFonts w:ascii="Figtree" w:hAnsi="Figtree"/>
          <w:b w:val="0"/>
          <w:i w:val="0"/>
          <w:sz w:val="22"/>
        </w:rPr>
        <w:t>Active sovereign-scale programs in the Middle East, deep familiarity with CBUAE, VARA, DFSA, and SCA requirements, and deployment experience within GCC regulatory frameworks make SettleMint uniquely positioned to support Mashreq Bank's specific regulatory context.</w:t>
      </w:r>
    </w:p>
    <w:p>
      <w:r>
        <w:rPr>
          <w:rFonts w:ascii="Figtree" w:hAnsi="Figtree"/>
          <w:b/>
          <w:i w:val="0"/>
          <w:sz w:val="22"/>
        </w:rPr>
        <w:t>5. ERC-3643: The open standard for regulated tokens</w:t>
      </w:r>
    </w:p>
    <w:p>
      <w:r>
        <w:rPr>
          <w:rFonts w:ascii="Figtree" w:hAnsi="Figtree"/>
          <w:b w:val="0"/>
          <w:i w:val="0"/>
          <w:sz w:val="22"/>
        </w:rPr>
        <w:t>DALP implements ERC-3643 natively, not a proprietary token standard. This means Mashreq Bank's digital assets are interoperable with any other system that supports ERC-3643, avoiding vendor lock-in at the token standard level.</w:t>
      </w:r>
    </w:p>
    <w:p>
      <w:r>
        <w:rPr>
          <w:rFonts w:ascii="Figtree" w:hAnsi="Figtree"/>
          <w:b/>
          <w:i w:val="0"/>
          <w:sz w:val="22"/>
        </w:rPr>
        <w:t>6. Deployment flexibility under Mashreq Bank's control</w:t>
      </w:r>
    </w:p>
    <w:p>
      <w:r>
        <w:rPr>
          <w:rFonts w:ascii="Figtree" w:hAnsi="Figtree"/>
          <w:b w:val="0"/>
          <w:i w:val="0"/>
          <w:sz w:val="22"/>
        </w:rPr>
        <w:t>On-premises deployment in UAE data centers, bring-your-own-custodian integration, and support for both private and public EVM networks give Mashreq Bank full architectural control.</w:t>
      </w:r>
    </w:p>
    <w:p>
      <w:pPr>
        <w:pStyle w:val="H3"/>
        <w:numPr>
          <w:ilvl w:val="2"/>
          <w:numId w:val="1"/>
        </w:numPr>
      </w:pPr>
      <w:r>
        <w:t>Reference Experience Relevant to Mashreq</w:t>
      </w:r>
    </w:p>
    <w:p>
      <w:pPr>
        <w:pStyle w:val="ListParagraph"/>
        <w:numPr>
          <w:ilvl w:val="0"/>
          <w:numId w:val="4"/>
        </w:numPr>
      </w:pPr>
      <w:r>
        <w:rPr>
          <w:rFonts w:ascii="Figtree" w:hAnsi="Figtree"/>
          <w:b/>
          <w:i w:val="0"/>
          <w:sz w:val="22"/>
        </w:rPr>
        <w:t>Regulated bank deployments:</w:t>
      </w:r>
      <w:r>
        <w:rPr>
          <w:rFonts w:ascii="Figtree" w:hAnsi="Figtree"/>
          <w:b w:val="0"/>
          <w:i w:val="0"/>
          <w:sz w:val="22"/>
        </w:rPr>
        <w:t xml:space="preserve"> Multi-year production deployments with tier-1 and tier-2 banks across Asia, Europe, and MENA, demonstrating the operational maturity Mashreq Bank requires</w:t>
      </w:r>
    </w:p>
    <w:p>
      <w:pPr>
        <w:pStyle w:val="ListParagraph"/>
        <w:numPr>
          <w:ilvl w:val="0"/>
          <w:numId w:val="4"/>
        </w:numPr>
      </w:pPr>
      <w:r>
        <w:rPr>
          <w:rFonts w:ascii="Figtree" w:hAnsi="Figtree"/>
          <w:b/>
          <w:i w:val="0"/>
          <w:sz w:val="22"/>
        </w:rPr>
        <w:t>Bond lifecycle programs:</w:t>
      </w:r>
      <w:r>
        <w:rPr>
          <w:rFonts w:ascii="Figtree" w:hAnsi="Figtree"/>
          <w:b w:val="0"/>
          <w:i w:val="0"/>
          <w:sz w:val="22"/>
        </w:rPr>
        <w:t xml:space="preserve"> Live bond issuance and lifecycle management, including fractionalization, automated coupon processing, and secondary market settlement</w:t>
      </w:r>
    </w:p>
    <w:p>
      <w:pPr>
        <w:pStyle w:val="ListParagraph"/>
        <w:numPr>
          <w:ilvl w:val="0"/>
          <w:numId w:val="4"/>
        </w:numPr>
      </w:pPr>
      <w:r>
        <w:rPr>
          <w:rFonts w:ascii="Figtree" w:hAnsi="Figtree"/>
          <w:b/>
          <w:i w:val="0"/>
          <w:sz w:val="22"/>
        </w:rPr>
        <w:t>Sovereign-scale programs:</w:t>
      </w:r>
      <w:r>
        <w:rPr>
          <w:rFonts w:ascii="Figtree" w:hAnsi="Figtree"/>
          <w:b w:val="0"/>
          <w:i w:val="0"/>
          <w:sz w:val="22"/>
        </w:rPr>
        <w:t xml:space="preserve"> National real estate tokenization and sovereign-backed digital asset infrastructure in the Middle East, proving DALP operates at country scale under regulatory scrutiny</w:t>
      </w:r>
    </w:p>
    <w:p>
      <w:pPr>
        <w:pStyle w:val="ListParagraph"/>
        <w:numPr>
          <w:ilvl w:val="0"/>
          <w:numId w:val="4"/>
        </w:numPr>
      </w:pPr>
      <w:r>
        <w:rPr>
          <w:rFonts w:ascii="Figtree" w:hAnsi="Figtree"/>
          <w:b/>
          <w:i w:val="0"/>
          <w:sz w:val="22"/>
        </w:rPr>
        <w:t>UAE/GCC regulatory alignment:</w:t>
      </w:r>
      <w:r>
        <w:rPr>
          <w:rFonts w:ascii="Figtree" w:hAnsi="Figtree"/>
          <w:b w:val="0"/>
          <w:i w:val="0"/>
          <w:sz w:val="22"/>
        </w:rPr>
        <w:t xml:space="preserve"> Practical experience implementing compliance frameworks aligned with Gulf regulatory requirements, data residency standards, and Islamic finance structures</w:t>
      </w:r>
    </w:p>
    <w:p>
      <w:pPr>
        <w:pStyle w:val="H3"/>
        <w:numPr>
          <w:ilvl w:val="2"/>
          <w:numId w:val="1"/>
        </w:numPr>
      </w:pPr>
      <w:r>
        <w:t>Commitment</w:t>
      </w:r>
    </w:p>
    <w:p>
      <w:r>
        <w:rPr>
          <w:rFonts w:ascii="Figtree" w:hAnsi="Figtree"/>
          <w:b w:val="0"/>
          <w:i w:val="0"/>
          <w:sz w:val="22"/>
        </w:rPr>
        <w:t>SettleMint is committed to making Mashreq Bank's digital asset platform a reference deployment in the Middle East. We bring the technology, the regulatory expertise, the delivery capability, and the long-term partnership approach that institutional-scale digital asset operations demand.</w:t>
      </w:r>
    </w:p>
    <w:p>
      <w:r>
        <w:rPr>
          <w:rFonts w:ascii="Figtree" w:hAnsi="Figtree"/>
          <w:b w:val="0"/>
          <w:i w:val="0"/>
          <w:sz w:val="22"/>
        </w:rPr>
        <w:t>We look forward to the opportunity to discuss this proposal in detail and demonstrate DALP's capabilities to Mashreq Bank's technical, compliance, and business teams.</w:t>
      </w:r>
    </w:p>
    <w:p>
      <w:r>
        <w:br w:type="page"/>
      </w:r>
    </w:p>
    <w:p>
      <w:pPr>
        <w:pStyle w:val="H2"/>
        <w:numPr>
          <w:ilvl w:val="1"/>
          <w:numId w:val="1"/>
        </w:numPr>
      </w:pPr>
      <w:r>
        <w:t>Appendices</w:t>
      </w:r>
    </w:p>
    <w:p>
      <w:pPr>
        <w:pStyle w:val="H3"/>
        <w:numPr>
          <w:ilvl w:val="2"/>
          <w:numId w:val="1"/>
        </w:numPr>
      </w:pPr>
      <w:r>
        <w:t>Appendix A: Technical Specifications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91"/>
        <w:gridCol w:w="5880"/>
      </w:tblGrid>
      <w:tr>
        <w:trPr>
          <w:trHeight w:val="488"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Specification</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88" w:hRule="atLeast"/>
        </w:trPr>
        <w:tc>
          <w:tcPr>
            <w:tcW w:type="dxa" w:w="4873"/>
            <w:vAlign w:val="center"/>
          </w:tcPr>
          <w:p>
            <w:pPr>
              <w:spacing w:line="276" w:lineRule="auto" w:before="0" w:after="0"/>
            </w:pPr>
            <w:r/>
            <w:r>
              <w:rPr>
                <w:rFonts w:ascii="Figtree" w:hAnsi="Figtree"/>
                <w:b/>
                <w:i w:val="0"/>
                <w:sz w:val="20"/>
              </w:rPr>
              <w:t>Blockchain compatibility</w:t>
            </w:r>
          </w:p>
        </w:tc>
        <w:tc>
          <w:tcPr>
            <w:tcW w:type="dxa" w:w="4873"/>
            <w:vAlign w:val="center"/>
          </w:tcPr>
          <w:p>
            <w:pPr>
              <w:spacing w:line="276" w:lineRule="auto" w:before="0" w:after="0"/>
            </w:pPr>
            <w:r/>
            <w:r>
              <w:rPr>
                <w:rFonts w:ascii="Figtree" w:hAnsi="Figtree"/>
                <w:b w:val="0"/>
                <w:i w:val="0"/>
                <w:sz w:val="20"/>
              </w:rPr>
              <w:t>Any EVM-compatible network (Ethereum JSON-RPC)</w:t>
            </w:r>
          </w:p>
        </w:tc>
      </w:tr>
      <w:tr>
        <w:trPr>
          <w:trHeight w:val="488" w:hRule="atLeast"/>
        </w:trPr>
        <w:tc>
          <w:tcPr>
            <w:tcW w:type="dxa" w:w="4873"/>
            <w:vAlign w:val="center"/>
          </w:tcPr>
          <w:p>
            <w:pPr>
              <w:spacing w:line="276" w:lineRule="auto" w:before="0" w:after="0"/>
            </w:pPr>
            <w:r/>
            <w:r>
              <w:rPr>
                <w:rFonts w:ascii="Figtree" w:hAnsi="Figtree"/>
                <w:b/>
                <w:i w:val="0"/>
                <w:sz w:val="20"/>
              </w:rPr>
              <w:t>Recommended consensus</w:t>
            </w:r>
          </w:p>
        </w:tc>
        <w:tc>
          <w:tcPr>
            <w:tcW w:type="dxa" w:w="4873"/>
            <w:vAlign w:val="center"/>
          </w:tcPr>
          <w:p>
            <w:pPr>
              <w:spacing w:line="276" w:lineRule="auto" w:before="0" w:after="0"/>
            </w:pPr>
            <w:r/>
            <w:r>
              <w:rPr>
                <w:rFonts w:ascii="Figtree" w:hAnsi="Figtree"/>
                <w:b w:val="0"/>
                <w:i w:val="0"/>
                <w:sz w:val="20"/>
              </w:rPr>
              <w:t>QBFT (Hyperledger Besu) for private networks</w:t>
            </w:r>
          </w:p>
        </w:tc>
      </w:tr>
      <w:tr>
        <w:trPr>
          <w:trHeight w:val="488" w:hRule="atLeast"/>
        </w:trPr>
        <w:tc>
          <w:tcPr>
            <w:tcW w:type="dxa" w:w="4873"/>
            <w:vAlign w:val="center"/>
          </w:tcPr>
          <w:p>
            <w:pPr>
              <w:spacing w:line="276" w:lineRule="auto" w:before="0" w:after="0"/>
            </w:pPr>
            <w:r/>
            <w:r>
              <w:rPr>
                <w:rFonts w:ascii="Figtree" w:hAnsi="Figtree"/>
                <w:b/>
                <w:i w:val="0"/>
                <w:sz w:val="20"/>
              </w:rPr>
              <w:t>Token standard</w:t>
            </w:r>
          </w:p>
        </w:tc>
        <w:tc>
          <w:tcPr>
            <w:tcW w:type="dxa" w:w="4873"/>
            <w:vAlign w:val="center"/>
          </w:tcPr>
          <w:p>
            <w:pPr>
              <w:spacing w:line="276" w:lineRule="auto" w:before="0" w:after="0"/>
            </w:pPr>
            <w:r/>
            <w:r>
              <w:rPr>
                <w:rFonts w:ascii="Figtree" w:hAnsi="Figtree"/>
                <w:b w:val="0"/>
                <w:i w:val="0"/>
                <w:sz w:val="20"/>
              </w:rPr>
              <w:t>ERC-3643 (T-REX) with SMART Protocol extensions</w:t>
            </w:r>
          </w:p>
        </w:tc>
      </w:tr>
      <w:tr>
        <w:trPr>
          <w:trHeight w:val="488" w:hRule="atLeast"/>
        </w:trPr>
        <w:tc>
          <w:tcPr>
            <w:tcW w:type="dxa" w:w="4873"/>
            <w:vAlign w:val="center"/>
          </w:tcPr>
          <w:p>
            <w:pPr>
              <w:spacing w:line="276" w:lineRule="auto" w:before="0" w:after="0"/>
            </w:pPr>
            <w:r/>
            <w:r>
              <w:rPr>
                <w:rFonts w:ascii="Figtree" w:hAnsi="Figtree"/>
                <w:b/>
                <w:i w:val="0"/>
                <w:sz w:val="20"/>
              </w:rPr>
              <w:t>Identity standard</w:t>
            </w:r>
          </w:p>
        </w:tc>
        <w:tc>
          <w:tcPr>
            <w:tcW w:type="dxa" w:w="4873"/>
            <w:vAlign w:val="center"/>
          </w:tcPr>
          <w:p>
            <w:pPr>
              <w:spacing w:line="276" w:lineRule="auto" w:before="0" w:after="0"/>
            </w:pPr>
            <w:r/>
            <w:r>
              <w:rPr>
                <w:rFonts w:ascii="Figtree" w:hAnsi="Figtree"/>
                <w:b w:val="0"/>
                <w:i w:val="0"/>
                <w:sz w:val="20"/>
              </w:rPr>
              <w:t>OnchainID with claim-based verification</w:t>
            </w:r>
          </w:p>
        </w:tc>
      </w:tr>
      <w:tr>
        <w:trPr>
          <w:trHeight w:val="488" w:hRule="atLeast"/>
        </w:trPr>
        <w:tc>
          <w:tcPr>
            <w:tcW w:type="dxa" w:w="4873"/>
            <w:vAlign w:val="center"/>
          </w:tcPr>
          <w:p>
            <w:pPr>
              <w:spacing w:line="276" w:lineRule="auto" w:before="0" w:after="0"/>
            </w:pPr>
            <w:r/>
            <w:r>
              <w:rPr>
                <w:rFonts w:ascii="Figtree" w:hAnsi="Figtree"/>
                <w:b/>
                <w:i w:val="0"/>
                <w:sz w:val="20"/>
              </w:rPr>
              <w:t>Compliance modules</w:t>
            </w:r>
          </w:p>
        </w:tc>
        <w:tc>
          <w:tcPr>
            <w:tcW w:type="dxa" w:w="4873"/>
            <w:vAlign w:val="center"/>
          </w:tcPr>
          <w:p>
            <w:pPr>
              <w:spacing w:line="276" w:lineRule="auto" w:before="0" w:after="0"/>
            </w:pPr>
            <w:r/>
            <w:r>
              <w:rPr>
                <w:rFonts w:ascii="Figtree" w:hAnsi="Figtree"/>
                <w:b w:val="0"/>
                <w:i w:val="0"/>
                <w:sz w:val="20"/>
              </w:rPr>
              <w:t>18 types across 6 categories</w:t>
            </w:r>
          </w:p>
        </w:tc>
      </w:tr>
      <w:tr>
        <w:trPr>
          <w:trHeight w:val="488" w:hRule="atLeast"/>
        </w:trPr>
        <w:tc>
          <w:tcPr>
            <w:tcW w:type="dxa" w:w="4873"/>
            <w:vAlign w:val="center"/>
          </w:tcPr>
          <w:p>
            <w:pPr>
              <w:spacing w:line="276" w:lineRule="auto" w:before="0" w:after="0"/>
            </w:pPr>
            <w:r/>
            <w:r>
              <w:rPr>
                <w:rFonts w:ascii="Figtree" w:hAnsi="Figtree"/>
                <w:b/>
                <w:i w:val="0"/>
                <w:sz w:val="20"/>
              </w:rPr>
              <w:t>Asset templates</w:t>
            </w:r>
          </w:p>
        </w:tc>
        <w:tc>
          <w:tcPr>
            <w:tcW w:type="dxa" w:w="4873"/>
            <w:vAlign w:val="center"/>
          </w:tcPr>
          <w:p>
            <w:pPr>
              <w:spacing w:line="276" w:lineRule="auto" w:before="0" w:after="0"/>
            </w:pPr>
            <w:r/>
            <w:r>
              <w:rPr>
                <w:rFonts w:ascii="Figtree" w:hAnsi="Figtree"/>
                <w:b w:val="0"/>
                <w:i w:val="0"/>
                <w:sz w:val="20"/>
              </w:rPr>
              <w:t>7 pre-built + configurable token</w:t>
            </w:r>
          </w:p>
        </w:tc>
      </w:tr>
      <w:tr>
        <w:trPr>
          <w:trHeight w:val="488" w:hRule="atLeast"/>
        </w:trPr>
        <w:tc>
          <w:tcPr>
            <w:tcW w:type="dxa" w:w="4873"/>
            <w:vAlign w:val="center"/>
          </w:tcPr>
          <w:p>
            <w:pPr>
              <w:spacing w:line="276" w:lineRule="auto" w:before="0" w:after="0"/>
            </w:pPr>
            <w:r/>
            <w:r>
              <w:rPr>
                <w:rFonts w:ascii="Figtree" w:hAnsi="Figtree"/>
                <w:b/>
                <w:i w:val="0"/>
                <w:sz w:val="20"/>
              </w:rPr>
              <w:t>Custody providers</w:t>
            </w:r>
          </w:p>
        </w:tc>
        <w:tc>
          <w:tcPr>
            <w:tcW w:type="dxa" w:w="4873"/>
            <w:vAlign w:val="center"/>
          </w:tcPr>
          <w:p>
            <w:pPr>
              <w:spacing w:line="276" w:lineRule="auto" w:before="0" w:after="0"/>
            </w:pPr>
            <w:r/>
            <w:r>
              <w:rPr>
                <w:rFonts w:ascii="Figtree" w:hAnsi="Figtree"/>
                <w:b w:val="0"/>
                <w:i w:val="0"/>
                <w:sz w:val="20"/>
              </w:rPr>
              <w:t>DFNS, Fireblocks, local HSM, cloud KMS</w:t>
            </w:r>
          </w:p>
        </w:tc>
      </w:tr>
      <w:tr>
        <w:trPr>
          <w:trHeight w:val="488" w:hRule="atLeast"/>
        </w:trPr>
        <w:tc>
          <w:tcPr>
            <w:tcW w:type="dxa" w:w="4873"/>
            <w:vAlign w:val="center"/>
          </w:tcPr>
          <w:p>
            <w:pPr>
              <w:spacing w:line="276" w:lineRule="auto" w:before="0" w:after="0"/>
            </w:pPr>
            <w:r/>
            <w:r>
              <w:rPr>
                <w:rFonts w:ascii="Figtree" w:hAnsi="Figtree"/>
                <w:b/>
                <w:i w:val="0"/>
                <w:sz w:val="20"/>
              </w:rPr>
              <w:t>API protocols</w:t>
            </w:r>
          </w:p>
        </w:tc>
        <w:tc>
          <w:tcPr>
            <w:tcW w:type="dxa" w:w="4873"/>
            <w:vAlign w:val="center"/>
          </w:tcPr>
          <w:p>
            <w:pPr>
              <w:spacing w:line="276" w:lineRule="auto" w:before="0" w:after="0"/>
            </w:pPr>
            <w:r/>
            <w:r>
              <w:rPr>
                <w:rFonts w:ascii="Figtree" w:hAnsi="Figtree"/>
                <w:b w:val="0"/>
                <w:i w:val="0"/>
                <w:sz w:val="20"/>
              </w:rPr>
              <w:t>oRPC, REST (v2), GraphQL, webhooks, CLI</w:t>
            </w:r>
          </w:p>
        </w:tc>
      </w:tr>
      <w:tr>
        <w:trPr>
          <w:trHeight w:val="488" w:hRule="atLeast"/>
        </w:trPr>
        <w:tc>
          <w:tcPr>
            <w:tcW w:type="dxa" w:w="4873"/>
            <w:vAlign w:val="center"/>
          </w:tcPr>
          <w:p>
            <w:pPr>
              <w:spacing w:line="276" w:lineRule="auto" w:before="0" w:after="0"/>
            </w:pPr>
            <w:r/>
            <w:r>
              <w:rPr>
                <w:rFonts w:ascii="Figtree" w:hAnsi="Figtree"/>
                <w:b/>
                <w:i w:val="0"/>
                <w:sz w:val="20"/>
              </w:rPr>
              <w:t>Workflow runtime</w:t>
            </w:r>
          </w:p>
        </w:tc>
        <w:tc>
          <w:tcPr>
            <w:tcW w:type="dxa" w:w="4873"/>
            <w:vAlign w:val="center"/>
          </w:tcPr>
          <w:p>
            <w:pPr>
              <w:spacing w:line="276" w:lineRule="auto" w:before="0" w:after="0"/>
            </w:pPr>
            <w:r/>
            <w:r>
              <w:rPr>
                <w:rFonts w:ascii="Figtree" w:hAnsi="Figtree"/>
                <w:b w:val="0"/>
                <w:i w:val="0"/>
                <w:sz w:val="20"/>
              </w:rPr>
              <w:t>Restate (durable execution)</w:t>
            </w:r>
          </w:p>
        </w:tc>
      </w:tr>
      <w:tr>
        <w:trPr>
          <w:trHeight w:val="488" w:hRule="atLeast"/>
        </w:trPr>
        <w:tc>
          <w:tcPr>
            <w:tcW w:type="dxa" w:w="4873"/>
            <w:vAlign w:val="center"/>
          </w:tcPr>
          <w:p>
            <w:pPr>
              <w:spacing w:line="276" w:lineRule="auto" w:before="0" w:after="0"/>
            </w:pPr>
            <w:r/>
            <w:r>
              <w:rPr>
                <w:rFonts w:ascii="Figtree" w:hAnsi="Figtree"/>
                <w:b/>
                <w:i w:val="0"/>
                <w:sz w:val="20"/>
              </w:rPr>
              <w:t>Database</w:t>
            </w:r>
          </w:p>
        </w:tc>
        <w:tc>
          <w:tcPr>
            <w:tcW w:type="dxa" w:w="4873"/>
            <w:vAlign w:val="center"/>
          </w:tcPr>
          <w:p>
            <w:pPr>
              <w:spacing w:line="276" w:lineRule="auto" w:before="0" w:after="0"/>
            </w:pPr>
            <w:r/>
            <w:r>
              <w:rPr>
                <w:rFonts w:ascii="Figtree" w:hAnsi="Figtree"/>
                <w:b w:val="0"/>
                <w:i w:val="0"/>
                <w:sz w:val="20"/>
              </w:rPr>
              <w:t>PostgreSQL 15+</w:t>
            </w:r>
          </w:p>
        </w:tc>
      </w:tr>
      <w:tr>
        <w:trPr>
          <w:trHeight w:val="488" w:hRule="atLeast"/>
        </w:trPr>
        <w:tc>
          <w:tcPr>
            <w:tcW w:type="dxa" w:w="4873"/>
            <w:vAlign w:val="center"/>
          </w:tcPr>
          <w:p>
            <w:pPr>
              <w:spacing w:line="276" w:lineRule="auto" w:before="0" w:after="0"/>
            </w:pPr>
            <w:r/>
            <w:r>
              <w:rPr>
                <w:rFonts w:ascii="Figtree" w:hAnsi="Figtree"/>
                <w:b/>
                <w:i w:val="0"/>
                <w:sz w:val="20"/>
              </w:rPr>
              <w:t>Observability</w:t>
            </w:r>
          </w:p>
        </w:tc>
        <w:tc>
          <w:tcPr>
            <w:tcW w:type="dxa" w:w="4873"/>
            <w:vAlign w:val="center"/>
          </w:tcPr>
          <w:p>
            <w:pPr>
              <w:spacing w:line="276" w:lineRule="auto" w:before="0" w:after="0"/>
            </w:pPr>
            <w:r/>
            <w:r>
              <w:rPr>
                <w:rFonts w:ascii="Figtree" w:hAnsi="Figtree"/>
                <w:b w:val="0"/>
                <w:i w:val="0"/>
                <w:sz w:val="20"/>
              </w:rPr>
              <w:t>VictoriaMetrics, Loki, Tempo, Grafana</w:t>
            </w:r>
          </w:p>
        </w:tc>
      </w:tr>
      <w:tr>
        <w:trPr>
          <w:trHeight w:val="488" w:hRule="atLeast"/>
        </w:trPr>
        <w:tc>
          <w:tcPr>
            <w:tcW w:type="dxa" w:w="4873"/>
            <w:vAlign w:val="center"/>
          </w:tcPr>
          <w:p>
            <w:pPr>
              <w:spacing w:line="276" w:lineRule="auto" w:before="0" w:after="0"/>
            </w:pPr>
            <w:r/>
            <w:r>
              <w:rPr>
                <w:rFonts w:ascii="Figtree" w:hAnsi="Figtree"/>
                <w:b/>
                <w:i w:val="0"/>
                <w:sz w:val="20"/>
              </w:rPr>
              <w:t>Container orchestration</w:t>
            </w:r>
          </w:p>
        </w:tc>
        <w:tc>
          <w:tcPr>
            <w:tcW w:type="dxa" w:w="4873"/>
            <w:vAlign w:val="center"/>
          </w:tcPr>
          <w:p>
            <w:pPr>
              <w:spacing w:line="276" w:lineRule="auto" w:before="0" w:after="0"/>
            </w:pPr>
            <w:r/>
            <w:r>
              <w:rPr>
                <w:rFonts w:ascii="Figtree" w:hAnsi="Figtree"/>
                <w:b w:val="0"/>
                <w:i w:val="0"/>
                <w:sz w:val="20"/>
              </w:rPr>
              <w:t>Kubernetes (Helm charts)</w:t>
            </w:r>
          </w:p>
        </w:tc>
      </w:tr>
      <w:tr>
        <w:trPr>
          <w:trHeight w:val="488" w:hRule="atLeast"/>
        </w:trPr>
        <w:tc>
          <w:tcPr>
            <w:tcW w:type="dxa" w:w="4873"/>
            <w:vAlign w:val="center"/>
          </w:tcPr>
          <w:p>
            <w:pPr>
              <w:spacing w:line="276" w:lineRule="auto" w:before="0" w:after="0"/>
            </w:pPr>
            <w:r/>
            <w:r>
              <w:rPr>
                <w:rFonts w:ascii="Figtree" w:hAnsi="Figtree"/>
                <w:b/>
                <w:i w:val="0"/>
                <w:sz w:val="20"/>
              </w:rPr>
              <w:t>Secret management</w:t>
            </w:r>
          </w:p>
        </w:tc>
        <w:tc>
          <w:tcPr>
            <w:tcW w:type="dxa" w:w="4873"/>
            <w:vAlign w:val="center"/>
          </w:tcPr>
          <w:p>
            <w:pPr>
              <w:spacing w:line="276" w:lineRule="auto" w:before="0" w:after="0"/>
            </w:pPr>
            <w:r/>
            <w:r>
              <w:rPr>
                <w:rFonts w:ascii="Figtree" w:hAnsi="Figtree"/>
                <w:b w:val="0"/>
                <w:i w:val="0"/>
                <w:sz w:val="20"/>
              </w:rPr>
              <w:t>HashiCorp Vault, AWS SM, GCP SM, Azure KV</w:t>
            </w:r>
          </w:p>
        </w:tc>
      </w:tr>
      <w:tr>
        <w:trPr>
          <w:trHeight w:val="488" w:hRule="atLeast"/>
        </w:trPr>
        <w:tc>
          <w:tcPr>
            <w:tcW w:type="dxa" w:w="4873"/>
            <w:vAlign w:val="center"/>
          </w:tcPr>
          <w:p>
            <w:pPr>
              <w:spacing w:line="276" w:lineRule="auto" w:before="0" w:after="0"/>
            </w:pPr>
            <w:r/>
            <w:r>
              <w:rPr>
                <w:rFonts w:ascii="Figtree" w:hAnsi="Figtree"/>
                <w:b/>
                <w:i w:val="0"/>
                <w:sz w:val="20"/>
              </w:rPr>
              <w:t>Deployment model</w:t>
            </w:r>
          </w:p>
        </w:tc>
        <w:tc>
          <w:tcPr>
            <w:tcW w:type="dxa" w:w="4873"/>
            <w:vAlign w:val="center"/>
          </w:tcPr>
          <w:p>
            <w:pPr>
              <w:spacing w:line="276" w:lineRule="auto" w:before="0" w:after="0"/>
            </w:pPr>
            <w:r/>
            <w:r>
              <w:rPr>
                <w:rFonts w:ascii="Figtree" w:hAnsi="Figtree"/>
                <w:b w:val="0"/>
                <w:i w:val="0"/>
                <w:sz w:val="20"/>
              </w:rPr>
              <w:t>On-premises, dedicated cloud, managed SaaS</w:t>
            </w:r>
          </w:p>
        </w:tc>
      </w:tr>
      <w:tr>
        <w:trPr>
          <w:trHeight w:val="488" w:hRule="atLeast"/>
        </w:trPr>
        <w:tc>
          <w:tcPr>
            <w:tcW w:type="dxa" w:w="4873"/>
            <w:vAlign w:val="center"/>
          </w:tcPr>
          <w:p>
            <w:pPr>
              <w:spacing w:line="276" w:lineRule="auto" w:before="0" w:after="0"/>
            </w:pPr>
            <w:r/>
            <w:r>
              <w:rPr>
                <w:rFonts w:ascii="Figtree" w:hAnsi="Figtree"/>
                <w:b/>
                <w:i w:val="0"/>
                <w:sz w:val="20"/>
              </w:rPr>
              <w:t>Feature system</w:t>
            </w:r>
          </w:p>
        </w:tc>
        <w:tc>
          <w:tcPr>
            <w:tcW w:type="dxa" w:w="4873"/>
            <w:vAlign w:val="center"/>
          </w:tcPr>
          <w:p>
            <w:pPr>
              <w:spacing w:line="276" w:lineRule="auto" w:before="0" w:after="0"/>
            </w:pPr>
            <w:r/>
            <w:r>
              <w:rPr>
                <w:rFonts w:ascii="Figtree" w:hAnsi="Figtree"/>
                <w:b w:val="0"/>
                <w:i w:val="0"/>
                <w:sz w:val="20"/>
              </w:rPr>
              <w:t>Up to 32 pluggable features per token (SMART Configurable)</w:t>
            </w:r>
          </w:p>
        </w:tc>
      </w:tr>
    </w:tbl>
    <w:p>
      <w:pPr>
        <w:spacing w:before="0" w:after="0" w:line="120" w:lineRule="exact"/>
      </w:pPr>
    </w:p>
    <w:p>
      <w:pPr>
        <w:pStyle w:val="H3"/>
        <w:numPr>
          <w:ilvl w:val="2"/>
          <w:numId w:val="1"/>
        </w:numPr>
      </w:pPr>
      <w:r>
        <w:t>Appendix B: Compliance Modules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86"/>
        <w:gridCol w:w="3144"/>
        <w:gridCol w:w="2001"/>
        <w:gridCol w:w="3240"/>
      </w:tblGrid>
      <w:tr>
        <w:trPr>
          <w:trHeight w:val="488"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Module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Category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88" w:hRule="atLeast"/>
        </w:trPr>
        <w:tc>
          <w:tcPr>
            <w:tcW w:type="dxa" w:w="2436"/>
            <w:vAlign w:val="center"/>
          </w:tcPr>
          <w:p>
            <w:pPr>
              <w:spacing w:line="276" w:lineRule="auto" w:before="0" w:after="0"/>
            </w:pPr>
            <w:r/>
            <w:r>
              <w:rPr>
                <w:rFonts w:ascii="Figtree" w:hAnsi="Figtree"/>
                <w:b w:val="0"/>
                <w:i w:val="0"/>
                <w:sz w:val="20"/>
              </w:rPr>
              <w:t>1</w:t>
            </w:r>
          </w:p>
        </w:tc>
        <w:tc>
          <w:tcPr>
            <w:tcW w:type="dxa" w:w="2436"/>
            <w:vAlign w:val="center"/>
          </w:tcPr>
          <w:p>
            <w:pPr>
              <w:spacing w:line="276" w:lineRule="auto" w:before="0" w:after="0"/>
            </w:pPr>
            <w:r/>
            <w:r>
              <w:rPr>
                <w:rFonts w:ascii="Figtree" w:hAnsi="Figtree"/>
                <w:b w:val="0"/>
                <w:i w:val="0"/>
                <w:sz w:val="20"/>
              </w:rPr>
              <w:t>Country Allow List</w:t>
            </w:r>
          </w:p>
        </w:tc>
        <w:tc>
          <w:tcPr>
            <w:tcW w:type="dxa" w:w="2436"/>
            <w:vAlign w:val="center"/>
          </w:tcPr>
          <w:p>
            <w:pPr>
              <w:spacing w:line="276" w:lineRule="auto" w:before="0" w:after="0"/>
            </w:pPr>
            <w:r/>
            <w:r>
              <w:rPr>
                <w:rFonts w:ascii="Figtree" w:hAnsi="Figtree"/>
                <w:b w:val="0"/>
                <w:i w:val="0"/>
                <w:sz w:val="20"/>
              </w:rPr>
              <w:t>Eligibility</w:t>
            </w:r>
          </w:p>
        </w:tc>
        <w:tc>
          <w:tcPr>
            <w:tcW w:type="dxa" w:w="2436"/>
            <w:vAlign w:val="center"/>
          </w:tcPr>
          <w:p>
            <w:pPr>
              <w:spacing w:line="276" w:lineRule="auto" w:before="0" w:after="0"/>
            </w:pPr>
            <w:r/>
            <w:r>
              <w:rPr>
                <w:rFonts w:ascii="Figtree" w:hAnsi="Figtree"/>
                <w:b w:val="0"/>
                <w:i w:val="0"/>
                <w:sz w:val="20"/>
              </w:rPr>
              <w:t>Restrict to approved jurisdictions</w:t>
            </w:r>
          </w:p>
        </w:tc>
      </w:tr>
      <w:tr>
        <w:trPr>
          <w:trHeight w:val="488" w:hRule="atLeast"/>
        </w:trPr>
        <w:tc>
          <w:tcPr>
            <w:tcW w:type="dxa" w:w="2436"/>
            <w:vAlign w:val="center"/>
          </w:tcPr>
          <w:p>
            <w:pPr>
              <w:spacing w:line="276" w:lineRule="auto" w:before="0" w:after="0"/>
            </w:pPr>
            <w:r/>
            <w:r>
              <w:rPr>
                <w:rFonts w:ascii="Figtree" w:hAnsi="Figtree"/>
                <w:b w:val="0"/>
                <w:i w:val="0"/>
                <w:sz w:val="20"/>
              </w:rPr>
              <w:t>2</w:t>
            </w:r>
          </w:p>
        </w:tc>
        <w:tc>
          <w:tcPr>
            <w:tcW w:type="dxa" w:w="2436"/>
            <w:vAlign w:val="center"/>
          </w:tcPr>
          <w:p>
            <w:pPr>
              <w:spacing w:line="276" w:lineRule="auto" w:before="0" w:after="0"/>
            </w:pPr>
            <w:r/>
            <w:r>
              <w:rPr>
                <w:rFonts w:ascii="Figtree" w:hAnsi="Figtree"/>
                <w:b w:val="0"/>
                <w:i w:val="0"/>
                <w:sz w:val="20"/>
              </w:rPr>
              <w:t>Country Block List</w:t>
            </w:r>
          </w:p>
        </w:tc>
        <w:tc>
          <w:tcPr>
            <w:tcW w:type="dxa" w:w="2436"/>
            <w:vAlign w:val="center"/>
          </w:tcPr>
          <w:p>
            <w:pPr>
              <w:spacing w:line="276" w:lineRule="auto" w:before="0" w:after="0"/>
            </w:pPr>
            <w:r/>
            <w:r>
              <w:rPr>
                <w:rFonts w:ascii="Figtree" w:hAnsi="Figtree"/>
                <w:b w:val="0"/>
                <w:i w:val="0"/>
                <w:sz w:val="20"/>
              </w:rPr>
              <w:t>Eligibility</w:t>
            </w:r>
          </w:p>
        </w:tc>
        <w:tc>
          <w:tcPr>
            <w:tcW w:type="dxa" w:w="2436"/>
            <w:vAlign w:val="center"/>
          </w:tcPr>
          <w:p>
            <w:pPr>
              <w:spacing w:line="276" w:lineRule="auto" w:before="0" w:after="0"/>
            </w:pPr>
            <w:r/>
            <w:r>
              <w:rPr>
                <w:rFonts w:ascii="Figtree" w:hAnsi="Figtree"/>
                <w:b w:val="0"/>
                <w:i w:val="0"/>
                <w:sz w:val="20"/>
              </w:rPr>
              <w:t>Block sanctioned jurisdictions</w:t>
            </w:r>
          </w:p>
        </w:tc>
      </w:tr>
      <w:tr>
        <w:trPr>
          <w:trHeight w:val="488" w:hRule="atLeast"/>
        </w:trPr>
        <w:tc>
          <w:tcPr>
            <w:tcW w:type="dxa" w:w="2436"/>
            <w:vAlign w:val="center"/>
          </w:tcPr>
          <w:p>
            <w:pPr>
              <w:spacing w:line="276" w:lineRule="auto" w:before="0" w:after="0"/>
            </w:pPr>
            <w:r/>
            <w:r>
              <w:rPr>
                <w:rFonts w:ascii="Figtree" w:hAnsi="Figtree"/>
                <w:b w:val="0"/>
                <w:i w:val="0"/>
                <w:sz w:val="20"/>
              </w:rPr>
              <w:t>3</w:t>
            </w:r>
          </w:p>
        </w:tc>
        <w:tc>
          <w:tcPr>
            <w:tcW w:type="dxa" w:w="2436"/>
            <w:vAlign w:val="center"/>
          </w:tcPr>
          <w:p>
            <w:pPr>
              <w:spacing w:line="276" w:lineRule="auto" w:before="0" w:after="0"/>
            </w:pPr>
            <w:r/>
            <w:r>
              <w:rPr>
                <w:rFonts w:ascii="Figtree" w:hAnsi="Figtree"/>
                <w:b w:val="0"/>
                <w:i w:val="0"/>
                <w:sz w:val="20"/>
              </w:rPr>
              <w:t>Investor Accreditation</w:t>
            </w:r>
          </w:p>
        </w:tc>
        <w:tc>
          <w:tcPr>
            <w:tcW w:type="dxa" w:w="2436"/>
            <w:vAlign w:val="center"/>
          </w:tcPr>
          <w:p>
            <w:pPr>
              <w:spacing w:line="276" w:lineRule="auto" w:before="0" w:after="0"/>
            </w:pPr>
            <w:r/>
            <w:r>
              <w:rPr>
                <w:rFonts w:ascii="Figtree" w:hAnsi="Figtree"/>
                <w:b w:val="0"/>
                <w:i w:val="0"/>
                <w:sz w:val="20"/>
              </w:rPr>
              <w:t>Eligibility</w:t>
            </w:r>
          </w:p>
        </w:tc>
        <w:tc>
          <w:tcPr>
            <w:tcW w:type="dxa" w:w="2436"/>
            <w:vAlign w:val="center"/>
          </w:tcPr>
          <w:p>
            <w:pPr>
              <w:spacing w:line="276" w:lineRule="auto" w:before="0" w:after="0"/>
            </w:pPr>
            <w:r/>
            <w:r>
              <w:rPr>
                <w:rFonts w:ascii="Figtree" w:hAnsi="Figtree"/>
                <w:b w:val="0"/>
                <w:i w:val="0"/>
                <w:sz w:val="20"/>
              </w:rPr>
              <w:t>Verify accreditation claims</w:t>
            </w:r>
          </w:p>
        </w:tc>
      </w:tr>
      <w:tr>
        <w:trPr>
          <w:trHeight w:val="488" w:hRule="atLeast"/>
        </w:trPr>
        <w:tc>
          <w:tcPr>
            <w:tcW w:type="dxa" w:w="2436"/>
            <w:vAlign w:val="center"/>
          </w:tcPr>
          <w:p>
            <w:pPr>
              <w:spacing w:line="276" w:lineRule="auto" w:before="0" w:after="0"/>
            </w:pPr>
            <w:r/>
            <w:r>
              <w:rPr>
                <w:rFonts w:ascii="Figtree" w:hAnsi="Figtree"/>
                <w:b w:val="0"/>
                <w:i w:val="0"/>
                <w:sz w:val="20"/>
              </w:rPr>
              <w:t>4</w:t>
            </w:r>
          </w:p>
        </w:tc>
        <w:tc>
          <w:tcPr>
            <w:tcW w:type="dxa" w:w="2436"/>
            <w:vAlign w:val="center"/>
          </w:tcPr>
          <w:p>
            <w:pPr>
              <w:spacing w:line="276" w:lineRule="auto" w:before="0" w:after="0"/>
            </w:pPr>
            <w:r/>
            <w:r>
              <w:rPr>
                <w:rFonts w:ascii="Figtree" w:hAnsi="Figtree"/>
                <w:b w:val="0"/>
                <w:i w:val="0"/>
                <w:sz w:val="20"/>
              </w:rPr>
              <w:t>Maximum Holder Count</w:t>
            </w:r>
          </w:p>
        </w:tc>
        <w:tc>
          <w:tcPr>
            <w:tcW w:type="dxa" w:w="2436"/>
            <w:vAlign w:val="center"/>
          </w:tcPr>
          <w:p>
            <w:pPr>
              <w:spacing w:line="276" w:lineRule="auto" w:before="0" w:after="0"/>
            </w:pPr>
            <w:r/>
            <w:r>
              <w:rPr>
                <w:rFonts w:ascii="Figtree" w:hAnsi="Figtree"/>
                <w:b w:val="0"/>
                <w:i w:val="0"/>
                <w:sz w:val="20"/>
              </w:rPr>
              <w:t>Restrictions</w:t>
            </w:r>
          </w:p>
        </w:tc>
        <w:tc>
          <w:tcPr>
            <w:tcW w:type="dxa" w:w="2436"/>
            <w:vAlign w:val="center"/>
          </w:tcPr>
          <w:p>
            <w:pPr>
              <w:spacing w:line="276" w:lineRule="auto" w:before="0" w:after="0"/>
            </w:pPr>
            <w:r/>
            <w:r>
              <w:rPr>
                <w:rFonts w:ascii="Figtree" w:hAnsi="Figtree"/>
                <w:b w:val="0"/>
                <w:i w:val="0"/>
                <w:sz w:val="20"/>
              </w:rPr>
              <w:t>Cap distinct holders</w:t>
            </w:r>
          </w:p>
        </w:tc>
      </w:tr>
      <w:tr>
        <w:trPr>
          <w:trHeight w:val="488" w:hRule="atLeast"/>
        </w:trPr>
        <w:tc>
          <w:tcPr>
            <w:tcW w:type="dxa" w:w="2436"/>
            <w:vAlign w:val="center"/>
          </w:tcPr>
          <w:p>
            <w:pPr>
              <w:spacing w:line="276" w:lineRule="auto" w:before="0" w:after="0"/>
            </w:pPr>
            <w:r/>
            <w:r>
              <w:rPr>
                <w:rFonts w:ascii="Figtree" w:hAnsi="Figtree"/>
                <w:b w:val="0"/>
                <w:i w:val="0"/>
                <w:sz w:val="20"/>
              </w:rPr>
              <w:t>5</w:t>
            </w:r>
          </w:p>
        </w:tc>
        <w:tc>
          <w:tcPr>
            <w:tcW w:type="dxa" w:w="2436"/>
            <w:vAlign w:val="center"/>
          </w:tcPr>
          <w:p>
            <w:pPr>
              <w:spacing w:line="276" w:lineRule="auto" w:before="0" w:after="0"/>
            </w:pPr>
            <w:r/>
            <w:r>
              <w:rPr>
                <w:rFonts w:ascii="Figtree" w:hAnsi="Figtree"/>
                <w:b w:val="0"/>
                <w:i w:val="0"/>
                <w:sz w:val="20"/>
              </w:rPr>
              <w:t>Conditional Transfer Restrictions</w:t>
            </w:r>
          </w:p>
        </w:tc>
        <w:tc>
          <w:tcPr>
            <w:tcW w:type="dxa" w:w="2436"/>
            <w:vAlign w:val="center"/>
          </w:tcPr>
          <w:p>
            <w:pPr>
              <w:spacing w:line="276" w:lineRule="auto" w:before="0" w:after="0"/>
            </w:pPr>
            <w:r/>
            <w:r>
              <w:rPr>
                <w:rFonts w:ascii="Figtree" w:hAnsi="Figtree"/>
                <w:b w:val="0"/>
                <w:i w:val="0"/>
                <w:sz w:val="20"/>
              </w:rPr>
              <w:t>Restrictions</w:t>
            </w:r>
          </w:p>
        </w:tc>
        <w:tc>
          <w:tcPr>
            <w:tcW w:type="dxa" w:w="2436"/>
            <w:vAlign w:val="center"/>
          </w:tcPr>
          <w:p>
            <w:pPr>
              <w:spacing w:line="276" w:lineRule="auto" w:before="0" w:after="0"/>
            </w:pPr>
            <w:r/>
            <w:r>
              <w:rPr>
                <w:rFonts w:ascii="Figtree" w:hAnsi="Figtree"/>
                <w:b w:val="0"/>
                <w:i w:val="0"/>
                <w:sz w:val="20"/>
              </w:rPr>
              <w:t>Dynamic condition evaluation</w:t>
            </w:r>
          </w:p>
        </w:tc>
      </w:tr>
      <w:tr>
        <w:trPr>
          <w:trHeight w:val="488" w:hRule="atLeast"/>
        </w:trPr>
        <w:tc>
          <w:tcPr>
            <w:tcW w:type="dxa" w:w="2436"/>
            <w:vAlign w:val="center"/>
          </w:tcPr>
          <w:p>
            <w:pPr>
              <w:spacing w:line="276" w:lineRule="auto" w:before="0" w:after="0"/>
            </w:pPr>
            <w:r/>
            <w:r>
              <w:rPr>
                <w:rFonts w:ascii="Figtree" w:hAnsi="Figtree"/>
                <w:b w:val="0"/>
                <w:i w:val="0"/>
                <w:sz w:val="20"/>
              </w:rPr>
              <w:t>6</w:t>
            </w:r>
          </w:p>
        </w:tc>
        <w:tc>
          <w:tcPr>
            <w:tcW w:type="dxa" w:w="2436"/>
            <w:vAlign w:val="center"/>
          </w:tcPr>
          <w:p>
            <w:pPr>
              <w:spacing w:line="276" w:lineRule="auto" w:before="0" w:after="0"/>
            </w:pPr>
            <w:r/>
            <w:r>
              <w:rPr>
                <w:rFonts w:ascii="Figtree" w:hAnsi="Figtree"/>
                <w:b w:val="0"/>
                <w:i w:val="0"/>
                <w:sz w:val="20"/>
              </w:rPr>
              <w:t>Address-Specific Restrictions</w:t>
            </w:r>
          </w:p>
        </w:tc>
        <w:tc>
          <w:tcPr>
            <w:tcW w:type="dxa" w:w="2436"/>
            <w:vAlign w:val="center"/>
          </w:tcPr>
          <w:p>
            <w:pPr>
              <w:spacing w:line="276" w:lineRule="auto" w:before="0" w:after="0"/>
            </w:pPr>
            <w:r/>
            <w:r>
              <w:rPr>
                <w:rFonts w:ascii="Figtree" w:hAnsi="Figtree"/>
                <w:b w:val="0"/>
                <w:i w:val="0"/>
                <w:sz w:val="20"/>
              </w:rPr>
              <w:t>Restrictions</w:t>
            </w:r>
          </w:p>
        </w:tc>
        <w:tc>
          <w:tcPr>
            <w:tcW w:type="dxa" w:w="2436"/>
            <w:vAlign w:val="center"/>
          </w:tcPr>
          <w:p>
            <w:pPr>
              <w:spacing w:line="276" w:lineRule="auto" w:before="0" w:after="0"/>
            </w:pPr>
            <w:r/>
            <w:r>
              <w:rPr>
                <w:rFonts w:ascii="Figtree" w:hAnsi="Figtree"/>
                <w:b w:val="0"/>
                <w:i w:val="0"/>
                <w:sz w:val="20"/>
              </w:rPr>
              <w:t>Per-address controls</w:t>
            </w:r>
          </w:p>
        </w:tc>
      </w:tr>
      <w:tr>
        <w:trPr>
          <w:trHeight w:val="488" w:hRule="atLeast"/>
        </w:trPr>
        <w:tc>
          <w:tcPr>
            <w:tcW w:type="dxa" w:w="2436"/>
            <w:vAlign w:val="center"/>
          </w:tcPr>
          <w:p>
            <w:pPr>
              <w:spacing w:line="276" w:lineRule="auto" w:before="0" w:after="0"/>
            </w:pPr>
            <w:r/>
            <w:r>
              <w:rPr>
                <w:rFonts w:ascii="Figtree" w:hAnsi="Figtree"/>
                <w:b w:val="0"/>
                <w:i w:val="0"/>
                <w:sz w:val="20"/>
              </w:rPr>
              <w:t>7</w:t>
            </w:r>
          </w:p>
        </w:tc>
        <w:tc>
          <w:tcPr>
            <w:tcW w:type="dxa" w:w="2436"/>
            <w:vAlign w:val="center"/>
          </w:tcPr>
          <w:p>
            <w:pPr>
              <w:spacing w:line="276" w:lineRule="auto" w:before="0" w:after="0"/>
            </w:pPr>
            <w:r/>
            <w:r>
              <w:rPr>
                <w:rFonts w:ascii="Figtree" w:hAnsi="Figtree"/>
                <w:b w:val="0"/>
                <w:i w:val="0"/>
                <w:sz w:val="20"/>
              </w:rPr>
              <w:t>Transfer Amount Limits</w:t>
            </w:r>
          </w:p>
        </w:tc>
        <w:tc>
          <w:tcPr>
            <w:tcW w:type="dxa" w:w="2436"/>
            <w:vAlign w:val="center"/>
          </w:tcPr>
          <w:p>
            <w:pPr>
              <w:spacing w:line="276" w:lineRule="auto" w:before="0" w:after="0"/>
            </w:pPr>
            <w:r/>
            <w:r>
              <w:rPr>
                <w:rFonts w:ascii="Figtree" w:hAnsi="Figtree"/>
                <w:b w:val="0"/>
                <w:i w:val="0"/>
                <w:sz w:val="20"/>
              </w:rPr>
              <w:t>Transfer Controls</w:t>
            </w:r>
          </w:p>
        </w:tc>
        <w:tc>
          <w:tcPr>
            <w:tcW w:type="dxa" w:w="2436"/>
            <w:vAlign w:val="center"/>
          </w:tcPr>
          <w:p>
            <w:pPr>
              <w:spacing w:line="276" w:lineRule="auto" w:before="0" w:after="0"/>
            </w:pPr>
            <w:r/>
            <w:r>
              <w:rPr>
                <w:rFonts w:ascii="Figtree" w:hAnsi="Figtree"/>
                <w:b w:val="0"/>
                <w:i w:val="0"/>
                <w:sz w:val="20"/>
              </w:rPr>
              <w:t>Min/max transfer sizes</w:t>
            </w:r>
          </w:p>
        </w:tc>
      </w:tr>
      <w:tr>
        <w:trPr>
          <w:trHeight w:val="488" w:hRule="atLeast"/>
        </w:trPr>
        <w:tc>
          <w:tcPr>
            <w:tcW w:type="dxa" w:w="2436"/>
            <w:vAlign w:val="center"/>
          </w:tcPr>
          <w:p>
            <w:pPr>
              <w:spacing w:line="276" w:lineRule="auto" w:before="0" w:after="0"/>
            </w:pPr>
            <w:r/>
            <w:r>
              <w:rPr>
                <w:rFonts w:ascii="Figtree" w:hAnsi="Figtree"/>
                <w:b w:val="0"/>
                <w:i w:val="0"/>
                <w:sz w:val="20"/>
              </w:rPr>
              <w:t>8</w:t>
            </w:r>
          </w:p>
        </w:tc>
        <w:tc>
          <w:tcPr>
            <w:tcW w:type="dxa" w:w="2436"/>
            <w:vAlign w:val="center"/>
          </w:tcPr>
          <w:p>
            <w:pPr>
              <w:spacing w:line="276" w:lineRule="auto" w:before="0" w:after="0"/>
            </w:pPr>
            <w:r/>
            <w:r>
              <w:rPr>
                <w:rFonts w:ascii="Figtree" w:hAnsi="Figtree"/>
                <w:b w:val="0"/>
                <w:i w:val="0"/>
                <w:sz w:val="20"/>
              </w:rPr>
              <w:t>Maximum Balance</w:t>
            </w:r>
          </w:p>
        </w:tc>
        <w:tc>
          <w:tcPr>
            <w:tcW w:type="dxa" w:w="2436"/>
            <w:vAlign w:val="center"/>
          </w:tcPr>
          <w:p>
            <w:pPr>
              <w:spacing w:line="276" w:lineRule="auto" w:before="0" w:after="0"/>
            </w:pPr>
            <w:r/>
            <w:r>
              <w:rPr>
                <w:rFonts w:ascii="Figtree" w:hAnsi="Figtree"/>
                <w:b w:val="0"/>
                <w:i w:val="0"/>
                <w:sz w:val="20"/>
              </w:rPr>
              <w:t>Transfer Controls</w:t>
            </w:r>
          </w:p>
        </w:tc>
        <w:tc>
          <w:tcPr>
            <w:tcW w:type="dxa" w:w="2436"/>
            <w:vAlign w:val="center"/>
          </w:tcPr>
          <w:p>
            <w:pPr>
              <w:spacing w:line="276" w:lineRule="auto" w:before="0" w:after="0"/>
            </w:pPr>
            <w:r/>
            <w:r>
              <w:rPr>
                <w:rFonts w:ascii="Figtree" w:hAnsi="Figtree"/>
                <w:b w:val="0"/>
                <w:i w:val="0"/>
                <w:sz w:val="20"/>
              </w:rPr>
              <w:t>Concentration risk limits</w:t>
            </w:r>
          </w:p>
        </w:tc>
      </w:tr>
      <w:tr>
        <w:trPr>
          <w:trHeight w:val="488" w:hRule="atLeast"/>
        </w:trPr>
        <w:tc>
          <w:tcPr>
            <w:tcW w:type="dxa" w:w="2436"/>
            <w:vAlign w:val="center"/>
          </w:tcPr>
          <w:p>
            <w:pPr>
              <w:spacing w:line="276" w:lineRule="auto" w:before="0" w:after="0"/>
            </w:pPr>
            <w:r/>
            <w:r>
              <w:rPr>
                <w:rFonts w:ascii="Figtree" w:hAnsi="Figtree"/>
                <w:b w:val="0"/>
                <w:i w:val="0"/>
                <w:sz w:val="20"/>
              </w:rPr>
              <w:t>9</w:t>
            </w:r>
          </w:p>
        </w:tc>
        <w:tc>
          <w:tcPr>
            <w:tcW w:type="dxa" w:w="2436"/>
            <w:vAlign w:val="center"/>
          </w:tcPr>
          <w:p>
            <w:pPr>
              <w:spacing w:line="276" w:lineRule="auto" w:before="0" w:after="0"/>
            </w:pPr>
            <w:r/>
            <w:r>
              <w:rPr>
                <w:rFonts w:ascii="Figtree" w:hAnsi="Figtree"/>
                <w:b w:val="0"/>
                <w:i w:val="0"/>
                <w:sz w:val="20"/>
              </w:rPr>
              <w:t>Transfer Policy</w:t>
            </w:r>
          </w:p>
        </w:tc>
        <w:tc>
          <w:tcPr>
            <w:tcW w:type="dxa" w:w="2436"/>
            <w:vAlign w:val="center"/>
          </w:tcPr>
          <w:p>
            <w:pPr>
              <w:spacing w:line="276" w:lineRule="auto" w:before="0" w:after="0"/>
            </w:pPr>
            <w:r/>
            <w:r>
              <w:rPr>
                <w:rFonts w:ascii="Figtree" w:hAnsi="Figtree"/>
                <w:b w:val="0"/>
                <w:i w:val="0"/>
                <w:sz w:val="20"/>
              </w:rPr>
              <w:t>Transfer Controls</w:t>
            </w:r>
          </w:p>
        </w:tc>
        <w:tc>
          <w:tcPr>
            <w:tcW w:type="dxa" w:w="2436"/>
            <w:vAlign w:val="center"/>
          </w:tcPr>
          <w:p>
            <w:pPr>
              <w:spacing w:line="276" w:lineRule="auto" w:before="0" w:after="0"/>
            </w:pPr>
            <w:r/>
            <w:r>
              <w:rPr>
                <w:rFonts w:ascii="Figtree" w:hAnsi="Figtree"/>
                <w:b w:val="0"/>
                <w:i w:val="0"/>
                <w:sz w:val="20"/>
              </w:rPr>
              <w:t>Comprehensive rule evaluation</w:t>
            </w:r>
          </w:p>
        </w:tc>
      </w:tr>
      <w:tr>
        <w:trPr>
          <w:trHeight w:val="488" w:hRule="atLeast"/>
        </w:trPr>
        <w:tc>
          <w:tcPr>
            <w:tcW w:type="dxa" w:w="2436"/>
            <w:vAlign w:val="center"/>
          </w:tcPr>
          <w:p>
            <w:pPr>
              <w:spacing w:line="276" w:lineRule="auto" w:before="0" w:after="0"/>
            </w:pPr>
            <w:r/>
            <w:r>
              <w:rPr>
                <w:rFonts w:ascii="Figtree" w:hAnsi="Figtree"/>
                <w:b w:val="0"/>
                <w:i w:val="0"/>
                <w:sz w:val="20"/>
              </w:rPr>
              <w:t>10</w:t>
            </w:r>
          </w:p>
        </w:tc>
        <w:tc>
          <w:tcPr>
            <w:tcW w:type="dxa" w:w="2436"/>
            <w:vAlign w:val="center"/>
          </w:tcPr>
          <w:p>
            <w:pPr>
              <w:spacing w:line="276" w:lineRule="auto" w:before="0" w:after="0"/>
            </w:pPr>
            <w:r/>
            <w:r>
              <w:rPr>
                <w:rFonts w:ascii="Figtree" w:hAnsi="Figtree"/>
                <w:b w:val="0"/>
                <w:i w:val="0"/>
                <w:sz w:val="20"/>
              </w:rPr>
              <w:t>Supply Cap</w:t>
            </w:r>
          </w:p>
        </w:tc>
        <w:tc>
          <w:tcPr>
            <w:tcW w:type="dxa" w:w="2436"/>
            <w:vAlign w:val="center"/>
          </w:tcPr>
          <w:p>
            <w:pPr>
              <w:spacing w:line="276" w:lineRule="auto" w:before="0" w:after="0"/>
            </w:pPr>
            <w:r/>
            <w:r>
              <w:rPr>
                <w:rFonts w:ascii="Figtree" w:hAnsi="Figtree"/>
                <w:b w:val="0"/>
                <w:i w:val="0"/>
                <w:sz w:val="20"/>
              </w:rPr>
              <w:t>Issuance/Supply</w:t>
            </w:r>
          </w:p>
        </w:tc>
        <w:tc>
          <w:tcPr>
            <w:tcW w:type="dxa" w:w="2436"/>
            <w:vAlign w:val="center"/>
          </w:tcPr>
          <w:p>
            <w:pPr>
              <w:spacing w:line="276" w:lineRule="auto" w:before="0" w:after="0"/>
            </w:pPr>
            <w:r/>
            <w:r>
              <w:rPr>
                <w:rFonts w:ascii="Figtree" w:hAnsi="Figtree"/>
                <w:b w:val="0"/>
                <w:i w:val="0"/>
                <w:sz w:val="20"/>
              </w:rPr>
              <w:t>Hard supply limit</w:t>
            </w:r>
          </w:p>
        </w:tc>
      </w:tr>
      <w:tr>
        <w:trPr>
          <w:trHeight w:val="488" w:hRule="atLeast"/>
        </w:trPr>
        <w:tc>
          <w:tcPr>
            <w:tcW w:type="dxa" w:w="2436"/>
            <w:vAlign w:val="center"/>
          </w:tcPr>
          <w:p>
            <w:pPr>
              <w:spacing w:line="276" w:lineRule="auto" w:before="0" w:after="0"/>
            </w:pPr>
            <w:r/>
            <w:r>
              <w:rPr>
                <w:rFonts w:ascii="Figtree" w:hAnsi="Figtree"/>
                <w:b w:val="0"/>
                <w:i w:val="0"/>
                <w:sz w:val="20"/>
              </w:rPr>
              <w:t>11</w:t>
            </w:r>
          </w:p>
        </w:tc>
        <w:tc>
          <w:tcPr>
            <w:tcW w:type="dxa" w:w="2436"/>
            <w:vAlign w:val="center"/>
          </w:tcPr>
          <w:p>
            <w:pPr>
              <w:spacing w:line="276" w:lineRule="auto" w:before="0" w:after="0"/>
            </w:pPr>
            <w:r/>
            <w:r>
              <w:rPr>
                <w:rFonts w:ascii="Figtree" w:hAnsi="Figtree"/>
                <w:b w:val="0"/>
                <w:i w:val="0"/>
                <w:sz w:val="20"/>
              </w:rPr>
              <w:t>Minting Restrictions</w:t>
            </w:r>
          </w:p>
        </w:tc>
        <w:tc>
          <w:tcPr>
            <w:tcW w:type="dxa" w:w="2436"/>
            <w:vAlign w:val="center"/>
          </w:tcPr>
          <w:p>
            <w:pPr>
              <w:spacing w:line="276" w:lineRule="auto" w:before="0" w:after="0"/>
            </w:pPr>
            <w:r/>
            <w:r>
              <w:rPr>
                <w:rFonts w:ascii="Figtree" w:hAnsi="Figtree"/>
                <w:b w:val="0"/>
                <w:i w:val="0"/>
                <w:sz w:val="20"/>
              </w:rPr>
              <w:t>Issuance/Supply</w:t>
            </w:r>
          </w:p>
        </w:tc>
        <w:tc>
          <w:tcPr>
            <w:tcW w:type="dxa" w:w="2436"/>
            <w:vAlign w:val="center"/>
          </w:tcPr>
          <w:p>
            <w:pPr>
              <w:spacing w:line="276" w:lineRule="auto" w:before="0" w:after="0"/>
            </w:pPr>
            <w:r/>
            <w:r>
              <w:rPr>
                <w:rFonts w:ascii="Figtree" w:hAnsi="Figtree"/>
                <w:b w:val="0"/>
                <w:i w:val="0"/>
                <w:sz w:val="20"/>
              </w:rPr>
              <w:t>Controlled minting</w:t>
            </w:r>
          </w:p>
        </w:tc>
      </w:tr>
      <w:tr>
        <w:trPr>
          <w:trHeight w:val="488" w:hRule="atLeast"/>
        </w:trPr>
        <w:tc>
          <w:tcPr>
            <w:tcW w:type="dxa" w:w="2436"/>
            <w:vAlign w:val="center"/>
          </w:tcPr>
          <w:p>
            <w:pPr>
              <w:spacing w:line="276" w:lineRule="auto" w:before="0" w:after="0"/>
            </w:pPr>
            <w:r/>
            <w:r>
              <w:rPr>
                <w:rFonts w:ascii="Figtree" w:hAnsi="Figtree"/>
                <w:b w:val="0"/>
                <w:i w:val="0"/>
                <w:sz w:val="20"/>
              </w:rPr>
              <w:t>12</w:t>
            </w:r>
          </w:p>
        </w:tc>
        <w:tc>
          <w:tcPr>
            <w:tcW w:type="dxa" w:w="2436"/>
            <w:vAlign w:val="center"/>
          </w:tcPr>
          <w:p>
            <w:pPr>
              <w:spacing w:line="276" w:lineRule="auto" w:before="0" w:after="0"/>
            </w:pPr>
            <w:r/>
            <w:r>
              <w:rPr>
                <w:rFonts w:ascii="Figtree" w:hAnsi="Figtree"/>
                <w:b w:val="0"/>
                <w:i w:val="0"/>
                <w:sz w:val="20"/>
              </w:rPr>
              <w:t>Capped Supply</w:t>
            </w:r>
          </w:p>
        </w:tc>
        <w:tc>
          <w:tcPr>
            <w:tcW w:type="dxa" w:w="2436"/>
            <w:vAlign w:val="center"/>
          </w:tcPr>
          <w:p>
            <w:pPr>
              <w:spacing w:line="276" w:lineRule="auto" w:before="0" w:after="0"/>
            </w:pPr>
            <w:r/>
            <w:r>
              <w:rPr>
                <w:rFonts w:ascii="Figtree" w:hAnsi="Figtree"/>
                <w:b w:val="0"/>
                <w:i w:val="0"/>
                <w:sz w:val="20"/>
              </w:rPr>
              <w:t>Issuance/Supply</w:t>
            </w:r>
          </w:p>
        </w:tc>
        <w:tc>
          <w:tcPr>
            <w:tcW w:type="dxa" w:w="2436"/>
            <w:vAlign w:val="center"/>
          </w:tcPr>
          <w:p>
            <w:pPr>
              <w:spacing w:line="276" w:lineRule="auto" w:before="0" w:after="0"/>
            </w:pPr>
            <w:r/>
            <w:r>
              <w:rPr>
                <w:rFonts w:ascii="Figtree" w:hAnsi="Figtree"/>
                <w:b w:val="0"/>
                <w:i w:val="0"/>
                <w:sz w:val="20"/>
              </w:rPr>
              <w:t>Dynamic supply management</w:t>
            </w:r>
          </w:p>
        </w:tc>
      </w:tr>
      <w:tr>
        <w:trPr>
          <w:trHeight w:val="488" w:hRule="atLeast"/>
        </w:trPr>
        <w:tc>
          <w:tcPr>
            <w:tcW w:type="dxa" w:w="2436"/>
            <w:vAlign w:val="center"/>
          </w:tcPr>
          <w:p>
            <w:pPr>
              <w:spacing w:line="276" w:lineRule="auto" w:before="0" w:after="0"/>
            </w:pPr>
            <w:r/>
            <w:r>
              <w:rPr>
                <w:rFonts w:ascii="Figtree" w:hAnsi="Figtree"/>
                <w:b w:val="0"/>
                <w:i w:val="0"/>
                <w:sz w:val="20"/>
              </w:rPr>
              <w:t>13</w:t>
            </w:r>
          </w:p>
        </w:tc>
        <w:tc>
          <w:tcPr>
            <w:tcW w:type="dxa" w:w="2436"/>
            <w:vAlign w:val="center"/>
          </w:tcPr>
          <w:p>
            <w:pPr>
              <w:spacing w:line="276" w:lineRule="auto" w:before="0" w:after="0"/>
            </w:pPr>
            <w:r/>
            <w:r>
              <w:rPr>
                <w:rFonts w:ascii="Figtree" w:hAnsi="Figtree"/>
                <w:b w:val="0"/>
                <w:i w:val="0"/>
                <w:sz w:val="20"/>
              </w:rPr>
              <w:t>Holding Period</w:t>
            </w:r>
          </w:p>
        </w:tc>
        <w:tc>
          <w:tcPr>
            <w:tcW w:type="dxa" w:w="2436"/>
            <w:vAlign w:val="center"/>
          </w:tcPr>
          <w:p>
            <w:pPr>
              <w:spacing w:line="276" w:lineRule="auto" w:before="0" w:after="0"/>
            </w:pPr>
            <w:r/>
            <w:r>
              <w:rPr>
                <w:rFonts w:ascii="Figtree" w:hAnsi="Figtree"/>
                <w:b w:val="0"/>
                <w:i w:val="0"/>
                <w:sz w:val="20"/>
              </w:rPr>
              <w:t>Time-Based</w:t>
            </w:r>
          </w:p>
        </w:tc>
        <w:tc>
          <w:tcPr>
            <w:tcW w:type="dxa" w:w="2436"/>
            <w:vAlign w:val="center"/>
          </w:tcPr>
          <w:p>
            <w:pPr>
              <w:spacing w:line="276" w:lineRule="auto" w:before="0" w:after="0"/>
            </w:pPr>
            <w:r/>
            <w:r>
              <w:rPr>
                <w:rFonts w:ascii="Figtree" w:hAnsi="Figtree"/>
                <w:b w:val="0"/>
                <w:i w:val="0"/>
                <w:sz w:val="20"/>
              </w:rPr>
              <w:t>Minimum hold duration</w:t>
            </w:r>
          </w:p>
        </w:tc>
      </w:tr>
      <w:tr>
        <w:trPr>
          <w:trHeight w:val="488" w:hRule="atLeast"/>
        </w:trPr>
        <w:tc>
          <w:tcPr>
            <w:tcW w:type="dxa" w:w="2436"/>
            <w:vAlign w:val="center"/>
          </w:tcPr>
          <w:p>
            <w:pPr>
              <w:spacing w:line="276" w:lineRule="auto" w:before="0" w:after="0"/>
            </w:pPr>
            <w:r/>
            <w:r>
              <w:rPr>
                <w:rFonts w:ascii="Figtree" w:hAnsi="Figtree"/>
                <w:b w:val="0"/>
                <w:i w:val="0"/>
                <w:sz w:val="20"/>
              </w:rPr>
              <w:t>14</w:t>
            </w:r>
          </w:p>
        </w:tc>
        <w:tc>
          <w:tcPr>
            <w:tcW w:type="dxa" w:w="2436"/>
            <w:vAlign w:val="center"/>
          </w:tcPr>
          <w:p>
            <w:pPr>
              <w:spacing w:line="276" w:lineRule="auto" w:before="0" w:after="0"/>
            </w:pPr>
            <w:r/>
            <w:r>
              <w:rPr>
                <w:rFonts w:ascii="Figtree" w:hAnsi="Figtree"/>
                <w:b w:val="0"/>
                <w:i w:val="0"/>
                <w:sz w:val="20"/>
              </w:rPr>
              <w:t>Lock-Up Windows</w:t>
            </w:r>
          </w:p>
        </w:tc>
        <w:tc>
          <w:tcPr>
            <w:tcW w:type="dxa" w:w="2436"/>
            <w:vAlign w:val="center"/>
          </w:tcPr>
          <w:p>
            <w:pPr>
              <w:spacing w:line="276" w:lineRule="auto" w:before="0" w:after="0"/>
            </w:pPr>
            <w:r/>
            <w:r>
              <w:rPr>
                <w:rFonts w:ascii="Figtree" w:hAnsi="Figtree"/>
                <w:b w:val="0"/>
                <w:i w:val="0"/>
                <w:sz w:val="20"/>
              </w:rPr>
              <w:t>Time-Based</w:t>
            </w:r>
          </w:p>
        </w:tc>
        <w:tc>
          <w:tcPr>
            <w:tcW w:type="dxa" w:w="2436"/>
            <w:vAlign w:val="center"/>
          </w:tcPr>
          <w:p>
            <w:pPr>
              <w:spacing w:line="276" w:lineRule="auto" w:before="0" w:after="0"/>
            </w:pPr>
            <w:r/>
            <w:r>
              <w:rPr>
                <w:rFonts w:ascii="Figtree" w:hAnsi="Figtree"/>
                <w:b w:val="0"/>
                <w:i w:val="0"/>
                <w:sz w:val="20"/>
              </w:rPr>
              <w:t>Period-restricted transfers</w:t>
            </w:r>
          </w:p>
        </w:tc>
      </w:tr>
      <w:tr>
        <w:trPr>
          <w:trHeight w:val="488" w:hRule="atLeast"/>
        </w:trPr>
        <w:tc>
          <w:tcPr>
            <w:tcW w:type="dxa" w:w="2436"/>
            <w:vAlign w:val="center"/>
          </w:tcPr>
          <w:p>
            <w:pPr>
              <w:spacing w:line="276" w:lineRule="auto" w:before="0" w:after="0"/>
            </w:pPr>
            <w:r/>
            <w:r>
              <w:rPr>
                <w:rFonts w:ascii="Figtree" w:hAnsi="Figtree"/>
                <w:b w:val="0"/>
                <w:i w:val="0"/>
                <w:sz w:val="20"/>
              </w:rPr>
              <w:t>15</w:t>
            </w:r>
          </w:p>
        </w:tc>
        <w:tc>
          <w:tcPr>
            <w:tcW w:type="dxa" w:w="2436"/>
            <w:vAlign w:val="center"/>
          </w:tcPr>
          <w:p>
            <w:pPr>
              <w:spacing w:line="276" w:lineRule="auto" w:before="0" w:after="0"/>
            </w:pPr>
            <w:r/>
            <w:r>
              <w:rPr>
                <w:rFonts w:ascii="Figtree" w:hAnsi="Figtree"/>
                <w:b w:val="0"/>
                <w:i w:val="0"/>
                <w:sz w:val="20"/>
              </w:rPr>
              <w:t>Time-Restricted Trading</w:t>
            </w:r>
          </w:p>
        </w:tc>
        <w:tc>
          <w:tcPr>
            <w:tcW w:type="dxa" w:w="2436"/>
            <w:vAlign w:val="center"/>
          </w:tcPr>
          <w:p>
            <w:pPr>
              <w:spacing w:line="276" w:lineRule="auto" w:before="0" w:after="0"/>
            </w:pPr>
            <w:r/>
            <w:r>
              <w:rPr>
                <w:rFonts w:ascii="Figtree" w:hAnsi="Figtree"/>
                <w:b w:val="0"/>
                <w:i w:val="0"/>
                <w:sz w:val="20"/>
              </w:rPr>
              <w:t>Time-Based</w:t>
            </w:r>
          </w:p>
        </w:tc>
        <w:tc>
          <w:tcPr>
            <w:tcW w:type="dxa" w:w="2436"/>
            <w:vAlign w:val="center"/>
          </w:tcPr>
          <w:p>
            <w:pPr>
              <w:spacing w:line="276" w:lineRule="auto" w:before="0" w:after="0"/>
            </w:pPr>
            <w:r/>
            <w:r>
              <w:rPr>
                <w:rFonts w:ascii="Figtree" w:hAnsi="Figtree"/>
                <w:b w:val="0"/>
                <w:i w:val="0"/>
                <w:sz w:val="20"/>
              </w:rPr>
              <w:t>Trading window enforcement</w:t>
            </w:r>
          </w:p>
        </w:tc>
      </w:tr>
      <w:tr>
        <w:trPr>
          <w:trHeight w:val="488" w:hRule="atLeast"/>
        </w:trPr>
        <w:tc>
          <w:tcPr>
            <w:tcW w:type="dxa" w:w="2436"/>
            <w:vAlign w:val="center"/>
          </w:tcPr>
          <w:p>
            <w:pPr>
              <w:spacing w:line="276" w:lineRule="auto" w:before="0" w:after="0"/>
            </w:pPr>
            <w:r/>
            <w:r>
              <w:rPr>
                <w:rFonts w:ascii="Figtree" w:hAnsi="Figtree"/>
                <w:b w:val="0"/>
                <w:i w:val="0"/>
                <w:sz w:val="20"/>
              </w:rPr>
              <w:t>16</w:t>
            </w:r>
          </w:p>
        </w:tc>
        <w:tc>
          <w:tcPr>
            <w:tcW w:type="dxa" w:w="2436"/>
            <w:vAlign w:val="center"/>
          </w:tcPr>
          <w:p>
            <w:pPr>
              <w:spacing w:line="276" w:lineRule="auto" w:before="0" w:after="0"/>
            </w:pPr>
            <w:r/>
            <w:r>
              <w:rPr>
                <w:rFonts w:ascii="Figtree" w:hAnsi="Figtree"/>
                <w:b w:val="0"/>
                <w:i w:val="0"/>
                <w:sz w:val="20"/>
              </w:rPr>
              <w:t>Collateral Backing</w:t>
            </w:r>
          </w:p>
        </w:tc>
        <w:tc>
          <w:tcPr>
            <w:tcW w:type="dxa" w:w="2436"/>
            <w:vAlign w:val="center"/>
          </w:tcPr>
          <w:p>
            <w:pPr>
              <w:spacing w:line="276" w:lineRule="auto" w:before="0" w:after="0"/>
            </w:pPr>
            <w:r/>
            <w:r>
              <w:rPr>
                <w:rFonts w:ascii="Figtree" w:hAnsi="Figtree"/>
                <w:b w:val="0"/>
                <w:i w:val="0"/>
                <w:sz w:val="20"/>
              </w:rPr>
              <w:t>Settlement/Collateral</w:t>
            </w:r>
          </w:p>
        </w:tc>
        <w:tc>
          <w:tcPr>
            <w:tcW w:type="dxa" w:w="2436"/>
            <w:vAlign w:val="center"/>
          </w:tcPr>
          <w:p>
            <w:pPr>
              <w:spacing w:line="276" w:lineRule="auto" w:before="0" w:after="0"/>
            </w:pPr>
            <w:r/>
            <w:r>
              <w:rPr>
                <w:rFonts w:ascii="Figtree" w:hAnsi="Figtree"/>
                <w:b w:val="0"/>
                <w:i w:val="0"/>
                <w:sz w:val="20"/>
              </w:rPr>
              <w:t>Reserve verification</w:t>
            </w:r>
          </w:p>
        </w:tc>
      </w:tr>
      <w:tr>
        <w:trPr>
          <w:trHeight w:val="488" w:hRule="atLeast"/>
        </w:trPr>
        <w:tc>
          <w:tcPr>
            <w:tcW w:type="dxa" w:w="2436"/>
            <w:vAlign w:val="center"/>
          </w:tcPr>
          <w:p>
            <w:pPr>
              <w:spacing w:line="276" w:lineRule="auto" w:before="0" w:after="0"/>
            </w:pPr>
            <w:r/>
            <w:r>
              <w:rPr>
                <w:rFonts w:ascii="Figtree" w:hAnsi="Figtree"/>
                <w:b w:val="0"/>
                <w:i w:val="0"/>
                <w:sz w:val="20"/>
              </w:rPr>
              <w:t>17</w:t>
            </w:r>
          </w:p>
        </w:tc>
        <w:tc>
          <w:tcPr>
            <w:tcW w:type="dxa" w:w="2436"/>
            <w:vAlign w:val="center"/>
          </w:tcPr>
          <w:p>
            <w:pPr>
              <w:spacing w:line="276" w:lineRule="auto" w:before="0" w:after="0"/>
            </w:pPr>
            <w:r/>
            <w:r>
              <w:rPr>
                <w:rFonts w:ascii="Figtree" w:hAnsi="Figtree"/>
                <w:b w:val="0"/>
                <w:i w:val="0"/>
                <w:sz w:val="20"/>
              </w:rPr>
              <w:t>Settlement Conditions</w:t>
            </w:r>
          </w:p>
        </w:tc>
        <w:tc>
          <w:tcPr>
            <w:tcW w:type="dxa" w:w="2436"/>
            <w:vAlign w:val="center"/>
          </w:tcPr>
          <w:p>
            <w:pPr>
              <w:spacing w:line="276" w:lineRule="auto" w:before="0" w:after="0"/>
            </w:pPr>
            <w:r/>
            <w:r>
              <w:rPr>
                <w:rFonts w:ascii="Figtree" w:hAnsi="Figtree"/>
                <w:b w:val="0"/>
                <w:i w:val="0"/>
                <w:sz w:val="20"/>
              </w:rPr>
              <w:t>Settlement/Collateral</w:t>
            </w:r>
          </w:p>
        </w:tc>
        <w:tc>
          <w:tcPr>
            <w:tcW w:type="dxa" w:w="2436"/>
            <w:vAlign w:val="center"/>
          </w:tcPr>
          <w:p>
            <w:pPr>
              <w:spacing w:line="276" w:lineRule="auto" w:before="0" w:after="0"/>
            </w:pPr>
            <w:r/>
            <w:r>
              <w:rPr>
                <w:rFonts w:ascii="Figtree" w:hAnsi="Figtree"/>
                <w:b w:val="0"/>
                <w:i w:val="0"/>
                <w:sz w:val="20"/>
              </w:rPr>
              <w:t>Pre-settlement requirements</w:t>
            </w:r>
          </w:p>
        </w:tc>
      </w:tr>
      <w:tr>
        <w:trPr>
          <w:trHeight w:val="488" w:hRule="atLeast"/>
        </w:trPr>
        <w:tc>
          <w:tcPr>
            <w:tcW w:type="dxa" w:w="2436"/>
            <w:vAlign w:val="center"/>
          </w:tcPr>
          <w:p>
            <w:pPr>
              <w:spacing w:line="276" w:lineRule="auto" w:before="0" w:after="0"/>
            </w:pPr>
            <w:r/>
            <w:r>
              <w:rPr>
                <w:rFonts w:ascii="Figtree" w:hAnsi="Figtree"/>
                <w:b w:val="0"/>
                <w:i w:val="0"/>
                <w:sz w:val="20"/>
              </w:rPr>
              <w:t>18</w:t>
            </w:r>
          </w:p>
        </w:tc>
        <w:tc>
          <w:tcPr>
            <w:tcW w:type="dxa" w:w="2436"/>
            <w:vAlign w:val="center"/>
          </w:tcPr>
          <w:p>
            <w:pPr>
              <w:spacing w:line="276" w:lineRule="auto" w:before="0" w:after="0"/>
            </w:pPr>
            <w:r/>
            <w:r>
              <w:rPr>
                <w:rFonts w:ascii="Figtree" w:hAnsi="Figtree"/>
                <w:b w:val="0"/>
                <w:i w:val="0"/>
                <w:sz w:val="20"/>
              </w:rPr>
              <w:t>Transaction Fee</w:t>
            </w:r>
          </w:p>
        </w:tc>
        <w:tc>
          <w:tcPr>
            <w:tcW w:type="dxa" w:w="2436"/>
            <w:vAlign w:val="center"/>
          </w:tcPr>
          <w:p>
            <w:pPr>
              <w:spacing w:line="276" w:lineRule="auto" w:before="0" w:after="0"/>
            </w:pPr>
            <w:r/>
            <w:r>
              <w:rPr>
                <w:rFonts w:ascii="Figtree" w:hAnsi="Figtree"/>
                <w:b w:val="0"/>
                <w:i w:val="0"/>
                <w:sz w:val="20"/>
              </w:rPr>
              <w:t>Settlement/Collateral</w:t>
            </w:r>
          </w:p>
        </w:tc>
        <w:tc>
          <w:tcPr>
            <w:tcW w:type="dxa" w:w="2436"/>
            <w:vAlign w:val="center"/>
          </w:tcPr>
          <w:p>
            <w:pPr>
              <w:spacing w:line="276" w:lineRule="auto" w:before="0" w:after="0"/>
            </w:pPr>
            <w:r/>
            <w:r>
              <w:rPr>
                <w:rFonts w:ascii="Figtree" w:hAnsi="Figtree"/>
                <w:b w:val="0"/>
                <w:i w:val="0"/>
                <w:sz w:val="20"/>
              </w:rPr>
              <w:t>Fee collection enforcement</w:t>
            </w:r>
          </w:p>
        </w:tc>
      </w:tr>
    </w:tbl>
    <w:p>
      <w:pPr>
        <w:spacing w:before="0" w:after="0" w:line="120" w:lineRule="exact"/>
      </w:pPr>
    </w:p>
    <w:p>
      <w:pPr>
        <w:pStyle w:val="H3"/>
        <w:numPr>
          <w:ilvl w:val="2"/>
          <w:numId w:val="1"/>
        </w:numPr>
      </w:pPr>
      <w:r>
        <w:t>Appendix C: Asset Template Capabilities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74"/>
        <w:gridCol w:w="710"/>
        <w:gridCol w:w="1231"/>
        <w:gridCol w:w="791"/>
        <w:gridCol w:w="967"/>
        <w:gridCol w:w="710"/>
        <w:gridCol w:w="967"/>
        <w:gridCol w:w="1319"/>
      </w:tblGrid>
      <w:tr>
        <w:trPr>
          <w:trHeight w:val="488" w:hRule="atLeast"/>
        </w:trPr>
        <w:tc>
          <w:tcPr>
            <w:tcW w:type="dxa" w:w="1218"/>
            <w:vAlign w:val="center"/>
            <w:shd w:fill="E8E0F0" w:val="clear"/>
          </w:tcPr>
          <w:p>
            <w:pPr>
              <w:spacing w:line="276" w:lineRule="auto" w:before="0" w:after="0"/>
              <w:jc w:val="left"/>
            </w:pPr>
            <w:r>
              <w:rPr>
                <w:b/>
                <w:color w:val="2D1A8C"/>
              </w:rPr>
            </w:r>
            <w:r>
              <w:rPr>
                <w:rFonts w:ascii="Figtree" w:hAnsi="Figtree"/>
                <w:b/>
                <w:i w:val="0"/>
                <w:color w:val="2D1A8C"/>
                <w:sz w:val="20"/>
              </w:rPr>
              <w:t>Capability</w:t>
            </w:r>
          </w:p>
        </w:tc>
        <w:tc>
          <w:tcPr>
            <w:tcW w:type="dxa" w:w="1218"/>
            <w:vAlign w:val="center"/>
            <w:shd w:fill="E8E0F0" w:val="clear"/>
          </w:tcPr>
          <w:p>
            <w:pPr>
              <w:spacing w:line="276" w:lineRule="auto" w:before="0" w:after="0"/>
              <w:jc w:val="center"/>
            </w:pPr>
            <w:r>
              <w:rPr>
                <w:b/>
                <w:color w:val="2D1A8C"/>
              </w:rPr>
            </w:r>
            <w:r>
              <w:rPr>
                <w:rFonts w:ascii="Figtree" w:hAnsi="Figtree"/>
                <w:b/>
                <w:i w:val="0"/>
                <w:color w:val="2D1A8C"/>
                <w:sz w:val="20"/>
              </w:rPr>
              <w:t>Bonds</w:t>
            </w:r>
          </w:p>
        </w:tc>
        <w:tc>
          <w:tcPr>
            <w:tcW w:type="dxa" w:w="1218"/>
            <w:vAlign w:val="center"/>
            <w:shd w:fill="E8E0F0" w:val="clear"/>
          </w:tcPr>
          <w:p>
            <w:pPr>
              <w:spacing w:line="276" w:lineRule="auto" w:before="0" w:after="0"/>
              <w:jc w:val="center"/>
            </w:pPr>
            <w:r>
              <w:rPr>
                <w:b/>
                <w:color w:val="2D1A8C"/>
              </w:rPr>
            </w:r>
            <w:r>
              <w:rPr>
                <w:rFonts w:ascii="Figtree" w:hAnsi="Figtree"/>
                <w:b/>
                <w:i w:val="0"/>
                <w:color w:val="2D1A8C"/>
                <w:sz w:val="20"/>
              </w:rPr>
              <w:t>Equity</w:t>
            </w:r>
          </w:p>
        </w:tc>
        <w:tc>
          <w:tcPr>
            <w:tcW w:type="dxa" w:w="1218"/>
            <w:vAlign w:val="center"/>
            <w:shd w:fill="E8E0F0" w:val="clear"/>
          </w:tcPr>
          <w:p>
            <w:pPr>
              <w:spacing w:line="276" w:lineRule="auto" w:before="0" w:after="0"/>
              <w:jc w:val="center"/>
            </w:pPr>
            <w:r>
              <w:rPr>
                <w:b/>
                <w:color w:val="2D1A8C"/>
              </w:rPr>
            </w:r>
            <w:r>
              <w:rPr>
                <w:rFonts w:ascii="Figtree" w:hAnsi="Figtree"/>
                <w:b/>
                <w:i w:val="0"/>
                <w:color w:val="2D1A8C"/>
                <w:sz w:val="20"/>
              </w:rPr>
              <w:t>Funds</w:t>
            </w:r>
          </w:p>
        </w:tc>
        <w:tc>
          <w:tcPr>
            <w:tcW w:type="dxa" w:w="1218"/>
            <w:vAlign w:val="center"/>
            <w:shd w:fill="E8E0F0" w:val="clear"/>
          </w:tcPr>
          <w:p>
            <w:pPr>
              <w:spacing w:line="276" w:lineRule="auto" w:before="0" w:after="0"/>
              <w:jc w:val="center"/>
            </w:pPr>
            <w:r>
              <w:rPr>
                <w:b/>
                <w:color w:val="2D1A8C"/>
              </w:rPr>
            </w:r>
            <w:r>
              <w:rPr>
                <w:rFonts w:ascii="Figtree" w:hAnsi="Figtree"/>
                <w:b/>
                <w:i w:val="0"/>
                <w:color w:val="2D1A8C"/>
                <w:sz w:val="20"/>
              </w:rPr>
              <w:t>Stablecoins</w:t>
            </w:r>
          </w:p>
        </w:tc>
        <w:tc>
          <w:tcPr>
            <w:tcW w:type="dxa" w:w="1218"/>
            <w:vAlign w:val="center"/>
            <w:shd w:fill="E8E0F0" w:val="clear"/>
          </w:tcPr>
          <w:p>
            <w:pPr>
              <w:spacing w:line="276" w:lineRule="auto" w:before="0" w:after="0"/>
              <w:jc w:val="center"/>
            </w:pPr>
            <w:r>
              <w:rPr>
                <w:b/>
                <w:color w:val="2D1A8C"/>
              </w:rPr>
            </w:r>
            <w:r>
              <w:rPr>
                <w:rFonts w:ascii="Figtree" w:hAnsi="Figtree"/>
                <w:b/>
                <w:i w:val="0"/>
                <w:color w:val="2D1A8C"/>
                <w:sz w:val="20"/>
              </w:rPr>
              <w:t>Deposits</w:t>
            </w:r>
          </w:p>
        </w:tc>
        <w:tc>
          <w:tcPr>
            <w:tcW w:type="dxa" w:w="1218"/>
            <w:vAlign w:val="center"/>
            <w:shd w:fill="E8E0F0" w:val="clear"/>
          </w:tcPr>
          <w:p>
            <w:pPr>
              <w:spacing w:line="276" w:lineRule="auto" w:before="0" w:after="0"/>
              <w:jc w:val="center"/>
            </w:pPr>
            <w:r>
              <w:rPr>
                <w:b/>
                <w:color w:val="2D1A8C"/>
              </w:rPr>
            </w:r>
            <w:r>
              <w:rPr>
                <w:rFonts w:ascii="Figtree" w:hAnsi="Figtree"/>
                <w:b/>
                <w:i w:val="0"/>
                <w:color w:val="2D1A8C"/>
                <w:sz w:val="20"/>
              </w:rPr>
              <w:t>Real Estate</w:t>
            </w:r>
          </w:p>
        </w:tc>
        <w:tc>
          <w:tcPr>
            <w:tcW w:type="dxa" w:w="1218"/>
            <w:vAlign w:val="center"/>
            <w:shd w:fill="E8E0F0" w:val="clear"/>
          </w:tcPr>
          <w:p>
            <w:pPr>
              <w:spacing w:line="276" w:lineRule="auto" w:before="0" w:after="0"/>
              <w:jc w:val="center"/>
            </w:pPr>
            <w:r>
              <w:rPr>
                <w:b/>
                <w:color w:val="2D1A8C"/>
              </w:rPr>
            </w:r>
            <w:r>
              <w:rPr>
                <w:rFonts w:ascii="Figtree" w:hAnsi="Figtree"/>
                <w:b/>
                <w:i w:val="0"/>
                <w:color w:val="2D1A8C"/>
                <w:sz w:val="20"/>
              </w:rPr>
              <w:t>Precious Metals</w:t>
            </w:r>
          </w:p>
        </w:tc>
      </w:tr>
      <w:tr>
        <w:trPr>
          <w:trHeight w:val="488" w:hRule="atLeast"/>
        </w:trPr>
        <w:tc>
          <w:tcPr>
            <w:tcW w:type="dxa" w:w="1218"/>
            <w:vAlign w:val="center"/>
          </w:tcPr>
          <w:p>
            <w:pPr>
              <w:spacing w:line="276" w:lineRule="auto" w:before="0" w:after="0"/>
            </w:pPr>
            <w:r/>
            <w:r>
              <w:rPr>
                <w:rFonts w:ascii="Figtree" w:hAnsi="Figtree"/>
                <w:b w:val="0"/>
                <w:i w:val="0"/>
                <w:sz w:val="20"/>
              </w:rPr>
              <w:t>Configurable terms</w:t>
            </w:r>
          </w:p>
        </w:tc>
        <w:tc>
          <w:tcPr>
            <w:tcW w:type="dxa" w:w="1218"/>
            <w:vAlign w:val="center"/>
          </w:tcPr>
          <w:p>
            <w:pPr>
              <w:spacing w:line="276" w:lineRule="auto" w:before="0" w:after="0"/>
            </w:pPr>
            <w:r/>
            <w:r>
              <w:rPr>
                <w:rFonts w:ascii="Figtree" w:hAnsi="Figtree"/>
                <w:b w:val="0"/>
                <w:i w:val="0"/>
                <w:sz w:val="20"/>
              </w:rPr>
              <w:t>Yes</w:t>
            </w:r>
          </w:p>
        </w:tc>
        <w:tc>
          <w:tcPr>
            <w:tcW w:type="dxa" w:w="1218"/>
            <w:vAlign w:val="center"/>
          </w:tcPr>
          <w:p>
            <w:pPr>
              <w:spacing w:line="276" w:lineRule="auto" w:before="0" w:after="0"/>
            </w:pPr>
            <w:r/>
            <w:r>
              <w:rPr>
                <w:rFonts w:ascii="Figtree" w:hAnsi="Figtree"/>
                <w:b w:val="0"/>
                <w:i w:val="0"/>
                <w:sz w:val="20"/>
              </w:rPr>
              <w:t>Yes</w:t>
            </w:r>
          </w:p>
        </w:tc>
        <w:tc>
          <w:tcPr>
            <w:tcW w:type="dxa" w:w="1218"/>
            <w:vAlign w:val="center"/>
          </w:tcPr>
          <w:p>
            <w:pPr>
              <w:spacing w:line="276" w:lineRule="auto" w:before="0" w:after="0"/>
            </w:pPr>
            <w:r/>
            <w:r>
              <w:rPr>
                <w:rFonts w:ascii="Figtree" w:hAnsi="Figtree"/>
                <w:b w:val="0"/>
                <w:i w:val="0"/>
                <w:sz w:val="20"/>
              </w:rPr>
              <w:t>Yes</w:t>
            </w:r>
          </w:p>
        </w:tc>
        <w:tc>
          <w:tcPr>
            <w:tcW w:type="dxa" w:w="1218"/>
            <w:vAlign w:val="center"/>
          </w:tcPr>
          <w:p>
            <w:pPr>
              <w:spacing w:line="276" w:lineRule="auto" w:before="0" w:after="0"/>
            </w:pPr>
            <w:r/>
            <w:r>
              <w:rPr>
                <w:rFonts w:ascii="Figtree" w:hAnsi="Figtree"/>
                <w:b w:val="0"/>
                <w:i w:val="0"/>
                <w:sz w:val="20"/>
              </w:rPr>
              <w:t>Yes</w:t>
            </w:r>
          </w:p>
        </w:tc>
        <w:tc>
          <w:tcPr>
            <w:tcW w:type="dxa" w:w="1218"/>
            <w:vAlign w:val="center"/>
          </w:tcPr>
          <w:p>
            <w:pPr>
              <w:spacing w:line="276" w:lineRule="auto" w:before="0" w:after="0"/>
            </w:pPr>
            <w:r/>
            <w:r>
              <w:rPr>
                <w:rFonts w:ascii="Figtree" w:hAnsi="Figtree"/>
                <w:b w:val="0"/>
                <w:i w:val="0"/>
                <w:sz w:val="20"/>
              </w:rPr>
              <w:t>Yes</w:t>
            </w:r>
          </w:p>
        </w:tc>
        <w:tc>
          <w:tcPr>
            <w:tcW w:type="dxa" w:w="1218"/>
            <w:vAlign w:val="center"/>
          </w:tcPr>
          <w:p>
            <w:pPr>
              <w:spacing w:line="276" w:lineRule="auto" w:before="0" w:after="0"/>
            </w:pPr>
            <w:r/>
            <w:r>
              <w:rPr>
                <w:rFonts w:ascii="Figtree" w:hAnsi="Figtree"/>
                <w:b w:val="0"/>
                <w:i w:val="0"/>
                <w:sz w:val="20"/>
              </w:rPr>
              <w:t>Yes</w:t>
            </w:r>
          </w:p>
        </w:tc>
        <w:tc>
          <w:tcPr>
            <w:tcW w:type="dxa" w:w="1218"/>
            <w:vAlign w:val="center"/>
          </w:tcPr>
          <w:p>
            <w:pPr>
              <w:spacing w:line="276" w:lineRule="auto" w:before="0" w:after="0"/>
            </w:pPr>
            <w:r/>
            <w:r>
              <w:rPr>
                <w:rFonts w:ascii="Figtree" w:hAnsi="Figtree"/>
                <w:b w:val="0"/>
                <w:i w:val="0"/>
                <w:sz w:val="20"/>
              </w:rPr>
              <w:t>Yes</w:t>
            </w:r>
          </w:p>
        </w:tc>
      </w:tr>
      <w:tr>
        <w:trPr>
          <w:trHeight w:val="488" w:hRule="atLeast"/>
        </w:trPr>
        <w:tc>
          <w:tcPr>
            <w:tcW w:type="dxa" w:w="1218"/>
            <w:vAlign w:val="center"/>
          </w:tcPr>
          <w:p>
            <w:pPr>
              <w:spacing w:line="276" w:lineRule="auto" w:before="0" w:after="0"/>
            </w:pPr>
            <w:r/>
            <w:r>
              <w:rPr>
                <w:rFonts w:ascii="Figtree" w:hAnsi="Figtree"/>
                <w:b w:val="0"/>
                <w:i w:val="0"/>
                <w:sz w:val="20"/>
              </w:rPr>
              <w:t>Compliance modules</w:t>
            </w:r>
          </w:p>
        </w:tc>
        <w:tc>
          <w:tcPr>
            <w:tcW w:type="dxa" w:w="1218"/>
            <w:vAlign w:val="center"/>
          </w:tcPr>
          <w:p>
            <w:pPr>
              <w:spacing w:line="276" w:lineRule="auto" w:before="0" w:after="0"/>
            </w:pPr>
            <w:r/>
            <w:r>
              <w:rPr>
                <w:rFonts w:ascii="Figtree" w:hAnsi="Figtree"/>
                <w:b w:val="0"/>
                <w:i w:val="0"/>
                <w:sz w:val="20"/>
              </w:rPr>
              <w:t>Yes</w:t>
            </w:r>
          </w:p>
        </w:tc>
        <w:tc>
          <w:tcPr>
            <w:tcW w:type="dxa" w:w="1218"/>
            <w:vAlign w:val="center"/>
          </w:tcPr>
          <w:p>
            <w:pPr>
              <w:spacing w:line="276" w:lineRule="auto" w:before="0" w:after="0"/>
            </w:pPr>
            <w:r/>
            <w:r>
              <w:rPr>
                <w:rFonts w:ascii="Figtree" w:hAnsi="Figtree"/>
                <w:b w:val="0"/>
                <w:i w:val="0"/>
                <w:sz w:val="20"/>
              </w:rPr>
              <w:t>Yes</w:t>
            </w:r>
          </w:p>
        </w:tc>
        <w:tc>
          <w:tcPr>
            <w:tcW w:type="dxa" w:w="1218"/>
            <w:vAlign w:val="center"/>
          </w:tcPr>
          <w:p>
            <w:pPr>
              <w:spacing w:line="276" w:lineRule="auto" w:before="0" w:after="0"/>
            </w:pPr>
            <w:r/>
            <w:r>
              <w:rPr>
                <w:rFonts w:ascii="Figtree" w:hAnsi="Figtree"/>
                <w:b w:val="0"/>
                <w:i w:val="0"/>
                <w:sz w:val="20"/>
              </w:rPr>
              <w:t>Yes</w:t>
            </w:r>
          </w:p>
        </w:tc>
        <w:tc>
          <w:tcPr>
            <w:tcW w:type="dxa" w:w="1218"/>
            <w:vAlign w:val="center"/>
          </w:tcPr>
          <w:p>
            <w:pPr>
              <w:spacing w:line="276" w:lineRule="auto" w:before="0" w:after="0"/>
            </w:pPr>
            <w:r/>
            <w:r>
              <w:rPr>
                <w:rFonts w:ascii="Figtree" w:hAnsi="Figtree"/>
                <w:b w:val="0"/>
                <w:i w:val="0"/>
                <w:sz w:val="20"/>
              </w:rPr>
              <w:t>Yes</w:t>
            </w:r>
          </w:p>
        </w:tc>
        <w:tc>
          <w:tcPr>
            <w:tcW w:type="dxa" w:w="1218"/>
            <w:vAlign w:val="center"/>
          </w:tcPr>
          <w:p>
            <w:pPr>
              <w:spacing w:line="276" w:lineRule="auto" w:before="0" w:after="0"/>
            </w:pPr>
            <w:r/>
            <w:r>
              <w:rPr>
                <w:rFonts w:ascii="Figtree" w:hAnsi="Figtree"/>
                <w:b w:val="0"/>
                <w:i w:val="0"/>
                <w:sz w:val="20"/>
              </w:rPr>
              <w:t>Yes</w:t>
            </w:r>
          </w:p>
        </w:tc>
        <w:tc>
          <w:tcPr>
            <w:tcW w:type="dxa" w:w="1218"/>
            <w:vAlign w:val="center"/>
          </w:tcPr>
          <w:p>
            <w:pPr>
              <w:spacing w:line="276" w:lineRule="auto" w:before="0" w:after="0"/>
            </w:pPr>
            <w:r/>
            <w:r>
              <w:rPr>
                <w:rFonts w:ascii="Figtree" w:hAnsi="Figtree"/>
                <w:b w:val="0"/>
                <w:i w:val="0"/>
                <w:sz w:val="20"/>
              </w:rPr>
              <w:t>Yes</w:t>
            </w:r>
          </w:p>
        </w:tc>
        <w:tc>
          <w:tcPr>
            <w:tcW w:type="dxa" w:w="1218"/>
            <w:vAlign w:val="center"/>
          </w:tcPr>
          <w:p>
            <w:pPr>
              <w:spacing w:line="276" w:lineRule="auto" w:before="0" w:after="0"/>
            </w:pPr>
            <w:r/>
            <w:r>
              <w:rPr>
                <w:rFonts w:ascii="Figtree" w:hAnsi="Figtree"/>
                <w:b w:val="0"/>
                <w:i w:val="0"/>
                <w:sz w:val="20"/>
              </w:rPr>
              <w:t>Yes</w:t>
            </w:r>
          </w:p>
        </w:tc>
      </w:tr>
      <w:tr>
        <w:trPr>
          <w:trHeight w:val="488" w:hRule="atLeast"/>
        </w:trPr>
        <w:tc>
          <w:tcPr>
            <w:tcW w:type="dxa" w:w="1218"/>
            <w:vAlign w:val="center"/>
          </w:tcPr>
          <w:p>
            <w:pPr>
              <w:spacing w:line="276" w:lineRule="auto" w:before="0" w:after="0"/>
            </w:pPr>
            <w:r/>
            <w:r>
              <w:rPr>
                <w:rFonts w:ascii="Figtree" w:hAnsi="Figtree"/>
                <w:b w:val="0"/>
                <w:i w:val="0"/>
                <w:sz w:val="20"/>
              </w:rPr>
              <w:t>Automated distributions</w:t>
            </w:r>
          </w:p>
        </w:tc>
        <w:tc>
          <w:tcPr>
            <w:tcW w:type="dxa" w:w="1218"/>
            <w:vAlign w:val="center"/>
          </w:tcPr>
          <w:p>
            <w:pPr>
              <w:spacing w:line="276" w:lineRule="auto" w:before="0" w:after="0"/>
            </w:pPr>
            <w:r/>
            <w:r>
              <w:rPr>
                <w:rFonts w:ascii="Figtree" w:hAnsi="Figtree"/>
                <w:b w:val="0"/>
                <w:i w:val="0"/>
                <w:sz w:val="20"/>
              </w:rPr>
              <w:t>Coupon</w:t>
            </w:r>
          </w:p>
        </w:tc>
        <w:tc>
          <w:tcPr>
            <w:tcW w:type="dxa" w:w="1218"/>
            <w:vAlign w:val="center"/>
          </w:tcPr>
          <w:p>
            <w:pPr>
              <w:spacing w:line="276" w:lineRule="auto" w:before="0" w:after="0"/>
            </w:pPr>
            <w:r/>
            <w:r>
              <w:rPr>
                <w:rFonts w:ascii="Figtree" w:hAnsi="Figtree"/>
                <w:b w:val="0"/>
                <w:i w:val="0"/>
                <w:sz w:val="20"/>
              </w:rPr>
              <w:t>Dividend</w:t>
            </w:r>
          </w:p>
        </w:tc>
        <w:tc>
          <w:tcPr>
            <w:tcW w:type="dxa" w:w="1218"/>
            <w:vAlign w:val="center"/>
          </w:tcPr>
          <w:p>
            <w:pPr>
              <w:spacing w:line="276" w:lineRule="auto" w:before="0" w:after="0"/>
            </w:pPr>
            <w:r/>
            <w:r>
              <w:rPr>
                <w:rFonts w:ascii="Figtree" w:hAnsi="Figtree"/>
                <w:b w:val="0"/>
                <w:i w:val="0"/>
                <w:sz w:val="20"/>
              </w:rPr>
              <w:t>NAV-based</w:t>
            </w:r>
          </w:p>
        </w:tc>
        <w:tc>
          <w:tcPr>
            <w:tcW w:type="dxa" w:w="1218"/>
            <w:vAlign w:val="center"/>
          </w:tcPr>
          <w:p>
            <w:pPr>
              <w:spacing w:line="276" w:lineRule="auto" w:before="0" w:after="0"/>
            </w:pPr>
            <w:r/>
            <w:r>
              <w:rPr>
                <w:rFonts w:ascii="Figtree" w:hAnsi="Figtree"/>
                <w:b w:val="0"/>
                <w:i w:val="0"/>
                <w:sz w:val="20"/>
              </w:rPr>
              <w:t>N/A</w:t>
            </w:r>
          </w:p>
        </w:tc>
        <w:tc>
          <w:tcPr>
            <w:tcW w:type="dxa" w:w="1218"/>
            <w:vAlign w:val="center"/>
          </w:tcPr>
          <w:p>
            <w:pPr>
              <w:spacing w:line="276" w:lineRule="auto" w:before="0" w:after="0"/>
            </w:pPr>
            <w:r/>
            <w:r>
              <w:rPr>
                <w:rFonts w:ascii="Figtree" w:hAnsi="Figtree"/>
                <w:b w:val="0"/>
                <w:i w:val="0"/>
                <w:sz w:val="20"/>
              </w:rPr>
              <w:t>Interest</w:t>
            </w:r>
          </w:p>
        </w:tc>
        <w:tc>
          <w:tcPr>
            <w:tcW w:type="dxa" w:w="1218"/>
            <w:vAlign w:val="center"/>
          </w:tcPr>
          <w:p>
            <w:pPr>
              <w:spacing w:line="276" w:lineRule="auto" w:before="0" w:after="0"/>
            </w:pPr>
            <w:r/>
            <w:r>
              <w:rPr>
                <w:rFonts w:ascii="Figtree" w:hAnsi="Figtree"/>
                <w:b w:val="0"/>
                <w:i w:val="0"/>
                <w:sz w:val="20"/>
              </w:rPr>
              <w:t>Rental</w:t>
            </w:r>
          </w:p>
        </w:tc>
        <w:tc>
          <w:tcPr>
            <w:tcW w:type="dxa" w:w="1218"/>
            <w:vAlign w:val="center"/>
          </w:tcPr>
          <w:p>
            <w:pPr>
              <w:spacing w:line="276" w:lineRule="auto" w:before="0" w:after="0"/>
            </w:pPr>
            <w:r/>
            <w:r>
              <w:rPr>
                <w:rFonts w:ascii="Figtree" w:hAnsi="Figtree"/>
                <w:b w:val="0"/>
                <w:i w:val="0"/>
                <w:sz w:val="20"/>
              </w:rPr>
              <w:t>N/A</w:t>
            </w:r>
          </w:p>
        </w:tc>
      </w:tr>
      <w:tr>
        <w:trPr>
          <w:trHeight w:val="488" w:hRule="atLeast"/>
        </w:trPr>
        <w:tc>
          <w:tcPr>
            <w:tcW w:type="dxa" w:w="1218"/>
            <w:vAlign w:val="center"/>
          </w:tcPr>
          <w:p>
            <w:pPr>
              <w:spacing w:line="276" w:lineRule="auto" w:before="0" w:after="0"/>
            </w:pPr>
            <w:r/>
            <w:r>
              <w:rPr>
                <w:rFonts w:ascii="Figtree" w:hAnsi="Figtree"/>
                <w:b w:val="0"/>
                <w:i w:val="0"/>
                <w:sz w:val="20"/>
              </w:rPr>
              <w:t>Maturity processing</w:t>
            </w:r>
          </w:p>
        </w:tc>
        <w:tc>
          <w:tcPr>
            <w:tcW w:type="dxa" w:w="1218"/>
            <w:vAlign w:val="center"/>
          </w:tcPr>
          <w:p>
            <w:pPr>
              <w:spacing w:line="276" w:lineRule="auto" w:before="0" w:after="0"/>
            </w:pPr>
            <w:r/>
            <w:r>
              <w:rPr>
                <w:rFonts w:ascii="Figtree" w:hAnsi="Figtree"/>
                <w:b w:val="0"/>
                <w:i w:val="0"/>
                <w:sz w:val="20"/>
              </w:rPr>
              <w:t>Yes</w:t>
            </w:r>
          </w:p>
        </w:tc>
        <w:tc>
          <w:tcPr>
            <w:tcW w:type="dxa" w:w="1218"/>
            <w:vAlign w:val="center"/>
          </w:tcPr>
          <w:p>
            <w:pPr>
              <w:spacing w:line="276" w:lineRule="auto" w:before="0" w:after="0"/>
            </w:pPr>
            <w:r/>
            <w:r>
              <w:rPr>
                <w:rFonts w:ascii="Figtree" w:hAnsi="Figtree"/>
                <w:b w:val="0"/>
                <w:i w:val="0"/>
                <w:sz w:val="20"/>
              </w:rPr>
              <w:t>N/A</w:t>
            </w:r>
          </w:p>
        </w:tc>
        <w:tc>
          <w:tcPr>
            <w:tcW w:type="dxa" w:w="1218"/>
            <w:vAlign w:val="center"/>
          </w:tcPr>
          <w:p>
            <w:pPr>
              <w:spacing w:line="276" w:lineRule="auto" w:before="0" w:after="0"/>
            </w:pPr>
            <w:r/>
            <w:r>
              <w:rPr>
                <w:rFonts w:ascii="Figtree" w:hAnsi="Figtree"/>
                <w:b w:val="0"/>
                <w:i w:val="0"/>
                <w:sz w:val="20"/>
              </w:rPr>
              <w:t>N/A</w:t>
            </w:r>
          </w:p>
        </w:tc>
        <w:tc>
          <w:tcPr>
            <w:tcW w:type="dxa" w:w="1218"/>
            <w:vAlign w:val="center"/>
          </w:tcPr>
          <w:p>
            <w:pPr>
              <w:spacing w:line="276" w:lineRule="auto" w:before="0" w:after="0"/>
            </w:pPr>
            <w:r/>
            <w:r>
              <w:rPr>
                <w:rFonts w:ascii="Figtree" w:hAnsi="Figtree"/>
                <w:b w:val="0"/>
                <w:i w:val="0"/>
                <w:sz w:val="20"/>
              </w:rPr>
              <w:t>N/A</w:t>
            </w:r>
          </w:p>
        </w:tc>
        <w:tc>
          <w:tcPr>
            <w:tcW w:type="dxa" w:w="1218"/>
            <w:vAlign w:val="center"/>
          </w:tcPr>
          <w:p>
            <w:pPr>
              <w:spacing w:line="276" w:lineRule="auto" w:before="0" w:after="0"/>
            </w:pPr>
            <w:r/>
            <w:r>
              <w:rPr>
                <w:rFonts w:ascii="Figtree" w:hAnsi="Figtree"/>
                <w:b w:val="0"/>
                <w:i w:val="0"/>
                <w:sz w:val="20"/>
              </w:rPr>
              <w:t>Yes</w:t>
            </w:r>
          </w:p>
        </w:tc>
        <w:tc>
          <w:tcPr>
            <w:tcW w:type="dxa" w:w="1218"/>
            <w:vAlign w:val="center"/>
          </w:tcPr>
          <w:p>
            <w:pPr>
              <w:spacing w:line="276" w:lineRule="auto" w:before="0" w:after="0"/>
            </w:pPr>
            <w:r/>
            <w:r>
              <w:rPr>
                <w:rFonts w:ascii="Figtree" w:hAnsi="Figtree"/>
                <w:b w:val="0"/>
                <w:i w:val="0"/>
                <w:sz w:val="20"/>
              </w:rPr>
              <w:t>N/A</w:t>
            </w:r>
          </w:p>
        </w:tc>
        <w:tc>
          <w:tcPr>
            <w:tcW w:type="dxa" w:w="1218"/>
            <w:vAlign w:val="center"/>
          </w:tcPr>
          <w:p>
            <w:pPr>
              <w:spacing w:line="276" w:lineRule="auto" w:before="0" w:after="0"/>
            </w:pPr>
            <w:r/>
            <w:r>
              <w:rPr>
                <w:rFonts w:ascii="Figtree" w:hAnsi="Figtree"/>
                <w:b w:val="0"/>
                <w:i w:val="0"/>
                <w:sz w:val="20"/>
              </w:rPr>
              <w:t>N/A</w:t>
            </w:r>
          </w:p>
        </w:tc>
      </w:tr>
      <w:tr>
        <w:trPr>
          <w:trHeight w:val="488" w:hRule="atLeast"/>
        </w:trPr>
        <w:tc>
          <w:tcPr>
            <w:tcW w:type="dxa" w:w="1218"/>
            <w:vAlign w:val="center"/>
          </w:tcPr>
          <w:p>
            <w:pPr>
              <w:spacing w:line="276" w:lineRule="auto" w:before="0" w:after="0"/>
            </w:pPr>
            <w:r/>
            <w:r>
              <w:rPr>
                <w:rFonts w:ascii="Figtree" w:hAnsi="Figtree"/>
                <w:b w:val="0"/>
                <w:i w:val="0"/>
                <w:sz w:val="20"/>
              </w:rPr>
              <w:t>Fractional units</w:t>
            </w:r>
          </w:p>
        </w:tc>
        <w:tc>
          <w:tcPr>
            <w:tcW w:type="dxa" w:w="1218"/>
            <w:vAlign w:val="center"/>
          </w:tcPr>
          <w:p>
            <w:pPr>
              <w:spacing w:line="276" w:lineRule="auto" w:before="0" w:after="0"/>
            </w:pPr>
            <w:r/>
            <w:r>
              <w:rPr>
                <w:rFonts w:ascii="Figtree" w:hAnsi="Figtree"/>
                <w:b w:val="0"/>
                <w:i w:val="0"/>
                <w:sz w:val="20"/>
              </w:rPr>
              <w:t>Yes</w:t>
            </w:r>
          </w:p>
        </w:tc>
        <w:tc>
          <w:tcPr>
            <w:tcW w:type="dxa" w:w="1218"/>
            <w:vAlign w:val="center"/>
          </w:tcPr>
          <w:p>
            <w:pPr>
              <w:spacing w:line="276" w:lineRule="auto" w:before="0" w:after="0"/>
            </w:pPr>
            <w:r/>
            <w:r>
              <w:rPr>
                <w:rFonts w:ascii="Figtree" w:hAnsi="Figtree"/>
                <w:b w:val="0"/>
                <w:i w:val="0"/>
                <w:sz w:val="20"/>
              </w:rPr>
              <w:t>Yes</w:t>
            </w:r>
          </w:p>
        </w:tc>
        <w:tc>
          <w:tcPr>
            <w:tcW w:type="dxa" w:w="1218"/>
            <w:vAlign w:val="center"/>
          </w:tcPr>
          <w:p>
            <w:pPr>
              <w:spacing w:line="276" w:lineRule="auto" w:before="0" w:after="0"/>
            </w:pPr>
            <w:r/>
            <w:r>
              <w:rPr>
                <w:rFonts w:ascii="Figtree" w:hAnsi="Figtree"/>
                <w:b w:val="0"/>
                <w:i w:val="0"/>
                <w:sz w:val="20"/>
              </w:rPr>
              <w:t>Yes</w:t>
            </w:r>
          </w:p>
        </w:tc>
        <w:tc>
          <w:tcPr>
            <w:tcW w:type="dxa" w:w="1218"/>
            <w:vAlign w:val="center"/>
          </w:tcPr>
          <w:p>
            <w:pPr>
              <w:spacing w:line="276" w:lineRule="auto" w:before="0" w:after="0"/>
            </w:pPr>
            <w:r/>
            <w:r>
              <w:rPr>
                <w:rFonts w:ascii="Figtree" w:hAnsi="Figtree"/>
                <w:b w:val="0"/>
                <w:i w:val="0"/>
                <w:sz w:val="20"/>
              </w:rPr>
              <w:t>Yes</w:t>
            </w:r>
          </w:p>
        </w:tc>
        <w:tc>
          <w:tcPr>
            <w:tcW w:type="dxa" w:w="1218"/>
            <w:vAlign w:val="center"/>
          </w:tcPr>
          <w:p>
            <w:pPr>
              <w:spacing w:line="276" w:lineRule="auto" w:before="0" w:after="0"/>
            </w:pPr>
            <w:r/>
            <w:r>
              <w:rPr>
                <w:rFonts w:ascii="Figtree" w:hAnsi="Figtree"/>
                <w:b w:val="0"/>
                <w:i w:val="0"/>
                <w:sz w:val="20"/>
              </w:rPr>
              <w:t>Yes</w:t>
            </w:r>
          </w:p>
        </w:tc>
        <w:tc>
          <w:tcPr>
            <w:tcW w:type="dxa" w:w="1218"/>
            <w:vAlign w:val="center"/>
          </w:tcPr>
          <w:p>
            <w:pPr>
              <w:spacing w:line="276" w:lineRule="auto" w:before="0" w:after="0"/>
            </w:pPr>
            <w:r/>
            <w:r>
              <w:rPr>
                <w:rFonts w:ascii="Figtree" w:hAnsi="Figtree"/>
                <w:b w:val="0"/>
                <w:i w:val="0"/>
                <w:sz w:val="20"/>
              </w:rPr>
              <w:t>Yes</w:t>
            </w:r>
          </w:p>
        </w:tc>
        <w:tc>
          <w:tcPr>
            <w:tcW w:type="dxa" w:w="1218"/>
            <w:vAlign w:val="center"/>
          </w:tcPr>
          <w:p>
            <w:pPr>
              <w:spacing w:line="276" w:lineRule="auto" w:before="0" w:after="0"/>
            </w:pPr>
            <w:r/>
            <w:r>
              <w:rPr>
                <w:rFonts w:ascii="Figtree" w:hAnsi="Figtree"/>
                <w:b w:val="0"/>
                <w:i w:val="0"/>
                <w:sz w:val="20"/>
              </w:rPr>
              <w:t>Yes</w:t>
            </w:r>
          </w:p>
        </w:tc>
      </w:tr>
      <w:tr>
        <w:trPr>
          <w:trHeight w:val="488" w:hRule="atLeast"/>
        </w:trPr>
        <w:tc>
          <w:tcPr>
            <w:tcW w:type="dxa" w:w="1218"/>
            <w:vAlign w:val="center"/>
          </w:tcPr>
          <w:p>
            <w:pPr>
              <w:spacing w:line="276" w:lineRule="auto" w:before="0" w:after="0"/>
            </w:pPr>
            <w:r/>
            <w:r>
              <w:rPr>
                <w:rFonts w:ascii="Figtree" w:hAnsi="Figtree"/>
                <w:b w:val="0"/>
                <w:i w:val="0"/>
                <w:sz w:val="20"/>
              </w:rPr>
              <w:t>Secondary transfer</w:t>
            </w:r>
          </w:p>
        </w:tc>
        <w:tc>
          <w:tcPr>
            <w:tcW w:type="dxa" w:w="1218"/>
            <w:vAlign w:val="center"/>
          </w:tcPr>
          <w:p>
            <w:pPr>
              <w:spacing w:line="276" w:lineRule="auto" w:before="0" w:after="0"/>
            </w:pPr>
            <w:r/>
            <w:r>
              <w:rPr>
                <w:rFonts w:ascii="Figtree" w:hAnsi="Figtree"/>
                <w:b w:val="0"/>
                <w:i w:val="0"/>
                <w:sz w:val="20"/>
              </w:rPr>
              <w:t>Yes</w:t>
            </w:r>
          </w:p>
        </w:tc>
        <w:tc>
          <w:tcPr>
            <w:tcW w:type="dxa" w:w="1218"/>
            <w:vAlign w:val="center"/>
          </w:tcPr>
          <w:p>
            <w:pPr>
              <w:spacing w:line="276" w:lineRule="auto" w:before="0" w:after="0"/>
            </w:pPr>
            <w:r/>
            <w:r>
              <w:rPr>
                <w:rFonts w:ascii="Figtree" w:hAnsi="Figtree"/>
                <w:b w:val="0"/>
                <w:i w:val="0"/>
                <w:sz w:val="20"/>
              </w:rPr>
              <w:t>Yes</w:t>
            </w:r>
          </w:p>
        </w:tc>
        <w:tc>
          <w:tcPr>
            <w:tcW w:type="dxa" w:w="1218"/>
            <w:vAlign w:val="center"/>
          </w:tcPr>
          <w:p>
            <w:pPr>
              <w:spacing w:line="276" w:lineRule="auto" w:before="0" w:after="0"/>
            </w:pPr>
            <w:r/>
            <w:r>
              <w:rPr>
                <w:rFonts w:ascii="Figtree" w:hAnsi="Figtree"/>
                <w:b w:val="0"/>
                <w:i w:val="0"/>
                <w:sz w:val="20"/>
              </w:rPr>
              <w:t>Yes</w:t>
            </w:r>
          </w:p>
        </w:tc>
        <w:tc>
          <w:tcPr>
            <w:tcW w:type="dxa" w:w="1218"/>
            <w:vAlign w:val="center"/>
          </w:tcPr>
          <w:p>
            <w:pPr>
              <w:spacing w:line="276" w:lineRule="auto" w:before="0" w:after="0"/>
            </w:pPr>
            <w:r/>
            <w:r>
              <w:rPr>
                <w:rFonts w:ascii="Figtree" w:hAnsi="Figtree"/>
                <w:b w:val="0"/>
                <w:i w:val="0"/>
                <w:sz w:val="20"/>
              </w:rPr>
              <w:t>Yes</w:t>
            </w:r>
          </w:p>
        </w:tc>
        <w:tc>
          <w:tcPr>
            <w:tcW w:type="dxa" w:w="1218"/>
            <w:vAlign w:val="center"/>
          </w:tcPr>
          <w:p>
            <w:pPr>
              <w:spacing w:line="276" w:lineRule="auto" w:before="0" w:after="0"/>
            </w:pPr>
            <w:r/>
            <w:r>
              <w:rPr>
                <w:rFonts w:ascii="Figtree" w:hAnsi="Figtree"/>
                <w:b w:val="0"/>
                <w:i w:val="0"/>
                <w:sz w:val="20"/>
              </w:rPr>
              <w:t>Yes</w:t>
            </w:r>
          </w:p>
        </w:tc>
        <w:tc>
          <w:tcPr>
            <w:tcW w:type="dxa" w:w="1218"/>
            <w:vAlign w:val="center"/>
          </w:tcPr>
          <w:p>
            <w:pPr>
              <w:spacing w:line="276" w:lineRule="auto" w:before="0" w:after="0"/>
            </w:pPr>
            <w:r/>
            <w:r>
              <w:rPr>
                <w:rFonts w:ascii="Figtree" w:hAnsi="Figtree"/>
                <w:b w:val="0"/>
                <w:i w:val="0"/>
                <w:sz w:val="20"/>
              </w:rPr>
              <w:t>Yes</w:t>
            </w:r>
          </w:p>
        </w:tc>
        <w:tc>
          <w:tcPr>
            <w:tcW w:type="dxa" w:w="1218"/>
            <w:vAlign w:val="center"/>
          </w:tcPr>
          <w:p>
            <w:pPr>
              <w:spacing w:line="276" w:lineRule="auto" w:before="0" w:after="0"/>
            </w:pPr>
            <w:r/>
            <w:r>
              <w:rPr>
                <w:rFonts w:ascii="Figtree" w:hAnsi="Figtree"/>
                <w:b w:val="0"/>
                <w:i w:val="0"/>
                <w:sz w:val="20"/>
              </w:rPr>
              <w:t>Yes</w:t>
            </w:r>
          </w:p>
        </w:tc>
      </w:tr>
      <w:tr>
        <w:trPr>
          <w:trHeight w:val="488" w:hRule="atLeast"/>
        </w:trPr>
        <w:tc>
          <w:tcPr>
            <w:tcW w:type="dxa" w:w="1218"/>
            <w:vAlign w:val="center"/>
          </w:tcPr>
          <w:p>
            <w:pPr>
              <w:spacing w:line="276" w:lineRule="auto" w:before="0" w:after="0"/>
            </w:pPr>
            <w:r/>
            <w:r>
              <w:rPr>
                <w:rFonts w:ascii="Figtree" w:hAnsi="Figtree"/>
                <w:b w:val="0"/>
                <w:i w:val="0"/>
                <w:sz w:val="20"/>
              </w:rPr>
              <w:t>Voting rights</w:t>
            </w:r>
          </w:p>
        </w:tc>
        <w:tc>
          <w:tcPr>
            <w:tcW w:type="dxa" w:w="1218"/>
            <w:vAlign w:val="center"/>
          </w:tcPr>
          <w:p>
            <w:pPr>
              <w:spacing w:line="276" w:lineRule="auto" w:before="0" w:after="0"/>
            </w:pPr>
            <w:r/>
            <w:r>
              <w:rPr>
                <w:rFonts w:ascii="Figtree" w:hAnsi="Figtree"/>
                <w:b w:val="0"/>
                <w:i w:val="0"/>
                <w:sz w:val="20"/>
              </w:rPr>
              <w:t>N/A</w:t>
            </w:r>
          </w:p>
        </w:tc>
        <w:tc>
          <w:tcPr>
            <w:tcW w:type="dxa" w:w="1218"/>
            <w:vAlign w:val="center"/>
          </w:tcPr>
          <w:p>
            <w:pPr>
              <w:spacing w:line="276" w:lineRule="auto" w:before="0" w:after="0"/>
            </w:pPr>
            <w:r/>
            <w:r>
              <w:rPr>
                <w:rFonts w:ascii="Figtree" w:hAnsi="Figtree"/>
                <w:b w:val="0"/>
                <w:i w:val="0"/>
                <w:sz w:val="20"/>
              </w:rPr>
              <w:t>Yes (ERC-5805)</w:t>
            </w:r>
          </w:p>
        </w:tc>
        <w:tc>
          <w:tcPr>
            <w:tcW w:type="dxa" w:w="1218"/>
            <w:vAlign w:val="center"/>
          </w:tcPr>
          <w:p>
            <w:pPr>
              <w:spacing w:line="276" w:lineRule="auto" w:before="0" w:after="0"/>
            </w:pPr>
            <w:r/>
            <w:r>
              <w:rPr>
                <w:rFonts w:ascii="Figtree" w:hAnsi="Figtree"/>
                <w:b w:val="0"/>
                <w:i w:val="0"/>
                <w:sz w:val="20"/>
              </w:rPr>
              <w:t>Yes</w:t>
            </w:r>
          </w:p>
        </w:tc>
        <w:tc>
          <w:tcPr>
            <w:tcW w:type="dxa" w:w="1218"/>
            <w:vAlign w:val="center"/>
          </w:tcPr>
          <w:p>
            <w:pPr>
              <w:spacing w:line="276" w:lineRule="auto" w:before="0" w:after="0"/>
            </w:pPr>
            <w:r/>
            <w:r>
              <w:rPr>
                <w:rFonts w:ascii="Figtree" w:hAnsi="Figtree"/>
                <w:b w:val="0"/>
                <w:i w:val="0"/>
                <w:sz w:val="20"/>
              </w:rPr>
              <w:t>N/A</w:t>
            </w:r>
          </w:p>
        </w:tc>
        <w:tc>
          <w:tcPr>
            <w:tcW w:type="dxa" w:w="1218"/>
            <w:vAlign w:val="center"/>
          </w:tcPr>
          <w:p>
            <w:pPr>
              <w:spacing w:line="276" w:lineRule="auto" w:before="0" w:after="0"/>
            </w:pPr>
            <w:r/>
            <w:r>
              <w:rPr>
                <w:rFonts w:ascii="Figtree" w:hAnsi="Figtree"/>
                <w:b w:val="0"/>
                <w:i w:val="0"/>
                <w:sz w:val="20"/>
              </w:rPr>
              <w:t>N/A</w:t>
            </w:r>
          </w:p>
        </w:tc>
        <w:tc>
          <w:tcPr>
            <w:tcW w:type="dxa" w:w="1218"/>
            <w:vAlign w:val="center"/>
          </w:tcPr>
          <w:p>
            <w:pPr>
              <w:spacing w:line="276" w:lineRule="auto" w:before="0" w:after="0"/>
            </w:pPr>
            <w:r/>
            <w:r>
              <w:rPr>
                <w:rFonts w:ascii="Figtree" w:hAnsi="Figtree"/>
                <w:b w:val="0"/>
                <w:i w:val="0"/>
                <w:sz w:val="20"/>
              </w:rPr>
              <w:t>Yes</w:t>
            </w:r>
          </w:p>
        </w:tc>
        <w:tc>
          <w:tcPr>
            <w:tcW w:type="dxa" w:w="1218"/>
            <w:vAlign w:val="center"/>
          </w:tcPr>
          <w:p>
            <w:pPr>
              <w:spacing w:line="276" w:lineRule="auto" w:before="0" w:after="0"/>
            </w:pPr>
            <w:r/>
            <w:r>
              <w:rPr>
                <w:rFonts w:ascii="Figtree" w:hAnsi="Figtree"/>
                <w:b w:val="0"/>
                <w:i w:val="0"/>
                <w:sz w:val="20"/>
              </w:rPr>
              <w:t>N/A</w:t>
            </w:r>
          </w:p>
        </w:tc>
      </w:tr>
      <w:tr>
        <w:trPr>
          <w:trHeight w:val="488" w:hRule="atLeast"/>
        </w:trPr>
        <w:tc>
          <w:tcPr>
            <w:tcW w:type="dxa" w:w="1218"/>
            <w:vAlign w:val="center"/>
          </w:tcPr>
          <w:p>
            <w:pPr>
              <w:spacing w:line="276" w:lineRule="auto" w:before="0" w:after="0"/>
            </w:pPr>
            <w:r/>
            <w:r>
              <w:rPr>
                <w:rFonts w:ascii="Figtree" w:hAnsi="Figtree"/>
                <w:b w:val="0"/>
                <w:i w:val="0"/>
                <w:sz w:val="20"/>
              </w:rPr>
              <w:t>Convertible mechanics</w:t>
            </w:r>
          </w:p>
        </w:tc>
        <w:tc>
          <w:tcPr>
            <w:tcW w:type="dxa" w:w="1218"/>
            <w:vAlign w:val="center"/>
          </w:tcPr>
          <w:p>
            <w:pPr>
              <w:spacing w:line="276" w:lineRule="auto" w:before="0" w:after="0"/>
            </w:pPr>
            <w:r/>
            <w:r>
              <w:rPr>
                <w:rFonts w:ascii="Figtree" w:hAnsi="Figtree"/>
                <w:b w:val="0"/>
                <w:i w:val="0"/>
                <w:sz w:val="20"/>
              </w:rPr>
              <w:t>Yes</w:t>
            </w:r>
          </w:p>
        </w:tc>
        <w:tc>
          <w:tcPr>
            <w:tcW w:type="dxa" w:w="1218"/>
            <w:vAlign w:val="center"/>
          </w:tcPr>
          <w:p>
            <w:pPr>
              <w:spacing w:line="276" w:lineRule="auto" w:before="0" w:after="0"/>
            </w:pPr>
            <w:r/>
            <w:r>
              <w:rPr>
                <w:rFonts w:ascii="Figtree" w:hAnsi="Figtree"/>
                <w:b w:val="0"/>
                <w:i w:val="0"/>
                <w:sz w:val="20"/>
              </w:rPr>
              <w:t>Yes</w:t>
            </w:r>
          </w:p>
        </w:tc>
        <w:tc>
          <w:tcPr>
            <w:tcW w:type="dxa" w:w="1218"/>
            <w:vAlign w:val="center"/>
          </w:tcPr>
          <w:p>
            <w:pPr>
              <w:spacing w:line="276" w:lineRule="auto" w:before="0" w:after="0"/>
            </w:pPr>
            <w:r/>
            <w:r>
              <w:rPr>
                <w:rFonts w:ascii="Figtree" w:hAnsi="Figtree"/>
                <w:b w:val="0"/>
                <w:i w:val="0"/>
                <w:sz w:val="20"/>
              </w:rPr>
              <w:t>N/A</w:t>
            </w:r>
          </w:p>
        </w:tc>
        <w:tc>
          <w:tcPr>
            <w:tcW w:type="dxa" w:w="1218"/>
            <w:vAlign w:val="center"/>
          </w:tcPr>
          <w:p>
            <w:pPr>
              <w:spacing w:line="276" w:lineRule="auto" w:before="0" w:after="0"/>
            </w:pPr>
            <w:r/>
            <w:r>
              <w:rPr>
                <w:rFonts w:ascii="Figtree" w:hAnsi="Figtree"/>
                <w:b w:val="0"/>
                <w:i w:val="0"/>
                <w:sz w:val="20"/>
              </w:rPr>
              <w:t>N/A</w:t>
            </w:r>
          </w:p>
        </w:tc>
        <w:tc>
          <w:tcPr>
            <w:tcW w:type="dxa" w:w="1218"/>
            <w:vAlign w:val="center"/>
          </w:tcPr>
          <w:p>
            <w:pPr>
              <w:spacing w:line="276" w:lineRule="auto" w:before="0" w:after="0"/>
            </w:pPr>
            <w:r/>
            <w:r>
              <w:rPr>
                <w:rFonts w:ascii="Figtree" w:hAnsi="Figtree"/>
                <w:b w:val="0"/>
                <w:i w:val="0"/>
                <w:sz w:val="20"/>
              </w:rPr>
              <w:t>N/A</w:t>
            </w:r>
          </w:p>
        </w:tc>
        <w:tc>
          <w:tcPr>
            <w:tcW w:type="dxa" w:w="1218"/>
            <w:vAlign w:val="center"/>
          </w:tcPr>
          <w:p>
            <w:pPr>
              <w:spacing w:line="276" w:lineRule="auto" w:before="0" w:after="0"/>
            </w:pPr>
            <w:r/>
            <w:r>
              <w:rPr>
                <w:rFonts w:ascii="Figtree" w:hAnsi="Figtree"/>
                <w:b w:val="0"/>
                <w:i w:val="0"/>
                <w:sz w:val="20"/>
              </w:rPr>
              <w:t>N/A</w:t>
            </w:r>
          </w:p>
        </w:tc>
        <w:tc>
          <w:tcPr>
            <w:tcW w:type="dxa" w:w="1218"/>
            <w:vAlign w:val="center"/>
          </w:tcPr>
          <w:p>
            <w:pPr>
              <w:spacing w:line="276" w:lineRule="auto" w:before="0" w:after="0"/>
            </w:pPr>
            <w:r/>
            <w:r>
              <w:rPr>
                <w:rFonts w:ascii="Figtree" w:hAnsi="Figtree"/>
                <w:b w:val="0"/>
                <w:i w:val="0"/>
                <w:sz w:val="20"/>
              </w:rPr>
              <w:t>N/A</w:t>
            </w:r>
          </w:p>
        </w:tc>
      </w:tr>
      <w:tr>
        <w:trPr>
          <w:trHeight w:val="488" w:hRule="atLeast"/>
        </w:trPr>
        <w:tc>
          <w:tcPr>
            <w:tcW w:type="dxa" w:w="1218"/>
            <w:vAlign w:val="center"/>
          </w:tcPr>
          <w:p>
            <w:pPr>
              <w:spacing w:line="276" w:lineRule="auto" w:before="0" w:after="0"/>
            </w:pPr>
            <w:r/>
            <w:r>
              <w:rPr>
                <w:rFonts w:ascii="Figtree" w:hAnsi="Figtree"/>
                <w:b w:val="0"/>
                <w:i w:val="0"/>
                <w:sz w:val="20"/>
              </w:rPr>
              <w:t>Reserve monitoring</w:t>
            </w:r>
          </w:p>
        </w:tc>
        <w:tc>
          <w:tcPr>
            <w:tcW w:type="dxa" w:w="1218"/>
            <w:vAlign w:val="center"/>
          </w:tcPr>
          <w:p>
            <w:pPr>
              <w:spacing w:line="276" w:lineRule="auto" w:before="0" w:after="0"/>
            </w:pPr>
            <w:r/>
            <w:r>
              <w:rPr>
                <w:rFonts w:ascii="Figtree" w:hAnsi="Figtree"/>
                <w:b w:val="0"/>
                <w:i w:val="0"/>
                <w:sz w:val="20"/>
              </w:rPr>
              <w:t>N/A</w:t>
            </w:r>
          </w:p>
        </w:tc>
        <w:tc>
          <w:tcPr>
            <w:tcW w:type="dxa" w:w="1218"/>
            <w:vAlign w:val="center"/>
          </w:tcPr>
          <w:p>
            <w:pPr>
              <w:spacing w:line="276" w:lineRule="auto" w:before="0" w:after="0"/>
            </w:pPr>
            <w:r/>
            <w:r>
              <w:rPr>
                <w:rFonts w:ascii="Figtree" w:hAnsi="Figtree"/>
                <w:b w:val="0"/>
                <w:i w:val="0"/>
                <w:sz w:val="20"/>
              </w:rPr>
              <w:t>N/A</w:t>
            </w:r>
          </w:p>
        </w:tc>
        <w:tc>
          <w:tcPr>
            <w:tcW w:type="dxa" w:w="1218"/>
            <w:vAlign w:val="center"/>
          </w:tcPr>
          <w:p>
            <w:pPr>
              <w:spacing w:line="276" w:lineRule="auto" w:before="0" w:after="0"/>
            </w:pPr>
            <w:r/>
            <w:r>
              <w:rPr>
                <w:rFonts w:ascii="Figtree" w:hAnsi="Figtree"/>
                <w:b w:val="0"/>
                <w:i w:val="0"/>
                <w:sz w:val="20"/>
              </w:rPr>
              <w:t>N/A</w:t>
            </w:r>
          </w:p>
        </w:tc>
        <w:tc>
          <w:tcPr>
            <w:tcW w:type="dxa" w:w="1218"/>
            <w:vAlign w:val="center"/>
          </w:tcPr>
          <w:p>
            <w:pPr>
              <w:spacing w:line="276" w:lineRule="auto" w:before="0" w:after="0"/>
            </w:pPr>
            <w:r/>
            <w:r>
              <w:rPr>
                <w:rFonts w:ascii="Figtree" w:hAnsi="Figtree"/>
                <w:b w:val="0"/>
                <w:i w:val="0"/>
                <w:sz w:val="20"/>
              </w:rPr>
              <w:t>Yes</w:t>
            </w:r>
          </w:p>
        </w:tc>
        <w:tc>
          <w:tcPr>
            <w:tcW w:type="dxa" w:w="1218"/>
            <w:vAlign w:val="center"/>
          </w:tcPr>
          <w:p>
            <w:pPr>
              <w:spacing w:line="276" w:lineRule="auto" w:before="0" w:after="0"/>
            </w:pPr>
            <w:r/>
            <w:r>
              <w:rPr>
                <w:rFonts w:ascii="Figtree" w:hAnsi="Figtree"/>
                <w:b w:val="0"/>
                <w:i w:val="0"/>
                <w:sz w:val="20"/>
              </w:rPr>
              <w:t>Yes</w:t>
            </w:r>
          </w:p>
        </w:tc>
        <w:tc>
          <w:tcPr>
            <w:tcW w:type="dxa" w:w="1218"/>
            <w:vAlign w:val="center"/>
          </w:tcPr>
          <w:p>
            <w:pPr>
              <w:spacing w:line="276" w:lineRule="auto" w:before="0" w:after="0"/>
            </w:pPr>
            <w:r/>
            <w:r>
              <w:rPr>
                <w:rFonts w:ascii="Figtree" w:hAnsi="Figtree"/>
                <w:b w:val="0"/>
                <w:i w:val="0"/>
                <w:sz w:val="20"/>
              </w:rPr>
              <w:t>N/A</w:t>
            </w:r>
          </w:p>
        </w:tc>
        <w:tc>
          <w:tcPr>
            <w:tcW w:type="dxa" w:w="1218"/>
            <w:vAlign w:val="center"/>
          </w:tcPr>
          <w:p>
            <w:pPr>
              <w:spacing w:line="276" w:lineRule="auto" w:before="0" w:after="0"/>
            </w:pPr>
            <w:r/>
            <w:r>
              <w:rPr>
                <w:rFonts w:ascii="Figtree" w:hAnsi="Figtree"/>
                <w:b w:val="0"/>
                <w:i w:val="0"/>
                <w:sz w:val="20"/>
              </w:rPr>
              <w:t>Yes</w:t>
            </w:r>
          </w:p>
        </w:tc>
      </w:tr>
      <w:tr>
        <w:trPr>
          <w:trHeight w:val="488" w:hRule="atLeast"/>
        </w:trPr>
        <w:tc>
          <w:tcPr>
            <w:tcW w:type="dxa" w:w="1218"/>
            <w:vAlign w:val="center"/>
          </w:tcPr>
          <w:p>
            <w:pPr>
              <w:spacing w:line="276" w:lineRule="auto" w:before="0" w:after="0"/>
            </w:pPr>
            <w:r/>
            <w:r>
              <w:rPr>
                <w:rFonts w:ascii="Figtree" w:hAnsi="Figtree"/>
                <w:b w:val="0"/>
                <w:i w:val="0"/>
                <w:sz w:val="20"/>
              </w:rPr>
              <w:t>Treasury payout</w:t>
            </w:r>
          </w:p>
        </w:tc>
        <w:tc>
          <w:tcPr>
            <w:tcW w:type="dxa" w:w="1218"/>
            <w:vAlign w:val="center"/>
          </w:tcPr>
          <w:p>
            <w:pPr>
              <w:spacing w:line="276" w:lineRule="auto" w:before="0" w:after="0"/>
            </w:pPr>
            <w:r/>
            <w:r>
              <w:rPr>
                <w:rFonts w:ascii="Figtree" w:hAnsi="Figtree"/>
                <w:b w:val="0"/>
                <w:i w:val="0"/>
                <w:sz w:val="20"/>
              </w:rPr>
              <w:t>Yes</w:t>
            </w:r>
          </w:p>
        </w:tc>
        <w:tc>
          <w:tcPr>
            <w:tcW w:type="dxa" w:w="1218"/>
            <w:vAlign w:val="center"/>
          </w:tcPr>
          <w:p>
            <w:pPr>
              <w:spacing w:line="276" w:lineRule="auto" w:before="0" w:after="0"/>
            </w:pPr>
            <w:r/>
            <w:r>
              <w:rPr>
                <w:rFonts w:ascii="Figtree" w:hAnsi="Figtree"/>
                <w:b w:val="0"/>
                <w:i w:val="0"/>
                <w:sz w:val="20"/>
              </w:rPr>
              <w:t>Yes</w:t>
            </w:r>
          </w:p>
        </w:tc>
        <w:tc>
          <w:tcPr>
            <w:tcW w:type="dxa" w:w="1218"/>
            <w:vAlign w:val="center"/>
          </w:tcPr>
          <w:p>
            <w:pPr>
              <w:spacing w:line="276" w:lineRule="auto" w:before="0" w:after="0"/>
            </w:pPr>
            <w:r/>
            <w:r>
              <w:rPr>
                <w:rFonts w:ascii="Figtree" w:hAnsi="Figtree"/>
                <w:b w:val="0"/>
                <w:i w:val="0"/>
                <w:sz w:val="20"/>
              </w:rPr>
              <w:t>Yes</w:t>
            </w:r>
          </w:p>
        </w:tc>
        <w:tc>
          <w:tcPr>
            <w:tcW w:type="dxa" w:w="1218"/>
            <w:vAlign w:val="center"/>
          </w:tcPr>
          <w:p>
            <w:pPr>
              <w:spacing w:line="276" w:lineRule="auto" w:before="0" w:after="0"/>
            </w:pPr>
            <w:r/>
            <w:r>
              <w:rPr>
                <w:rFonts w:ascii="Figtree" w:hAnsi="Figtree"/>
                <w:b w:val="0"/>
                <w:i w:val="0"/>
                <w:sz w:val="20"/>
              </w:rPr>
              <w:t>N/A</w:t>
            </w:r>
          </w:p>
        </w:tc>
        <w:tc>
          <w:tcPr>
            <w:tcW w:type="dxa" w:w="1218"/>
            <w:vAlign w:val="center"/>
          </w:tcPr>
          <w:p>
            <w:pPr>
              <w:spacing w:line="276" w:lineRule="auto" w:before="0" w:after="0"/>
            </w:pPr>
            <w:r/>
            <w:r>
              <w:rPr>
                <w:rFonts w:ascii="Figtree" w:hAnsi="Figtree"/>
                <w:b w:val="0"/>
                <w:i w:val="0"/>
                <w:sz w:val="20"/>
              </w:rPr>
              <w:t>Yes</w:t>
            </w:r>
          </w:p>
        </w:tc>
        <w:tc>
          <w:tcPr>
            <w:tcW w:type="dxa" w:w="1218"/>
            <w:vAlign w:val="center"/>
          </w:tcPr>
          <w:p>
            <w:pPr>
              <w:spacing w:line="276" w:lineRule="auto" w:before="0" w:after="0"/>
            </w:pPr>
            <w:r/>
            <w:r>
              <w:rPr>
                <w:rFonts w:ascii="Figtree" w:hAnsi="Figtree"/>
                <w:b w:val="0"/>
                <w:i w:val="0"/>
                <w:sz w:val="20"/>
              </w:rPr>
              <w:t>Yes</w:t>
            </w:r>
          </w:p>
        </w:tc>
        <w:tc>
          <w:tcPr>
            <w:tcW w:type="dxa" w:w="1218"/>
            <w:vAlign w:val="center"/>
          </w:tcPr>
          <w:p>
            <w:pPr>
              <w:spacing w:line="276" w:lineRule="auto" w:before="0" w:after="0"/>
            </w:pPr>
            <w:r/>
            <w:r>
              <w:rPr>
                <w:rFonts w:ascii="Figtree" w:hAnsi="Figtree"/>
                <w:b w:val="0"/>
                <w:i w:val="0"/>
                <w:sz w:val="20"/>
              </w:rPr>
              <w:t>N/A</w:t>
            </w:r>
          </w:p>
        </w:tc>
      </w:tr>
      <w:tr>
        <w:trPr>
          <w:trHeight w:val="488" w:hRule="atLeast"/>
        </w:trPr>
        <w:tc>
          <w:tcPr>
            <w:tcW w:type="dxa" w:w="1218"/>
            <w:vAlign w:val="center"/>
          </w:tcPr>
          <w:p>
            <w:pPr>
              <w:spacing w:line="276" w:lineRule="auto" w:before="0" w:after="0"/>
            </w:pPr>
            <w:r/>
            <w:r>
              <w:rPr>
                <w:rFonts w:ascii="Figtree" w:hAnsi="Figtree"/>
                <w:b w:val="0"/>
                <w:i w:val="0"/>
                <w:sz w:val="20"/>
              </w:rPr>
              <w:t>Token sale/primary offering</w:t>
            </w:r>
          </w:p>
        </w:tc>
        <w:tc>
          <w:tcPr>
            <w:tcW w:type="dxa" w:w="1218"/>
            <w:vAlign w:val="center"/>
          </w:tcPr>
          <w:p>
            <w:pPr>
              <w:spacing w:line="276" w:lineRule="auto" w:before="0" w:after="0"/>
            </w:pPr>
            <w:r/>
            <w:r>
              <w:rPr>
                <w:rFonts w:ascii="Figtree" w:hAnsi="Figtree"/>
                <w:b w:val="0"/>
                <w:i w:val="0"/>
                <w:sz w:val="20"/>
              </w:rPr>
              <w:t>Yes</w:t>
            </w:r>
          </w:p>
        </w:tc>
        <w:tc>
          <w:tcPr>
            <w:tcW w:type="dxa" w:w="1218"/>
            <w:vAlign w:val="center"/>
          </w:tcPr>
          <w:p>
            <w:pPr>
              <w:spacing w:line="276" w:lineRule="auto" w:before="0" w:after="0"/>
            </w:pPr>
            <w:r/>
            <w:r>
              <w:rPr>
                <w:rFonts w:ascii="Figtree" w:hAnsi="Figtree"/>
                <w:b w:val="0"/>
                <w:i w:val="0"/>
                <w:sz w:val="20"/>
              </w:rPr>
              <w:t>Yes</w:t>
            </w:r>
          </w:p>
        </w:tc>
        <w:tc>
          <w:tcPr>
            <w:tcW w:type="dxa" w:w="1218"/>
            <w:vAlign w:val="center"/>
          </w:tcPr>
          <w:p>
            <w:pPr>
              <w:spacing w:line="276" w:lineRule="auto" w:before="0" w:after="0"/>
            </w:pPr>
            <w:r/>
            <w:r>
              <w:rPr>
                <w:rFonts w:ascii="Figtree" w:hAnsi="Figtree"/>
                <w:b w:val="0"/>
                <w:i w:val="0"/>
                <w:sz w:val="20"/>
              </w:rPr>
              <w:t>Yes</w:t>
            </w:r>
          </w:p>
        </w:tc>
        <w:tc>
          <w:tcPr>
            <w:tcW w:type="dxa" w:w="1218"/>
            <w:vAlign w:val="center"/>
          </w:tcPr>
          <w:p>
            <w:pPr>
              <w:spacing w:line="276" w:lineRule="auto" w:before="0" w:after="0"/>
            </w:pPr>
            <w:r/>
            <w:r>
              <w:rPr>
                <w:rFonts w:ascii="Figtree" w:hAnsi="Figtree"/>
                <w:b w:val="0"/>
                <w:i w:val="0"/>
                <w:sz w:val="20"/>
              </w:rPr>
              <w:t>N/A</w:t>
            </w:r>
          </w:p>
        </w:tc>
        <w:tc>
          <w:tcPr>
            <w:tcW w:type="dxa" w:w="1218"/>
            <w:vAlign w:val="center"/>
          </w:tcPr>
          <w:p>
            <w:pPr>
              <w:spacing w:line="276" w:lineRule="auto" w:before="0" w:after="0"/>
            </w:pPr>
            <w:r/>
            <w:r>
              <w:rPr>
                <w:rFonts w:ascii="Figtree" w:hAnsi="Figtree"/>
                <w:b w:val="0"/>
                <w:i w:val="0"/>
                <w:sz w:val="20"/>
              </w:rPr>
              <w:t>N/A</w:t>
            </w:r>
          </w:p>
        </w:tc>
        <w:tc>
          <w:tcPr>
            <w:tcW w:type="dxa" w:w="1218"/>
            <w:vAlign w:val="center"/>
          </w:tcPr>
          <w:p>
            <w:pPr>
              <w:spacing w:line="276" w:lineRule="auto" w:before="0" w:after="0"/>
            </w:pPr>
            <w:r/>
            <w:r>
              <w:rPr>
                <w:rFonts w:ascii="Figtree" w:hAnsi="Figtree"/>
                <w:b w:val="0"/>
                <w:i w:val="0"/>
                <w:sz w:val="20"/>
              </w:rPr>
              <w:t>Yes</w:t>
            </w:r>
          </w:p>
        </w:tc>
        <w:tc>
          <w:tcPr>
            <w:tcW w:type="dxa" w:w="1218"/>
            <w:vAlign w:val="center"/>
          </w:tcPr>
          <w:p>
            <w:pPr>
              <w:spacing w:line="276" w:lineRule="auto" w:before="0" w:after="0"/>
            </w:pPr>
            <w:r/>
            <w:r>
              <w:rPr>
                <w:rFonts w:ascii="Figtree" w:hAnsi="Figtree"/>
                <w:b w:val="0"/>
                <w:i w:val="0"/>
                <w:sz w:val="20"/>
              </w:rPr>
              <w:t>Yes</w:t>
            </w:r>
          </w:p>
        </w:tc>
      </w:tr>
      <w:tr>
        <w:trPr>
          <w:trHeight w:val="488" w:hRule="atLeast"/>
        </w:trPr>
        <w:tc>
          <w:tcPr>
            <w:tcW w:type="dxa" w:w="1218"/>
            <w:vAlign w:val="center"/>
          </w:tcPr>
          <w:p>
            <w:pPr>
              <w:spacing w:line="276" w:lineRule="auto" w:before="0" w:after="0"/>
            </w:pPr>
            <w:r/>
            <w:r>
              <w:rPr>
                <w:rFonts w:ascii="Figtree" w:hAnsi="Figtree"/>
                <w:b w:val="0"/>
                <w:i w:val="0"/>
                <w:sz w:val="20"/>
              </w:rPr>
              <w:t>XvP settlement</w:t>
            </w:r>
          </w:p>
        </w:tc>
        <w:tc>
          <w:tcPr>
            <w:tcW w:type="dxa" w:w="1218"/>
            <w:vAlign w:val="center"/>
          </w:tcPr>
          <w:p>
            <w:pPr>
              <w:spacing w:line="276" w:lineRule="auto" w:before="0" w:after="0"/>
            </w:pPr>
            <w:r/>
            <w:r>
              <w:rPr>
                <w:rFonts w:ascii="Figtree" w:hAnsi="Figtree"/>
                <w:b w:val="0"/>
                <w:i w:val="0"/>
                <w:sz w:val="20"/>
              </w:rPr>
              <w:t>Yes</w:t>
            </w:r>
          </w:p>
        </w:tc>
        <w:tc>
          <w:tcPr>
            <w:tcW w:type="dxa" w:w="1218"/>
            <w:vAlign w:val="center"/>
          </w:tcPr>
          <w:p>
            <w:pPr>
              <w:spacing w:line="276" w:lineRule="auto" w:before="0" w:after="0"/>
            </w:pPr>
            <w:r/>
            <w:r>
              <w:rPr>
                <w:rFonts w:ascii="Figtree" w:hAnsi="Figtree"/>
                <w:b w:val="0"/>
                <w:i w:val="0"/>
                <w:sz w:val="20"/>
              </w:rPr>
              <w:t>Yes</w:t>
            </w:r>
          </w:p>
        </w:tc>
        <w:tc>
          <w:tcPr>
            <w:tcW w:type="dxa" w:w="1218"/>
            <w:vAlign w:val="center"/>
          </w:tcPr>
          <w:p>
            <w:pPr>
              <w:spacing w:line="276" w:lineRule="auto" w:before="0" w:after="0"/>
            </w:pPr>
            <w:r/>
            <w:r>
              <w:rPr>
                <w:rFonts w:ascii="Figtree" w:hAnsi="Figtree"/>
                <w:b w:val="0"/>
                <w:i w:val="0"/>
                <w:sz w:val="20"/>
              </w:rPr>
              <w:t>Yes</w:t>
            </w:r>
          </w:p>
        </w:tc>
        <w:tc>
          <w:tcPr>
            <w:tcW w:type="dxa" w:w="1218"/>
            <w:vAlign w:val="center"/>
          </w:tcPr>
          <w:p>
            <w:pPr>
              <w:spacing w:line="276" w:lineRule="auto" w:before="0" w:after="0"/>
            </w:pPr>
            <w:r/>
            <w:r>
              <w:rPr>
                <w:rFonts w:ascii="Figtree" w:hAnsi="Figtree"/>
                <w:b w:val="0"/>
                <w:i w:val="0"/>
                <w:sz w:val="20"/>
              </w:rPr>
              <w:t>Yes</w:t>
            </w:r>
          </w:p>
        </w:tc>
        <w:tc>
          <w:tcPr>
            <w:tcW w:type="dxa" w:w="1218"/>
            <w:vAlign w:val="center"/>
          </w:tcPr>
          <w:p>
            <w:pPr>
              <w:spacing w:line="276" w:lineRule="auto" w:before="0" w:after="0"/>
            </w:pPr>
            <w:r/>
            <w:r>
              <w:rPr>
                <w:rFonts w:ascii="Figtree" w:hAnsi="Figtree"/>
                <w:b w:val="0"/>
                <w:i w:val="0"/>
                <w:sz w:val="20"/>
              </w:rPr>
              <w:t>Yes</w:t>
            </w:r>
          </w:p>
        </w:tc>
        <w:tc>
          <w:tcPr>
            <w:tcW w:type="dxa" w:w="1218"/>
            <w:vAlign w:val="center"/>
          </w:tcPr>
          <w:p>
            <w:pPr>
              <w:spacing w:line="276" w:lineRule="auto" w:before="0" w:after="0"/>
            </w:pPr>
            <w:r/>
            <w:r>
              <w:rPr>
                <w:rFonts w:ascii="Figtree" w:hAnsi="Figtree"/>
                <w:b w:val="0"/>
                <w:i w:val="0"/>
                <w:sz w:val="20"/>
              </w:rPr>
              <w:t>Yes</w:t>
            </w:r>
          </w:p>
        </w:tc>
        <w:tc>
          <w:tcPr>
            <w:tcW w:type="dxa" w:w="1218"/>
            <w:vAlign w:val="center"/>
          </w:tcPr>
          <w:p>
            <w:pPr>
              <w:spacing w:line="276" w:lineRule="auto" w:before="0" w:after="0"/>
            </w:pPr>
            <w:r/>
            <w:r>
              <w:rPr>
                <w:rFonts w:ascii="Figtree" w:hAnsi="Figtree"/>
                <w:b w:val="0"/>
                <w:i w:val="0"/>
                <w:sz w:val="20"/>
              </w:rPr>
              <w:t>Yes</w:t>
            </w:r>
          </w:p>
        </w:tc>
      </w:tr>
    </w:tbl>
    <w:p>
      <w:pPr>
        <w:spacing w:before="0" w:after="0" w:line="120" w:lineRule="exact"/>
      </w:pPr>
    </w:p>
    <w:p>
      <w:r>
        <w:br w:type="page"/>
      </w:r>
    </w:p>
    <w:p>
      <w:r>
        <w:rPr>
          <w:rFonts w:ascii="Figtree" w:hAnsi="Figtree"/>
          <w:b/>
          <w:i w:val="0"/>
          <w:sz w:val="22"/>
        </w:rPr>
        <w:t>SettleMint NV</w:t>
      </w:r>
    </w:p>
    <w:p>
      <w:r>
        <w:rPr>
          <w:rFonts w:ascii="Figtree" w:hAnsi="Figtree"/>
          <w:b w:val="0"/>
          <w:i w:val="0"/>
          <w:sz w:val="22"/>
        </w:rPr>
        <w:t>Confidential. This document contains proprietary information intended solely for Mashreq Bank.</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 w:numId="11">
    <w:abstractNumId w:val="4"/>
    <w:lvlOverride w:ilvl="0">
      <w:startOverride w:val="1"/>
    </w:lvlOverride>
  </w:num>
  <w:num w:numId="12">
    <w:abstractNumId w:val="4"/>
    <w:lvlOverride w:ilvl="0">
      <w:startOverride w:val="1"/>
    </w:lvlOverride>
  </w:num>
  <w:num w:numId="13">
    <w:abstractNumId w:val="4"/>
    <w:lvlOverride w:ilvl="0">
      <w:startOverride w:val="1"/>
    </w:lvlOverride>
  </w:num>
  <w:num w:numId="14">
    <w:abstractNumId w:val="4"/>
    <w:lvlOverride w:ilvl="0">
      <w:startOverride w:val="1"/>
    </w:lvlOverride>
  </w:num>
  <w:num w:numId="15">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jp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jpg"/><Relationship Id="rId25" Type="http://schemas.openxmlformats.org/officeDocument/2006/relationships/image" Target="media/image15.pn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Proposal</dc:title>
  <dc:subject>Digital Asset Lifecycle Platform</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