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3"/>
            <w:tabs>
              <w:tab w:val="right" w:leader="dot" w:pos="9072"/>
            </w:tabs>
          </w:pPr>
          <w:r>
            <w:t xml:space="preserve">What Makes This Proposal Different</w:t>
          </w:r>
          <w:r>
            <w:tab/>
          </w:r>
          <w:r>
            <w:t xml:space="preserve">4</w:t>
          </w:r>
        </w:p>
        <w:p>
          <w:pPr>
            <w:pStyle w:val="TOC3"/>
            <w:tabs>
              <w:tab w:val="right" w:leader="dot" w:pos="9072"/>
            </w:tabs>
          </w:pPr>
          <w:r>
            <w:t xml:space="preserve">What This Proposal Covers</w:t>
          </w:r>
          <w:r>
            <w:tab/>
          </w:r>
          <w:r>
            <w:t xml:space="preserve">5</w:t>
          </w:r>
        </w:p>
        <w:p>
          <w:pPr>
            <w:pStyle w:val="TOC3"/>
            <w:tabs>
              <w:tab w:val="right" w:leader="dot" w:pos="9072"/>
            </w:tabs>
          </w:pPr>
          <w:r>
            <w:t xml:space="preserve">What This Proposal Does Not Cover</w:t>
          </w:r>
          <w:r>
            <w:tab/>
          </w:r>
          <w:r>
            <w:t xml:space="preserve">6</w:t>
          </w:r>
        </w:p>
        <w:p>
          <w:pPr>
            <w:pStyle w:val="TOC3"/>
            <w:tabs>
              <w:tab w:val="right" w:leader="dot" w:pos="9072"/>
            </w:tabs>
          </w:pPr>
          <w:r>
            <w:t xml:space="preserve">A Final Note on Timing</w:t>
          </w:r>
          <w:r>
            <w:tab/>
          </w:r>
          <w:r>
            <w:t xml:space="preserve">7</w:t>
          </w:r>
        </w:p>
        <w:p>
          <w:pPr>
            <w:pStyle w:val="TOC2"/>
            <w:tabs>
              <w:tab w:val="right" w:leader="dot" w:pos="9072"/>
            </w:tabs>
          </w:pPr>
          <w:r>
            <w:t xml:space="preserve">Summary Checklist</w:t>
          </w:r>
          <w:r>
            <w:tab/>
          </w:r>
          <w:r>
            <w:t xml:space="preserve">8</w:t>
          </w:r>
        </w:p>
        <w:p>
          <w:pPr>
            <w:pStyle w:val="TOC3"/>
            <w:tabs>
              <w:tab w:val="right" w:leader="dot" w:pos="9072"/>
            </w:tabs>
          </w:pPr>
          <w:r>
            <w:t xml:space="preserve">Document Version History</w:t>
          </w:r>
          <w:r>
            <w:tab/>
          </w:r>
          <w:r>
            <w:t xml:space="preserve">9</w:t>
          </w:r>
        </w:p>
        <w:p>
          <w:pPr>
            <w:pStyle w:val="TOC3"/>
            <w:tabs>
              <w:tab w:val="right" w:leader="dot" w:pos="9072"/>
            </w:tabs>
          </w:pPr>
          <w:r>
            <w:t xml:space="preserve">Contact Information</w:t>
          </w:r>
          <w:r>
            <w:tab/>
          </w:r>
          <w:r>
            <w:t xml:space="preserve">10</w:t>
          </w:r>
        </w:p>
        <w:p>
          <w:pPr>
            <w:pStyle w:val="TOC3"/>
            <w:tabs>
              <w:tab w:val="right" w:leader="dot" w:pos="9072"/>
            </w:tabs>
          </w:pPr>
          <w:r>
            <w:t xml:space="preserve">Assumptions</w:t>
          </w:r>
          <w:r>
            <w:tab/>
          </w:r>
          <w:r>
            <w:t xml:space="preserve">11</w:t>
          </w:r>
        </w:p>
        <w:p>
          <w:pPr>
            <w:pStyle w:val="TOC3"/>
            <w:tabs>
              <w:tab w:val="right" w:leader="dot" w:pos="9072"/>
            </w:tabs>
          </w:pPr>
          <w:r>
            <w:t xml:space="preserve">Open Questions</w:t>
          </w:r>
          <w:r>
            <w:tab/>
          </w:r>
          <w:r>
            <w:t xml:space="preserve">12</w:t>
          </w:r>
        </w:p>
        <w:p>
          <w:pPr>
            <w:pStyle w:val="TOC3"/>
            <w:tabs>
              <w:tab w:val="right" w:leader="dot" w:pos="9072"/>
            </w:tabs>
          </w:pPr>
          <w:r>
            <w:t xml:space="preserve">Why SettleMint</w:t>
          </w:r>
          <w:r>
            <w:tab/>
          </w:r>
          <w:r>
            <w:t xml:space="preserve">13</w:t>
          </w:r>
        </w:p>
        <w:p>
          <w:pPr>
            <w:pStyle w:val="TOC2"/>
            <w:tabs>
              <w:tab w:val="right" w:leader="dot" w:pos="9072"/>
            </w:tabs>
          </w:pPr>
          <w:r>
            <w:t xml:space="preserve">Investment Rationale</w:t>
          </w:r>
          <w:r>
            <w:tab/>
          </w:r>
          <w:r>
            <w:t xml:space="preserve">14</w:t>
          </w:r>
        </w:p>
        <w:p>
          <w:pPr>
            <w:pStyle w:val="TOC3"/>
            <w:tabs>
              <w:tab w:val="right" w:leader="dot" w:pos="9072"/>
            </w:tabs>
          </w:pPr>
          <w:r>
            <w:t xml:space="preserve">The Cost of the Current Approach</w:t>
          </w:r>
          <w:r>
            <w:tab/>
          </w:r>
          <w:r>
            <w:t xml:space="preserve">15</w:t>
          </w:r>
        </w:p>
        <w:p>
          <w:pPr>
            <w:pStyle w:val="TOC3"/>
            <w:tabs>
              <w:tab w:val="right" w:leader="dot" w:pos="9072"/>
            </w:tabs>
          </w:pPr>
          <w:r>
            <w:t xml:space="preserve">Why DALP Changes the Economics</w:t>
          </w:r>
          <w:r>
            <w:tab/>
          </w:r>
          <w:r>
            <w:t xml:space="preserve">16</w:t>
          </w:r>
        </w:p>
        <w:p>
          <w:pPr>
            <w:pStyle w:val="TOC3"/>
            <w:tabs>
              <w:tab w:val="right" w:leader="dot" w:pos="9072"/>
            </w:tabs>
          </w:pPr>
          <w:r>
            <w:t xml:space="preserve">ROI Framework</w:t>
          </w:r>
          <w:r>
            <w:tab/>
          </w:r>
          <w:r>
            <w:t xml:space="preserve">17</w:t>
          </w:r>
        </w:p>
        <w:p>
          <w:pPr>
            <w:pStyle w:val="TOC3"/>
            <w:tabs>
              <w:tab w:val="right" w:leader="dot" w:pos="9072"/>
            </w:tabs>
          </w:pPr>
          <w:r>
            <w:t xml:space="preserve">Sensitivity Analysis</w:t>
          </w:r>
          <w:r>
            <w:tab/>
          </w:r>
          <w:r>
            <w:t xml:space="preserve">18</w:t>
          </w:r>
        </w:p>
        <w:p>
          <w:pPr>
            <w:pStyle w:val="TOC3"/>
            <w:tabs>
              <w:tab w:val="right" w:leader="dot" w:pos="9072"/>
            </w:tabs>
          </w:pPr>
          <w:r>
            <w:t xml:space="preserve">Quantifying the Alternative: The True Cost of Not Acting</w:t>
          </w:r>
          <w:r>
            <w:tab/>
          </w:r>
          <w:r>
            <w:t xml:space="preserve">19</w:t>
          </w:r>
        </w:p>
        <w:p>
          <w:pPr>
            <w:pStyle w:val="TOC2"/>
            <w:tabs>
              <w:tab w:val="right" w:leader="dot" w:pos="9072"/>
            </w:tabs>
          </w:pPr>
          <w:r>
            <w:t xml:space="preserve">Licensing Model</w:t>
          </w:r>
          <w:r>
            <w:tab/>
          </w:r>
          <w:r>
            <w:t xml:space="preserve">20</w:t>
          </w:r>
        </w:p>
        <w:p>
          <w:pPr>
            <w:pStyle w:val="TOC3"/>
            <w:tabs>
              <w:tab w:val="right" w:leader="dot" w:pos="9072"/>
            </w:tabs>
          </w:pPr>
          <w:r>
            <w:t xml:space="preserve">Platform Licensing Philosophy</w:t>
          </w:r>
          <w:r>
            <w:tab/>
          </w:r>
          <w:r>
            <w:t xml:space="preserve">21</w:t>
          </w:r>
        </w:p>
        <w:p>
          <w:pPr>
            <w:pStyle w:val="TOC3"/>
            <w:tabs>
              <w:tab w:val="right" w:leader="dot" w:pos="9072"/>
            </w:tabs>
          </w:pPr>
          <w:r>
            <w:t xml:space="preserve">What Neptune Is Buying</w:t>
          </w:r>
          <w:r>
            <w:tab/>
          </w:r>
          <w:r>
            <w:t xml:space="preserve">22</w:t>
          </w:r>
        </w:p>
        <w:p>
          <w:pPr>
            <w:pStyle w:val="TOC3"/>
            <w:tabs>
              <w:tab w:val="right" w:leader="dot" w:pos="9072"/>
            </w:tabs>
          </w:pPr>
          <w:r>
            <w:t xml:space="preserve">Platform Licensing in Practice: How It Works</w:t>
          </w:r>
          <w:r>
            <w:tab/>
          </w:r>
          <w:r>
            <w:t xml:space="preserve">23</w:t>
          </w:r>
        </w:p>
        <w:p>
          <w:pPr>
            <w:pStyle w:val="TOC3"/>
            <w:tabs>
              <w:tab w:val="right" w:leader="dot" w:pos="9072"/>
            </w:tabs>
          </w:pPr>
          <w:r>
            <w:t xml:space="preserve">What the License Includes</w:t>
          </w:r>
          <w:r>
            <w:tab/>
          </w:r>
          <w:r>
            <w:t xml:space="preserve">24</w:t>
          </w:r>
        </w:p>
        <w:p>
          <w:pPr>
            <w:pStyle w:val="TOC3"/>
            <w:tabs>
              <w:tab w:val="right" w:leader="dot" w:pos="9072"/>
            </w:tabs>
          </w:pPr>
          <w:r>
            <w:t xml:space="preserve">How Compliance Modules Work in Practice</w:t>
          </w:r>
          <w:r>
            <w:tab/>
          </w:r>
          <w:r>
            <w:t xml:space="preserve">25</w:t>
          </w:r>
        </w:p>
        <w:p>
          <w:pPr>
            <w:pStyle w:val="TOC3"/>
            <w:tabs>
              <w:tab w:val="right" w:leader="dot" w:pos="9072"/>
            </w:tabs>
          </w:pPr>
          <w:r>
            <w:t xml:space="preserve">The API-First Architecture</w:t>
          </w:r>
          <w:r>
            <w:tab/>
          </w:r>
          <w:r>
            <w:t xml:space="preserve">26</w:t>
          </w:r>
        </w:p>
        <w:p>
          <w:pPr>
            <w:pStyle w:val="TOC3"/>
            <w:tabs>
              <w:tab w:val="right" w:leader="dot" w:pos="9072"/>
            </w:tabs>
          </w:pPr>
          <w:r>
            <w:t xml:space="preserve">What Varies by Engagement</w:t>
          </w:r>
          <w:r>
            <w:tab/>
          </w:r>
          <w:r>
            <w:t xml:space="preserve">27</w:t>
          </w:r>
        </w:p>
        <w:p>
          <w:pPr>
            <w:pStyle w:val="TOC3"/>
            <w:tabs>
              <w:tab w:val="right" w:leader="dot" w:pos="9072"/>
            </w:tabs>
          </w:pPr>
          <w:r>
            <w:t xml:space="preserve">Inclusion Grid</w:t>
          </w:r>
          <w:r>
            <w:tab/>
          </w:r>
          <w:r>
            <w:t xml:space="preserve">28</w:t>
          </w:r>
        </w:p>
        <w:p>
          <w:pPr>
            <w:pStyle w:val="TOC3"/>
            <w:tabs>
              <w:tab w:val="right" w:leader="dot" w:pos="9072"/>
            </w:tabs>
          </w:pPr>
          <w:r>
            <w:t xml:space="preserve">Platform Tier Comparison</w:t>
          </w:r>
          <w:r>
            <w:tab/>
          </w:r>
          <w:r>
            <w:t xml:space="preserve">29</w:t>
          </w:r>
        </w:p>
        <w:p>
          <w:pPr>
            <w:pStyle w:val="TOC3"/>
            <w:tabs>
              <w:tab w:val="right" w:leader="dot" w:pos="9072"/>
            </w:tabs>
          </w:pPr>
          <w:r>
            <w:t xml:space="preserve">Why Enterprise Tier Fits Neptune's Programme</w:t>
          </w:r>
          <w:r>
            <w:tab/>
          </w:r>
          <w:r>
            <w:t xml:space="preserve">30</w:t>
          </w:r>
        </w:p>
        <w:p>
          <w:pPr>
            <w:pStyle w:val="TOC2"/>
            <w:tabs>
              <w:tab w:val="right" w:leader="dot" w:pos="9072"/>
            </w:tabs>
          </w:pPr>
          <w:r>
            <w:t xml:space="preserve">Deployment Options and Pricing</w:t>
          </w:r>
          <w:r>
            <w:tab/>
          </w:r>
          <w:r>
            <w:t xml:space="preserve">31</w:t>
          </w:r>
        </w:p>
        <w:p>
          <w:pPr>
            <w:pStyle w:val="TOC3"/>
            <w:tabs>
              <w:tab w:val="right" w:leader="dot" w:pos="9072"/>
            </w:tabs>
          </w:pPr>
          <w:r>
            <w:t xml:space="preserve">Deployment Model Overview</w:t>
          </w:r>
          <w:r>
            <w:tab/>
          </w:r>
          <w:r>
            <w:t xml:space="preserve">32</w:t>
          </w:r>
        </w:p>
        <w:p>
          <w:pPr>
            <w:pStyle w:val="TOC3"/>
            <w:tabs>
              <w:tab w:val="right" w:leader="dot" w:pos="9072"/>
            </w:tabs>
          </w:pPr>
          <w:r>
            <w:t xml:space="preserve">Managed SaaS (Recommended for Neptune)</w:t>
          </w:r>
          <w:r>
            <w:tab/>
          </w:r>
          <w:r>
            <w:t xml:space="preserve">33</w:t>
          </w:r>
        </w:p>
        <w:p>
          <w:pPr>
            <w:pStyle w:val="TOC3"/>
            <w:tabs>
              <w:tab w:val="right" w:leader="dot" w:pos="9072"/>
            </w:tabs>
          </w:pPr>
          <w:r>
            <w:t xml:space="preserve">Dedicated Cloud</w:t>
          </w:r>
          <w:r>
            <w:tab/>
          </w:r>
          <w:r>
            <w:t xml:space="preserve">34</w:t>
          </w:r>
        </w:p>
        <w:p>
          <w:pPr>
            <w:pStyle w:val="TOC3"/>
            <w:tabs>
              <w:tab w:val="right" w:leader="dot" w:pos="9072"/>
            </w:tabs>
          </w:pPr>
          <w:r>
            <w:t xml:space="preserve">On-Premises</w:t>
          </w:r>
          <w:r>
            <w:tab/>
          </w:r>
          <w:r>
            <w:t xml:space="preserve">35</w:t>
          </w:r>
        </w:p>
        <w:p>
          <w:pPr>
            <w:pStyle w:val="TOC3"/>
            <w:tabs>
              <w:tab w:val="right" w:leader="dot" w:pos="9072"/>
            </w:tabs>
          </w:pPr>
          <w:r>
            <w:t xml:space="preserve">Hybrid</w:t>
          </w:r>
          <w:r>
            <w:tab/>
          </w:r>
          <w:r>
            <w:t xml:space="preserve">36</w:t>
          </w:r>
        </w:p>
        <w:p>
          <w:pPr>
            <w:pStyle w:val="TOC3"/>
            <w:tabs>
              <w:tab w:val="right" w:leader="dot" w:pos="9072"/>
            </w:tabs>
          </w:pPr>
          <w:r>
            <w:t xml:space="preserve">Deployment Model Recommendation Summary</w:t>
          </w:r>
          <w:r>
            <w:tab/>
          </w:r>
          <w:r>
            <w:t xml:space="preserve">37</w:t>
          </w:r>
        </w:p>
        <w:p>
          <w:pPr>
            <w:pStyle w:val="TOC3"/>
            <w:tabs>
              <w:tab w:val="right" w:leader="dot" w:pos="9072"/>
            </w:tabs>
          </w:pPr>
          <w:r>
            <w:t xml:space="preserve">Deployment Decision Framework</w:t>
          </w:r>
          <w:r>
            <w:tab/>
          </w:r>
          <w:r>
            <w:t xml:space="preserve">38</w:t>
          </w:r>
        </w:p>
        <w:p>
          <w:pPr>
            <w:pStyle w:val="TOC3"/>
            <w:tabs>
              <w:tab w:val="right" w:leader="dot" w:pos="9072"/>
            </w:tabs>
          </w:pPr>
          <w:r>
            <w:t xml:space="preserve">Managed SaaS: Detailed Specifications</w:t>
          </w:r>
          <w:r>
            <w:tab/>
          </w:r>
          <w:r>
            <w:t xml:space="preserve">39</w:t>
          </w:r>
        </w:p>
        <w:p>
          <w:pPr>
            <w:pStyle w:val="TOC3"/>
            <w:tabs>
              <w:tab w:val="right" w:leader="dot" w:pos="9072"/>
            </w:tabs>
          </w:pPr>
          <w:r>
            <w:t xml:space="preserve">Cost Structure Summary</w:t>
          </w:r>
          <w:r>
            <w:tab/>
          </w:r>
          <w:r>
            <w:t xml:space="preserve">40</w:t>
          </w:r>
        </w:p>
        <w:p>
          <w:pPr>
            <w:pStyle w:val="TOC3"/>
            <w:tabs>
              <w:tab w:val="right" w:leader="dot" w:pos="9072"/>
            </w:tabs>
          </w:pPr>
          <w:r>
            <w:t xml:space="preserve">Cost Structure Detail</w:t>
          </w:r>
          <w:r>
            <w:tab/>
          </w:r>
          <w:r>
            <w:t xml:space="preserve">41</w:t>
          </w:r>
        </w:p>
        <w:p>
          <w:pPr>
            <w:pStyle w:val="TOC3"/>
            <w:tabs>
              <w:tab w:val="right" w:leader="dot" w:pos="9072"/>
            </w:tabs>
          </w:pPr>
          <w:r>
            <w:t xml:space="preserve">Cost Structure</w:t>
          </w:r>
          <w:r>
            <w:tab/>
          </w:r>
          <w:r>
            <w:t xml:space="preserve">42</w:t>
          </w:r>
        </w:p>
        <w:p>
          <w:pPr>
            <w:pStyle w:val="TOC3"/>
            <w:tabs>
              <w:tab w:val="right" w:leader="dot" w:pos="9072"/>
            </w:tabs>
          </w:pPr>
          <w:r>
            <w:t xml:space="preserve">Cost Driver Matrix</w:t>
          </w:r>
          <w:r>
            <w:tab/>
          </w:r>
          <w:r>
            <w:t xml:space="preserve">43</w:t>
          </w:r>
        </w:p>
        <w:p>
          <w:pPr>
            <w:pStyle w:val="TOC2"/>
            <w:tabs>
              <w:tab w:val="right" w:leader="dot" w:pos="9072"/>
            </w:tabs>
          </w:pPr>
          <w:r>
            <w:t xml:space="preserve">Support and SLA Framework</w:t>
          </w:r>
          <w:r>
            <w:tab/>
          </w:r>
          <w:r>
            <w:t xml:space="preserve">44</w:t>
          </w:r>
        </w:p>
        <w:p>
          <w:pPr>
            <w:pStyle w:val="TOC3"/>
            <w:tabs>
              <w:tab w:val="right" w:leader="dot" w:pos="9072"/>
            </w:tabs>
          </w:pPr>
          <w:r>
            <w:t xml:space="preserve">Recommended Tier: Premium Support</w:t>
          </w:r>
          <w:r>
            <w:tab/>
          </w:r>
          <w:r>
            <w:t xml:space="preserve">45</w:t>
          </w:r>
        </w:p>
        <w:p>
          <w:pPr>
            <w:pStyle w:val="TOC3"/>
            <w:tabs>
              <w:tab w:val="right" w:leader="dot" w:pos="9072"/>
            </w:tabs>
          </w:pPr>
          <w:r>
            <w:t xml:space="preserve">Support Tier Comparison</w:t>
          </w:r>
          <w:r>
            <w:tab/>
          </w:r>
          <w:r>
            <w:t xml:space="preserve">46</w:t>
          </w:r>
        </w:p>
        <w:p>
          <w:pPr>
            <w:pStyle w:val="TOC3"/>
            <w:tabs>
              <w:tab w:val="right" w:leader="dot" w:pos="9072"/>
            </w:tabs>
          </w:pPr>
          <w:r>
            <w:t xml:space="preserve">Severity Definitions</w:t>
          </w:r>
          <w:r>
            <w:tab/>
          </w:r>
          <w:r>
            <w:t xml:space="preserve">47</w:t>
          </w:r>
        </w:p>
        <w:p>
          <w:pPr>
            <w:pStyle w:val="TOC3"/>
            <w:tabs>
              <w:tab w:val="right" w:leader="dot" w:pos="9072"/>
            </w:tabs>
          </w:pPr>
          <w:r>
            <w:t xml:space="preserve">Response and Resolution SLA</w:t>
          </w:r>
          <w:r>
            <w:tab/>
          </w:r>
          <w:r>
            <w:t xml:space="preserve">48</w:t>
          </w:r>
        </w:p>
        <w:p>
          <w:pPr>
            <w:pStyle w:val="TOC3"/>
            <w:tabs>
              <w:tab w:val="right" w:leader="dot" w:pos="9072"/>
            </w:tabs>
          </w:pPr>
          <w:r>
            <w:t xml:space="preserve">Escalation Path</w:t>
          </w:r>
          <w:r>
            <w:tab/>
          </w:r>
          <w:r>
            <w:t xml:space="preserve">49</w:t>
          </w:r>
        </w:p>
        <w:p>
          <w:pPr>
            <w:pStyle w:val="TOC3"/>
            <w:tabs>
              <w:tab w:val="right" w:leader="dot" w:pos="9072"/>
            </w:tabs>
          </w:pPr>
          <w:r>
            <w:t xml:space="preserve">Uptime Target</w:t>
          </w:r>
          <w:r>
            <w:tab/>
          </w:r>
          <w:r>
            <w:t xml:space="preserve">50</w:t>
          </w:r>
        </w:p>
        <w:p>
          <w:pPr>
            <w:pStyle w:val="TOC3"/>
            <w:tabs>
              <w:tab w:val="right" w:leader="dot" w:pos="9072"/>
            </w:tabs>
          </w:pPr>
          <w:r>
            <w:t xml:space="preserve">Why Premium Support Matters for Posidonia Readiness</w:t>
          </w:r>
          <w:r>
            <w:tab/>
          </w:r>
          <w:r>
            <w:t xml:space="preserve">51</w:t>
          </w:r>
        </w:p>
        <w:p>
          <w:pPr>
            <w:pStyle w:val="TOC3"/>
            <w:tabs>
              <w:tab w:val="right" w:leader="dot" w:pos="9072"/>
            </w:tabs>
          </w:pPr>
          <w:r>
            <w:t xml:space="preserve">Maintenance and Update Policy</w:t>
          </w:r>
          <w:r>
            <w:tab/>
          </w:r>
          <w:r>
            <w:t xml:space="preserve">52</w:t>
          </w:r>
        </w:p>
        <w:p>
          <w:pPr>
            <w:pStyle w:val="TOC2"/>
            <w:tabs>
              <w:tab w:val="right" w:leader="dot" w:pos="9072"/>
            </w:tabs>
          </w:pPr>
          <w:r>
            <w:t xml:space="preserve">Implementation Investment</w:t>
          </w:r>
          <w:r>
            <w:tab/>
          </w:r>
          <w:r>
            <w:t xml:space="preserve">53</w:t>
          </w:r>
        </w:p>
        <w:p>
          <w:pPr>
            <w:pStyle w:val="TOC3"/>
            <w:tabs>
              <w:tab w:val="right" w:leader="dot" w:pos="9072"/>
            </w:tabs>
          </w:pPr>
          <w:r>
            <w:t xml:space="preserve">Implementation Approach</w:t>
          </w:r>
          <w:r>
            <w:tab/>
          </w:r>
          <w:r>
            <w:t xml:space="preserve">54</w:t>
          </w:r>
        </w:p>
        <w:p>
          <w:pPr>
            <w:pStyle w:val="TOC3"/>
            <w:tabs>
              <w:tab w:val="right" w:leader="dot" w:pos="9072"/>
            </w:tabs>
          </w:pPr>
          <w:r>
            <w:t xml:space="preserve">Phase 0: Foundation</w:t>
          </w:r>
          <w:r>
            <w:tab/>
          </w:r>
          <w:r>
            <w:t xml:space="preserve">55</w:t>
          </w:r>
        </w:p>
        <w:p>
          <w:pPr>
            <w:pStyle w:val="TOC3"/>
            <w:tabs>
              <w:tab w:val="right" w:leader="dot" w:pos="9072"/>
            </w:tabs>
          </w:pPr>
          <w:r>
            <w:t xml:space="preserve">Phase 0 Detailed Activities</w:t>
          </w:r>
          <w:r>
            <w:tab/>
          </w:r>
          <w:r>
            <w:t xml:space="preserve">56</w:t>
          </w:r>
        </w:p>
        <w:p>
          <w:pPr>
            <w:pStyle w:val="TOC3"/>
            <w:tabs>
              <w:tab w:val="right" w:leader="dot" w:pos="9072"/>
            </w:tabs>
          </w:pPr>
          <w:r>
            <w:t xml:space="preserve">Phase 1: SPC Fleet Deployment</w:t>
          </w:r>
          <w:r>
            <w:tab/>
          </w:r>
          <w:r>
            <w:t xml:space="preserve">57</w:t>
          </w:r>
        </w:p>
        <w:p>
          <w:pPr>
            <w:pStyle w:val="TOC3"/>
            <w:tabs>
              <w:tab w:val="right" w:leader="dot" w:pos="9072"/>
            </w:tabs>
          </w:pPr>
          <w:r>
            <w:t xml:space="preserve">Phase 1 Detailed Activities</w:t>
          </w:r>
          <w:r>
            <w:tab/>
          </w:r>
          <w:r>
            <w:t xml:space="preserve">58</w:t>
          </w:r>
        </w:p>
        <w:p>
          <w:pPr>
            <w:pStyle w:val="TOC3"/>
            <w:tabs>
              <w:tab w:val="right" w:leader="dot" w:pos="9072"/>
            </w:tabs>
          </w:pPr>
          <w:r>
            <w:t xml:space="preserve">Phase 2: Posidonia Readiness</w:t>
          </w:r>
          <w:r>
            <w:tab/>
          </w:r>
          <w:r>
            <w:t xml:space="preserve">59</w:t>
          </w:r>
        </w:p>
        <w:p>
          <w:pPr>
            <w:pStyle w:val="TOC3"/>
            <w:tabs>
              <w:tab w:val="right" w:leader="dot" w:pos="9072"/>
            </w:tabs>
          </w:pPr>
          <w:r>
            <w:t xml:space="preserve">What the Posidonia Announcement Will Demonstrate</w:t>
          </w:r>
          <w:r>
            <w:tab/>
          </w:r>
          <w:r>
            <w:t xml:space="preserve">60</w:t>
          </w:r>
        </w:p>
        <w:p>
          <w:pPr>
            <w:pStyle w:val="TOC3"/>
            <w:tabs>
              <w:tab w:val="right" w:leader="dot" w:pos="9072"/>
            </w:tabs>
          </w:pPr>
          <w:r>
            <w:t xml:space="preserve">What Happens After Posidonia</w:t>
          </w:r>
          <w:r>
            <w:tab/>
          </w:r>
          <w:r>
            <w:t xml:space="preserve">61</w:t>
          </w:r>
        </w:p>
        <w:p>
          <w:pPr>
            <w:pStyle w:val="TOC3"/>
            <w:tabs>
              <w:tab w:val="right" w:leader="dot" w:pos="9072"/>
            </w:tabs>
          </w:pPr>
          <w:r>
            <w:t xml:space="preserve">Why MindWave Is Critical to Success</w:t>
          </w:r>
          <w:r>
            <w:tab/>
          </w:r>
          <w:r>
            <w:t xml:space="preserve">62</w:t>
          </w:r>
        </w:p>
        <w:p>
          <w:pPr>
            <w:pStyle w:val="TOC3"/>
            <w:tabs>
              <w:tab w:val="right" w:leader="dot" w:pos="9072"/>
            </w:tabs>
          </w:pPr>
          <w:r>
            <w:t xml:space="preserve">Phase 3: Scale</w:t>
          </w:r>
          <w:r>
            <w:tab/>
          </w:r>
          <w:r>
            <w:t xml:space="preserve">63</w:t>
          </w:r>
        </w:p>
        <w:p>
          <w:pPr>
            <w:pStyle w:val="TOC3"/>
            <w:tabs>
              <w:tab w:val="right" w:leader="dot" w:pos="9072"/>
            </w:tabs>
          </w:pPr>
          <w:r>
            <w:t xml:space="preserve">Implementation Pricing Summary</w:t>
          </w:r>
          <w:r>
            <w:tab/>
          </w:r>
          <w:r>
            <w:t xml:space="preserve">64</w:t>
          </w:r>
        </w:p>
        <w:p>
          <w:pPr>
            <w:pStyle w:val="TOC3"/>
            <w:tabs>
              <w:tab w:val="right" w:leader="dot" w:pos="9072"/>
            </w:tabs>
          </w:pPr>
          <w:r>
            <w:t xml:space="preserve">What Accelerates Delivery</w:t>
          </w:r>
          <w:r>
            <w:tab/>
          </w:r>
          <w:r>
            <w:t xml:space="preserve">65</w:t>
          </w:r>
        </w:p>
        <w:p>
          <w:pPr>
            <w:pStyle w:val="TOC3"/>
            <w:tabs>
              <w:tab w:val="right" w:leader="dot" w:pos="9072"/>
            </w:tabs>
          </w:pPr>
          <w:r>
            <w:t xml:space="preserve">Timeline Risks</w:t>
          </w:r>
          <w:r>
            <w:tab/>
          </w:r>
          <w:r>
            <w:t xml:space="preserve">66</w:t>
          </w:r>
        </w:p>
        <w:p>
          <w:pPr>
            <w:pStyle w:val="TOC3"/>
            <w:tabs>
              <w:tab w:val="right" w:leader="dot" w:pos="9072"/>
            </w:tabs>
          </w:pPr>
          <w:r>
            <w:t xml:space="preserve">RACI Matrix</w:t>
          </w:r>
          <w:r>
            <w:tab/>
          </w:r>
          <w:r>
            <w:t xml:space="preserve">67</w:t>
          </w:r>
        </w:p>
        <w:p>
          <w:pPr>
            <w:pStyle w:val="TOC2"/>
            <w:tabs>
              <w:tab w:val="right" w:leader="dot" w:pos="9072"/>
            </w:tabs>
          </w:pPr>
          <w:r>
            <w:t xml:space="preserve">Total Cost of Ownership</w:t>
          </w:r>
          <w:r>
            <w:tab/>
          </w:r>
          <w:r>
            <w:t xml:space="preserve">68</w:t>
          </w:r>
        </w:p>
        <w:p>
          <w:pPr>
            <w:pStyle w:val="TOC3"/>
            <w:tabs>
              <w:tab w:val="right" w:leader="dot" w:pos="9072"/>
            </w:tabs>
          </w:pPr>
          <w:r>
            <w:t xml:space="preserve">TCO Framework</w:t>
          </w:r>
          <w:r>
            <w:tab/>
          </w:r>
          <w:r>
            <w:t xml:space="preserve">69</w:t>
          </w:r>
        </w:p>
        <w:p>
          <w:pPr>
            <w:pStyle w:val="TOC3"/>
            <w:tabs>
              <w:tab w:val="right" w:leader="dot" w:pos="9072"/>
            </w:tabs>
          </w:pPr>
          <w:r>
            <w:t xml:space="preserve">Three-Year TCO Model</w:t>
          </w:r>
          <w:r>
            <w:tab/>
          </w:r>
          <w:r>
            <w:t xml:space="preserve">70</w:t>
          </w:r>
        </w:p>
        <w:p>
          <w:pPr>
            <w:pStyle w:val="TOC3"/>
            <w:tabs>
              <w:tab w:val="right" w:leader="dot" w:pos="9072"/>
            </w:tabs>
          </w:pPr>
          <w:r>
            <w:t xml:space="preserve">Understanding the TCO Components</w:t>
          </w:r>
          <w:r>
            <w:tab/>
          </w:r>
          <w:r>
            <w:t xml:space="preserve">71</w:t>
          </w:r>
        </w:p>
        <w:p>
          <w:pPr>
            <w:pStyle w:val="TOC3"/>
            <w:tabs>
              <w:tab w:val="right" w:leader="dot" w:pos="9072"/>
            </w:tabs>
          </w:pPr>
          <w:r>
            <w:t xml:space="preserve">Five-Year TCO Model</w:t>
          </w:r>
          <w:r>
            <w:tab/>
          </w:r>
          <w:r>
            <w:t xml:space="preserve">72</w:t>
          </w:r>
        </w:p>
        <w:p>
          <w:pPr>
            <w:pStyle w:val="TOC3"/>
            <w:tabs>
              <w:tab w:val="right" w:leader="dot" w:pos="9072"/>
            </w:tabs>
          </w:pPr>
          <w:r>
            <w:t xml:space="preserve">Comparative Analysis: DALP vs. Build In-House</w:t>
          </w:r>
          <w:r>
            <w:tab/>
          </w:r>
          <w:r>
            <w:t xml:space="preserve">73</w:t>
          </w:r>
        </w:p>
        <w:p>
          <w:pPr>
            <w:pStyle w:val="TOC3"/>
            <w:tabs>
              <w:tab w:val="right" w:leader="dot" w:pos="9072"/>
            </w:tabs>
          </w:pPr>
          <w:r>
            <w:t xml:space="preserve">Comparative Analysis: DALP vs. Multi-Vendor Assembly</w:t>
          </w:r>
          <w:r>
            <w:tab/>
          </w:r>
          <w:r>
            <w:t xml:space="preserve">74</w:t>
          </w:r>
        </w:p>
        <w:p>
          <w:pPr>
            <w:pStyle w:val="TOC3"/>
            <w:tabs>
              <w:tab w:val="right" w:leader="dot" w:pos="9072"/>
            </w:tabs>
          </w:pPr>
          <w:r>
            <w:t xml:space="preserve">Cost-Per-SPC Economics: The Scale Advantage</w:t>
          </w:r>
          <w:r>
            <w:tab/>
          </w:r>
          <w:r>
            <w:t xml:space="preserve">75</w:t>
          </w:r>
        </w:p>
        <w:p>
          <w:pPr>
            <w:pStyle w:val="TOC2"/>
            <w:tabs>
              <w:tab w:val="right" w:leader="dot" w:pos="9072"/>
            </w:tabs>
          </w:pPr>
          <w:r>
            <w:t xml:space="preserve">Reference Clients</w:t>
          </w:r>
          <w:r>
            <w:tab/>
          </w:r>
          <w:r>
            <w:t xml:space="preserve">76</w:t>
          </w:r>
        </w:p>
        <w:p>
          <w:pPr>
            <w:pStyle w:val="TOC3"/>
            <w:tabs>
              <w:tab w:val="right" w:leader="dot" w:pos="9072"/>
            </w:tabs>
          </w:pPr>
          <w:r>
            <w:t xml:space="preserve">Production Track Record</w:t>
          </w:r>
          <w:r>
            <w:tab/>
          </w:r>
          <w:r>
            <w:t xml:space="preserve">77</w:t>
          </w:r>
        </w:p>
        <w:p>
          <w:pPr>
            <w:pStyle w:val="TOC3"/>
            <w:tabs>
              <w:tab w:val="right" w:leader="dot" w:pos="9072"/>
            </w:tabs>
          </w:pPr>
          <w:r>
            <w:t xml:space="preserve">Expanded Reference: OCBC Bank — Institutional Security Token Engine</w:t>
          </w:r>
          <w:r>
            <w:tab/>
          </w:r>
          <w:r>
            <w:t xml:space="preserve">78</w:t>
          </w:r>
        </w:p>
        <w:p>
          <w:pPr>
            <w:pStyle w:val="TOC3"/>
            <w:tabs>
              <w:tab w:val="right" w:leader="dot" w:pos="9072"/>
            </w:tabs>
          </w:pPr>
          <w:r>
            <w:t xml:space="preserve">Expanded Reference: Commerzbank — ETP Issuance and Settlement</w:t>
          </w:r>
          <w:r>
            <w:tab/>
          </w:r>
          <w:r>
            <w:t xml:space="preserve">79</w:t>
          </w:r>
        </w:p>
        <w:p>
          <w:pPr>
            <w:pStyle w:val="TOC3"/>
            <w:tabs>
              <w:tab w:val="right" w:leader="dot" w:pos="9072"/>
            </w:tabs>
          </w:pPr>
          <w:r>
            <w:t xml:space="preserve">Expanded Reference: ADI / Finstreet — Tokenized Equity with Corporate Actions</w:t>
          </w:r>
          <w:r>
            <w:tab/>
          </w:r>
          <w:r>
            <w:t xml:space="preserve">80</w:t>
          </w:r>
        </w:p>
        <w:p>
          <w:pPr>
            <w:pStyle w:val="TOC3"/>
            <w:tabs>
              <w:tab w:val="right" w:leader="dot" w:pos="9072"/>
            </w:tabs>
          </w:pPr>
          <w:r>
            <w:t xml:space="preserve">Expanded Reference: Saudi RER — Country-Scale Multi-Entity Tokenization</w:t>
          </w:r>
          <w:r>
            <w:tab/>
          </w:r>
          <w:r>
            <w:t xml:space="preserve">81</w:t>
          </w:r>
        </w:p>
        <w:p>
          <w:pPr>
            <w:pStyle w:val="TOC3"/>
            <w:tabs>
              <w:tab w:val="right" w:leader="dot" w:pos="9072"/>
            </w:tabs>
          </w:pPr>
          <w:r>
            <w:t xml:space="preserve">Why These References Matter to Neptune</w:t>
          </w:r>
          <w:r>
            <w:tab/>
          </w:r>
          <w:r>
            <w:t xml:space="preserve">82</w:t>
          </w:r>
        </w:p>
        <w:p>
          <w:pPr>
            <w:pStyle w:val="TOC3"/>
            <w:tabs>
              <w:tab w:val="right" w:leader="dot" w:pos="9072"/>
            </w:tabs>
          </w:pPr>
          <w:r>
            <w:t xml:space="preserve">Reference Client Summary</w:t>
          </w:r>
          <w:r>
            <w:tab/>
          </w:r>
          <w:r>
            <w:t xml:space="preserve">83</w:t>
          </w:r>
        </w:p>
        <w:p>
          <w:pPr>
            <w:pStyle w:val="TOC3"/>
            <w:tabs>
              <w:tab w:val="right" w:leader="dot" w:pos="9072"/>
            </w:tabs>
          </w:pPr>
          <w:r>
            <w:t xml:space="preserve">Why These References Matter to Neptune</w:t>
          </w:r>
          <w:r>
            <w:tab/>
          </w:r>
          <w:r>
            <w:t xml:space="preserve">84</w:t>
          </w:r>
        </w:p>
        <w:p>
          <w:pPr>
            <w:pStyle w:val="TOC2"/>
            <w:tabs>
              <w:tab w:val="right" w:leader="dot" w:pos="9072"/>
            </w:tabs>
          </w:pPr>
          <w:r>
            <w:t xml:space="preserve">Commercial Terms</w:t>
          </w:r>
          <w:r>
            <w:tab/>
          </w:r>
          <w:r>
            <w:t xml:space="preserve">85</w:t>
          </w:r>
        </w:p>
        <w:p>
          <w:pPr>
            <w:pStyle w:val="TOC3"/>
            <w:tabs>
              <w:tab w:val="right" w:leader="dot" w:pos="9072"/>
            </w:tabs>
          </w:pPr>
          <w:r>
            <w:t xml:space="preserve">Contract Structure</w:t>
          </w:r>
          <w:r>
            <w:tab/>
          </w:r>
          <w:r>
            <w:t xml:space="preserve">86</w:t>
          </w:r>
        </w:p>
        <w:p>
          <w:pPr>
            <w:pStyle w:val="TOC3"/>
            <w:tabs>
              <w:tab w:val="right" w:leader="dot" w:pos="9072"/>
            </w:tabs>
          </w:pPr>
          <w:r>
            <w:t xml:space="preserve">Payment Schedule</w:t>
          </w:r>
          <w:r>
            <w:tab/>
          </w:r>
          <w:r>
            <w:t xml:space="preserve">87</w:t>
          </w:r>
        </w:p>
        <w:p>
          <w:pPr>
            <w:pStyle w:val="TOC3"/>
            <w:tabs>
              <w:tab w:val="right" w:leader="dot" w:pos="9072"/>
            </w:tabs>
          </w:pPr>
          <w:r>
            <w:t xml:space="preserve">Duration</w:t>
          </w:r>
          <w:r>
            <w:tab/>
          </w:r>
          <w:r>
            <w:t xml:space="preserve">88</w:t>
          </w:r>
        </w:p>
        <w:p>
          <w:pPr>
            <w:pStyle w:val="TOC3"/>
            <w:tabs>
              <w:tab w:val="right" w:leader="dot" w:pos="9072"/>
            </w:tabs>
          </w:pPr>
          <w:r>
            <w:t xml:space="preserve">Renewal</w:t>
          </w:r>
          <w:r>
            <w:tab/>
          </w:r>
          <w:r>
            <w:t xml:space="preserve">89</w:t>
          </w:r>
        </w:p>
        <w:p>
          <w:pPr>
            <w:pStyle w:val="TOC3"/>
            <w:tabs>
              <w:tab w:val="right" w:leader="dot" w:pos="9072"/>
            </w:tabs>
          </w:pPr>
          <w:r>
            <w:t xml:space="preserve">Termination</w:t>
          </w:r>
          <w:r>
            <w:tab/>
          </w:r>
          <w:r>
            <w:t xml:space="preserve">90</w:t>
          </w:r>
        </w:p>
        <w:p>
          <w:pPr>
            <w:pStyle w:val="TOC3"/>
            <w:tabs>
              <w:tab w:val="right" w:leader="dot" w:pos="9072"/>
            </w:tabs>
          </w:pPr>
          <w:r>
            <w:t xml:space="preserve">Intellectual Property</w:t>
          </w:r>
          <w:r>
            <w:tab/>
          </w:r>
          <w:r>
            <w:t xml:space="preserve">91</w:t>
          </w:r>
        </w:p>
        <w:p>
          <w:pPr>
            <w:pStyle w:val="TOC3"/>
            <w:tabs>
              <w:tab w:val="right" w:leader="dot" w:pos="9072"/>
            </w:tabs>
          </w:pPr>
          <w:r>
            <w:t xml:space="preserve">Liability Cap Rationale</w:t>
          </w:r>
          <w:r>
            <w:tab/>
          </w:r>
          <w:r>
            <w:t xml:space="preserve">92</w:t>
          </w:r>
        </w:p>
        <w:p>
          <w:pPr>
            <w:pStyle w:val="TOC3"/>
            <w:tabs>
              <w:tab w:val="right" w:leader="dot" w:pos="9072"/>
            </w:tabs>
          </w:pPr>
          <w:r>
            <w:t xml:space="preserve">Data Protection and Privacy</w:t>
          </w:r>
          <w:r>
            <w:tab/>
          </w:r>
          <w:r>
            <w:t xml:space="preserve">93</w:t>
          </w:r>
        </w:p>
        <w:p>
          <w:pPr>
            <w:pStyle w:val="TOC3"/>
            <w:tabs>
              <w:tab w:val="right" w:leader="dot" w:pos="9072"/>
            </w:tabs>
          </w:pPr>
          <w:r>
            <w:t xml:space="preserve">Insurance Requirements</w:t>
          </w:r>
          <w:r>
            <w:tab/>
          </w:r>
          <w:r>
            <w:t xml:space="preserve">94</w:t>
          </w:r>
        </w:p>
        <w:p>
          <w:pPr>
            <w:pStyle w:val="TOC3"/>
            <w:tabs>
              <w:tab w:val="right" w:leader="dot" w:pos="9072"/>
            </w:tabs>
          </w:pPr>
          <w:r>
            <w:t xml:space="preserve">Governing Law and Dispute Resolution</w:t>
          </w:r>
          <w:r>
            <w:tab/>
          </w:r>
          <w:r>
            <w:t xml:space="preserve">95</w:t>
          </w:r>
        </w:p>
        <w:p>
          <w:pPr>
            <w:pStyle w:val="TOC3"/>
            <w:tabs>
              <w:tab w:val="right" w:leader="dot" w:pos="9072"/>
            </w:tabs>
          </w:pPr>
          <w:r>
            <w:t xml:space="preserve">Commercial Terms Summary Table</w:t>
          </w:r>
          <w:r>
            <w:tab/>
          </w:r>
          <w:r>
            <w:t xml:space="preserve">96</w:t>
          </w:r>
        </w:p>
        <w:p>
          <w:pPr>
            <w:pStyle w:val="TOC3"/>
            <w:tabs>
              <w:tab w:val="right" w:leader="dot" w:pos="9072"/>
            </w:tabs>
          </w:pPr>
          <w:r>
            <w:t xml:space="preserve">Items Requiring Confirmation</w:t>
          </w:r>
          <w:r>
            <w:tab/>
          </w:r>
          <w:r>
            <w:t xml:space="preserve">97</w:t>
          </w:r>
        </w:p>
        <w:p>
          <w:pPr>
            <w:pStyle w:val="TOC3"/>
            <w:tabs>
              <w:tab w:val="right" w:leader="dot" w:pos="9072"/>
            </w:tabs>
          </w:pPr>
          <w:r>
            <w:t xml:space="preserve">Confidentiality</w:t>
          </w:r>
          <w:r>
            <w:tab/>
          </w:r>
          <w:r>
            <w:t xml:space="preserve">98</w:t>
          </w:r>
        </w:p>
        <w:p>
          <w:pPr>
            <w:pStyle w:val="TOC3"/>
            <w:tabs>
              <w:tab w:val="right" w:leader="dot" w:pos="9072"/>
            </w:tabs>
          </w:pPr>
          <w:r>
            <w:t xml:space="preserve">Source Code Escrow</w:t>
          </w:r>
          <w:r>
            <w:tab/>
          </w:r>
          <w:r>
            <w:t xml:space="preserve">99</w:t>
          </w:r>
        </w:p>
        <w:p>
          <w:pPr>
            <w:pStyle w:val="TOC2"/>
            <w:tabs>
              <w:tab w:val="right" w:leader="dot" w:pos="9072"/>
            </w:tabs>
          </w:pPr>
          <w:r>
            <w:t xml:space="preserve">Next Steps</w:t>
          </w:r>
          <w:r>
            <w:tab/>
          </w:r>
          <w:r>
            <w:t xml:space="preserve">100</w:t>
          </w:r>
        </w:p>
        <w:p>
          <w:pPr>
            <w:pStyle w:val="TOC3"/>
            <w:tabs>
              <w:tab w:val="right" w:leader="dot" w:pos="9072"/>
            </w:tabs>
          </w:pPr>
          <w:r>
            <w:t xml:space="preserve">Commercial Review with Harris Antoniou and Iraklis Tsirigotis</w:t>
          </w:r>
          <w:r>
            <w:tab/>
          </w:r>
          <w:r>
            <w:t xml:space="preserve">101</w:t>
          </w:r>
        </w:p>
        <w:p>
          <w:pPr>
            <w:pStyle w:val="TOC3"/>
            <w:tabs>
              <w:tab w:val="right" w:leader="dot" w:pos="9072"/>
            </w:tabs>
          </w:pPr>
          <w:r>
            <w:t xml:space="preserve">Legal Instrument Structuring Confirmation with Papandreou</w:t>
          </w:r>
          <w:r>
            <w:tab/>
          </w:r>
          <w:r>
            <w:t xml:space="preserve">102</w:t>
          </w:r>
        </w:p>
        <w:p>
          <w:pPr>
            <w:pStyle w:val="TOC3"/>
            <w:tabs>
              <w:tab w:val="right" w:leader="dot" w:pos="9072"/>
            </w:tabs>
          </w:pPr>
          <w:r>
            <w:t xml:space="preserve">Scoping Workshop</w:t>
          </w:r>
          <w:r>
            <w:tab/>
          </w:r>
          <w:r>
            <w:t xml:space="preserve">103</w:t>
          </w:r>
        </w:p>
        <w:p>
          <w:pPr>
            <w:pStyle w:val="TOC3"/>
            <w:tabs>
              <w:tab w:val="right" w:leader="dot" w:pos="9072"/>
            </w:tabs>
          </w:pPr>
          <w:r>
            <w:t xml:space="preserve">What Happens If the Timeline Slips</w:t>
          </w:r>
          <w:r>
            <w:tab/>
          </w:r>
          <w:r>
            <w:t xml:space="preserve">104</w:t>
          </w:r>
        </w:p>
        <w:p>
          <w:pPr>
            <w:pStyle w:val="TOC3"/>
            <w:tabs>
              <w:tab w:val="right" w:leader="dot" w:pos="9072"/>
            </w:tabs>
          </w:pPr>
          <w:r>
            <w:t xml:space="preserve">What Neptune Needs to Deliver</w:t>
          </w:r>
          <w:r>
            <w:tab/>
          </w:r>
          <w:r>
            <w:t xml:space="preserve">105</w:t>
          </w:r>
        </w:p>
        <w:p>
          <w:pPr>
            <w:pStyle w:val="TOC3"/>
            <w:tabs>
              <w:tab w:val="right" w:leader="dot" w:pos="9072"/>
            </w:tabs>
          </w:pPr>
          <w:r>
            <w:t xml:space="preserve">What SettleMint Will Deliver</w:t>
          </w:r>
          <w:r>
            <w:tab/>
          </w:r>
          <w:r>
            <w:t xml:space="preserve">106</w:t>
          </w:r>
        </w:p>
        <w:p>
          <w:pPr>
            <w:pStyle w:val="TOC3"/>
            <w:tabs>
              <w:tab w:val="right" w:leader="dot" w:pos="9072"/>
            </w:tabs>
          </w:pPr>
          <w:r>
            <w:t xml:space="preserve">Refined Commercial Offer and SOW Draft</w:t>
          </w:r>
          <w:r>
            <w:tab/>
          </w:r>
          <w:r>
            <w:t xml:space="preserve">107</w:t>
          </w:r>
        </w:p>
        <w:p>
          <w:pPr>
            <w:pStyle w:val="TOC3"/>
            <w:tabs>
              <w:tab w:val="right" w:leader="dot" w:pos="9072"/>
            </w:tabs>
          </w:pPr>
          <w:r>
            <w:t xml:space="preserve">Contract Execution</w:t>
          </w:r>
          <w:r>
            <w:tab/>
          </w:r>
          <w:r>
            <w:t xml:space="preserve">108</w:t>
          </w:r>
        </w:p>
        <w:p>
          <w:pPr>
            <w:pStyle w:val="TOC3"/>
            <w:tabs>
              <w:tab w:val="right" w:leader="dot" w:pos="9072"/>
            </w:tabs>
          </w:pPr>
          <w:r>
            <w:t xml:space="preserve">Timeline Summary</w:t>
          </w:r>
          <w:r>
            <w:tab/>
          </w:r>
          <w:r>
            <w:t xml:space="preserve">109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0"/>
        <w:gridCol w:w="71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Digital Asset Lifecycle Platform for Neptune Maritime Leasing</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Neptune Maritime Leasing</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19 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contacts</w:t>
            </w:r>
          </w:p>
        </w:tc>
        <w:tc>
          <w:tcPr>
            <w:tcW w:type="dxa" w:w="4873"/>
            <w:vAlign w:val="center"/>
          </w:tcPr>
          <w:p>
            <w:pPr>
              <w:spacing w:line="276" w:lineRule="auto" w:before="0" w:after="0"/>
            </w:pPr>
            <w:r/>
            <w:r>
              <w:rPr>
                <w:rFonts w:ascii="Figtree" w:hAnsi="Figtree"/>
                <w:b w:val="0"/>
                <w:i w:val="0"/>
                <w:sz w:val="20"/>
              </w:rPr>
              <w:t>Harris Antoniou, Iraklis Tsirigotis</w:t>
            </w:r>
          </w:p>
        </w:tc>
      </w:tr>
    </w:tbl>
    <w:p>
      <w:pPr>
        <w:spacing w:before="0" w:after="0" w:line="120" w:lineRule="exact"/>
      </w:pPr>
    </w:p>
    <w:p>
      <w:r>
        <w:br w:type="page"/>
      </w:r>
    </w:p>
    <w:p>
      <w:r>
        <w:rPr>
          <w:rFonts w:ascii="Figtree" w:hAnsi="Figtree"/>
          <w:b w:val="0"/>
          <w:i/>
          <w:sz w:val="22"/>
        </w:rPr>
        <w:t>This document contains commercially sensitive information prepared exclusively for Neptune Maritime Leasing. It may not be reproduced, distributed, or disclosed to third parties without the prior written consent of SettleMint NV.</w:t>
      </w:r>
    </w:p>
    <w:p>
      <w:r>
        <w:br w:type="page"/>
      </w:r>
    </w:p>
    <w:p>
      <w:pPr>
        <w:pStyle w:val="H2"/>
        <w:numPr>
          <w:ilvl w:val="1"/>
          <w:numId w:val="1"/>
        </w:numPr>
      </w:pPr>
      <w:r>
        <w:t>Executive Summary</w:t>
      </w:r>
    </w:p>
    <w:p>
      <w:r>
        <w:rPr>
          <w:rFonts w:ascii="Figtree" w:hAnsi="Figtree"/>
          <w:b w:val="0"/>
          <w:i w:val="0"/>
          <w:sz w:val="22"/>
        </w:rPr>
        <w:t>Neptune Maritime Leasing is pursuing one of the most ambitious programmes in maritime finance: the tokenization of its entire fleet of special purpose companies, with the objective of announcing at Posidonia 2026 that Neptune has become the first shipping company to digitize its SPC fleet using blockchain-based infrastructure. This is not a pilot programme or a conceptual exercise. It is a board-approved initiative with a defined timeline, a clear commercial rationale, and a forcing function that concentrates decision-making: Posidonia opens in Athens in early June 2026.</w:t>
      </w:r>
    </w:p>
    <w:p>
      <w:r>
        <w:rPr>
          <w:rFonts w:ascii="Figtree" w:hAnsi="Figtree"/>
          <w:b w:val="0"/>
          <w:i w:val="0"/>
          <w:sz w:val="22"/>
        </w:rPr>
        <w:t>The commercial opportunity is substantial. Neptune operates a corporate structure comprising a Jersey holding company, a Marshall Islands sub-holding, and more than sixty special purpose companies, each owning a single vessel. The current model relies on concentrated maritime capital pools, manual compliance tracking per entity, and no digital distribution channel for investor participation. Tokenizing the SPC fleet transforms how Neptune raises capital, onboards investors, distributes yield, and governs its corporate hierarchy. The long-term vision extends to 200 to 300 vessels across Neptune and its affiliate fleets, with the potential to offer a white-label tokenization platform for the broader shipping industry.</w:t>
      </w:r>
    </w:p>
    <w:p>
      <w:r>
        <w:rPr>
          <w:rFonts w:ascii="Figtree" w:hAnsi="Figtree"/>
          <w:b w:val="0"/>
          <w:i w:val="0"/>
          <w:sz w:val="22"/>
        </w:rPr>
        <w:t>Neptune faces a strategic choice: build a custom tokenization capability in-house, assemble it from multiple specialized vendors, or adopt a purpose-built platform that covers the full digital asset lifecycle. SettleMint's recommendation is clear. DALP (Digital Asset Lifecycle Platform) provides the complete infrastructure required to issue, govern, and service tokenized SPC equity across Neptune's fleet, with compliance enforcement, identity management, custody integration, and operational tooling built into a single platform. DALP eliminates the need to assemble and maintain separate systems for issuance, compliance, settlement, and servicing, and it avoids the 12 to 24 months of engineering effort that an internal build would demand.</w:t>
      </w:r>
    </w:p>
    <w:p>
      <w:r>
        <w:rPr>
          <w:rFonts w:ascii="Figtree" w:hAnsi="Figtree"/>
          <w:b w:val="0"/>
          <w:i w:val="0"/>
          <w:sz w:val="22"/>
        </w:rPr>
        <w:t>The recommended model is phased, moving from a pilot deployment of 3 to 5 SPCs through to full fleet deployment and Posidonia readiness in under three months:</w:t>
      </w:r>
    </w:p>
    <w:p>
      <w:pPr>
        <w:pStyle w:val="ListParagraph"/>
        <w:numPr>
          <w:ilvl w:val="0"/>
          <w:numId w:val="4"/>
        </w:numPr>
      </w:pPr>
      <w:r>
        <w:rPr>
          <w:rFonts w:ascii="Figtree" w:hAnsi="Figtree"/>
          <w:b/>
          <w:i w:val="0"/>
          <w:sz w:val="22"/>
        </w:rPr>
        <w:t>Phase 0 (Foundation):</w:t>
      </w:r>
      <w:r>
        <w:rPr>
          <w:rFonts w:ascii="Figtree" w:hAnsi="Figtree"/>
          <w:b w:val="0"/>
          <w:i w:val="0"/>
          <w:sz w:val="22"/>
        </w:rPr>
        <w:t xml:space="preserve"> Deploy the DALP platform instance, configure the identity and compliance framework, deploy 3 to 5 pilot SPC equity tokens, and enable MindWave to begin custom UI development. Duration: 6 weeks.</w:t>
      </w:r>
    </w:p>
    <w:p>
      <w:pPr>
        <w:pStyle w:val="ListParagraph"/>
        <w:numPr>
          <w:ilvl w:val="0"/>
          <w:numId w:val="4"/>
        </w:numPr>
      </w:pPr>
      <w:r>
        <w:rPr>
          <w:rFonts w:ascii="Figtree" w:hAnsi="Figtree"/>
          <w:b/>
          <w:i w:val="0"/>
          <w:sz w:val="22"/>
        </w:rPr>
        <w:t>Phase 1 (SPC Fleet):</w:t>
      </w:r>
      <w:r>
        <w:rPr>
          <w:rFonts w:ascii="Figtree" w:hAnsi="Figtree"/>
          <w:b w:val="0"/>
          <w:i w:val="0"/>
          <w:sz w:val="22"/>
        </w:rPr>
        <w:t xml:space="preserve"> Bulk deployment of the remaining SPCs, compliance configuration per entity, yield distribution setup, and investor onboarding for the initial 5 investors. Duration: 6 weeks.</w:t>
      </w:r>
    </w:p>
    <w:p>
      <w:pPr>
        <w:pStyle w:val="ListParagraph"/>
        <w:numPr>
          <w:ilvl w:val="0"/>
          <w:numId w:val="4"/>
        </w:numPr>
      </w:pPr>
      <w:r>
        <w:rPr>
          <w:rFonts w:ascii="Figtree" w:hAnsi="Figtree"/>
          <w:b/>
          <w:i w:val="0"/>
          <w:sz w:val="22"/>
        </w:rPr>
        <w:t>Phase 2 (Posidonia Readiness):</w:t>
      </w:r>
      <w:r>
        <w:rPr>
          <w:rFonts w:ascii="Figtree" w:hAnsi="Figtree"/>
          <w:b w:val="0"/>
          <w:i w:val="0"/>
          <w:sz w:val="22"/>
        </w:rPr>
        <w:t xml:space="preserve"> All 60 SPCs deployed, investor portal functional, at least one SPC with minted tokens and active investors. Target: early June 2026.</w:t>
      </w:r>
    </w:p>
    <w:p>
      <w:pPr>
        <w:pStyle w:val="ListParagraph"/>
        <w:numPr>
          <w:ilvl w:val="0"/>
          <w:numId w:val="4"/>
        </w:numPr>
      </w:pPr>
      <w:r>
        <w:rPr>
          <w:rFonts w:ascii="Figtree" w:hAnsi="Figtree"/>
          <w:b/>
          <w:i w:val="0"/>
          <w:sz w:val="22"/>
        </w:rPr>
        <w:t>Phase 3 (Scale):</w:t>
      </w:r>
      <w:r>
        <w:rPr>
          <w:rFonts w:ascii="Figtree" w:hAnsi="Figtree"/>
          <w:b w:val="0"/>
          <w:i w:val="0"/>
          <w:sz w:val="22"/>
        </w:rPr>
        <w:t xml:space="preserve"> Post-Posidonia expansion to 200 to 300 vessels, secondary trading capability, and white-label platform potential.</w:t>
      </w:r>
    </w:p>
    <w:p>
      <w:r>
        <w:rPr>
          <w:rFonts w:ascii="Figtree" w:hAnsi="Figtree"/>
          <w:b w:val="0"/>
          <w:i w:val="0"/>
          <w:sz w:val="22"/>
        </w:rPr>
        <w:t xml:space="preserve">The working commercial structure for this engagement, subject to final scoping, is as follows. All figures are working placeholders and labelled </w:t>
      </w:r>
      <w:r>
        <w:rPr>
          <w:rFonts w:ascii="Figtree" w:hAnsi="Figtree"/>
          <w:b/>
          <w:i w:val="0"/>
          <w:sz w:val="22"/>
        </w:rPr>
        <w:t>[TO CONFIRM]</w:t>
      </w:r>
      <w:r>
        <w:rPr>
          <w:rFonts w:ascii="Figtree" w:hAnsi="Figtree"/>
          <w:b w:val="0"/>
          <w:i w:val="0"/>
          <w:sz w:val="22"/>
        </w:rPr>
        <w:t>:</w:t>
      </w:r>
    </w:p>
    <w:p>
      <w:pPr>
        <w:pStyle w:val="ListParagraph"/>
        <w:numPr>
          <w:ilvl w:val="0"/>
          <w:numId w:val="4"/>
        </w:numPr>
      </w:pPr>
      <w:r>
        <w:rPr>
          <w:rFonts w:ascii="Figtree" w:hAnsi="Figtree"/>
          <w:b/>
          <w:i w:val="0"/>
          <w:sz w:val="22"/>
        </w:rPr>
        <w:t>Development phase platform license:</w:t>
      </w:r>
      <w:r>
        <w:rPr>
          <w:rFonts w:ascii="Figtree" w:hAnsi="Figtree"/>
          <w:b w:val="0"/>
          <w:i w:val="0"/>
          <w:sz w:val="22"/>
        </w:rPr>
        <w:t xml:space="preserve"> ~€8,000/month </w:t>
      </w:r>
      <w:r>
        <w:rPr>
          <w:rFonts w:ascii="Figtree" w:hAnsi="Figtree"/>
          <w:b/>
          <w:i w:val="0"/>
          <w:sz w:val="22"/>
        </w:rPr>
        <w:t>[TO CONFIRM]</w:t>
      </w:r>
    </w:p>
    <w:p>
      <w:pPr>
        <w:pStyle w:val="ListParagraph"/>
        <w:numPr>
          <w:ilvl w:val="0"/>
          <w:numId w:val="4"/>
        </w:numPr>
      </w:pPr>
      <w:r>
        <w:rPr>
          <w:rFonts w:ascii="Figtree" w:hAnsi="Figtree"/>
          <w:b/>
          <w:i w:val="0"/>
          <w:sz w:val="22"/>
        </w:rPr>
        <w:t>One-time implementation investment:</w:t>
      </w:r>
      <w:r>
        <w:rPr>
          <w:rFonts w:ascii="Figtree" w:hAnsi="Figtree"/>
          <w:b w:val="0"/>
          <w:i w:val="0"/>
          <w:sz w:val="22"/>
        </w:rPr>
        <w:t xml:space="preserve"> €50,000 to €80,000 </w:t>
      </w:r>
      <w:r>
        <w:rPr>
          <w:rFonts w:ascii="Figtree" w:hAnsi="Figtree"/>
          <w:b/>
          <w:i w:val="0"/>
          <w:sz w:val="22"/>
        </w:rPr>
        <w:t>[TO CONFIRM]</w:t>
      </w:r>
    </w:p>
    <w:p>
      <w:pPr>
        <w:pStyle w:val="ListParagraph"/>
        <w:numPr>
          <w:ilvl w:val="0"/>
          <w:numId w:val="4"/>
        </w:numPr>
      </w:pPr>
      <w:r>
        <w:rPr>
          <w:rFonts w:ascii="Figtree" w:hAnsi="Figtree"/>
          <w:b/>
          <w:i w:val="0"/>
          <w:sz w:val="22"/>
        </w:rPr>
        <w:t>Production phase platform license:</w:t>
      </w:r>
      <w:r>
        <w:rPr>
          <w:rFonts w:ascii="Figtree" w:hAnsi="Figtree"/>
          <w:b w:val="0"/>
          <w:i w:val="0"/>
          <w:sz w:val="22"/>
        </w:rPr>
        <w:t xml:space="preserve"> ~€10,000/month </w:t>
      </w:r>
      <w:r>
        <w:rPr>
          <w:rFonts w:ascii="Figtree" w:hAnsi="Figtree"/>
          <w:b/>
          <w:i w:val="0"/>
          <w:sz w:val="22"/>
        </w:rPr>
        <w:t>[TO CONFIRM]</w:t>
      </w:r>
    </w:p>
    <w:p>
      <w:r>
        <w:rPr>
          <w:rFonts w:ascii="Figtree" w:hAnsi="Figtree"/>
          <w:b w:val="0"/>
          <w:i w:val="0"/>
          <w:sz w:val="22"/>
        </w:rPr>
        <w:t>These figures reflect a Managed SaaS deployment model with Premium support, which SettleMint recommends as the fastest path to Posidonia readiness with the lowest operational overhead for Neptune's lean team.</w:t>
      </w:r>
    </w:p>
    <w:p>
      <w:r>
        <w:rPr>
          <w:rFonts w:ascii="Figtree" w:hAnsi="Figtree"/>
          <w:b w:val="0"/>
          <w:i w:val="0"/>
          <w:sz w:val="22"/>
        </w:rPr>
        <w:t>The path from commercial approval to Posidonia announcement is tight but technically feasible. It requires legal structuring confirmation from Papandreou by end of March, a scoping workshop by early April, contract execution by mid-April, and disciplined execution through May. SettleMint has delivered comparable timelines for regulated institutions across Europe, the Middle East, and Asia-Pacific. The platform is production-ready. The implementation methodology is proven. The question is not whether the technology can support this timeline; it is whether Neptune can provide the legal and commercial inputs needed to keep the schedule on track.</w:t>
      </w:r>
    </w:p>
    <w:p>
      <w:pPr>
        <w:pStyle w:val="H3"/>
        <w:numPr>
          <w:ilvl w:val="2"/>
          <w:numId w:val="1"/>
        </w:numPr>
      </w:pPr>
      <w:r>
        <w:t>What Makes This Proposal Different</w:t>
      </w:r>
    </w:p>
    <w:p>
      <w:r>
        <w:rPr>
          <w:rFonts w:ascii="Figtree" w:hAnsi="Figtree"/>
          <w:b w:val="0"/>
          <w:i w:val="0"/>
          <w:sz w:val="22"/>
        </w:rPr>
        <w:t>This is not a generic platform pitch. It is a tailored commercial proposal designed specifically for Neptune's context: a maritime finance company with sixty-plus SPCs, an ambitious Posidonia timeline, a lean internal team, and a partnership with MindWave for custom development.</w:t>
      </w:r>
    </w:p>
    <w:p>
      <w:r>
        <w:rPr>
          <w:rFonts w:ascii="Figtree" w:hAnsi="Figtree"/>
          <w:b w:val="0"/>
          <w:i w:val="0"/>
          <w:sz w:val="22"/>
        </w:rPr>
        <w:t>The proposal reflects three principles that guide SettleMint's approach to every engagement.</w:t>
      </w:r>
    </w:p>
    <w:p>
      <w:r>
        <w:rPr>
          <w:rFonts w:ascii="Figtree" w:hAnsi="Figtree"/>
          <w:b/>
          <w:i w:val="0"/>
          <w:sz w:val="22"/>
        </w:rPr>
        <w:t>Transparency.</w:t>
      </w:r>
      <w:r>
        <w:rPr>
          <w:rFonts w:ascii="Figtree" w:hAnsi="Figtree"/>
          <w:b w:val="0"/>
          <w:i w:val="0"/>
          <w:sz w:val="22"/>
        </w:rPr>
        <w:t xml:space="preserve"> Every commercial figure in this proposal is labeled [TO CONFIRM]. There are no hidden costs, no variable fees that emerge after contract signature, no add-ons that were not discussed. Neptune's procurement team should be able to take every number in this proposal to their finance committee with confidence.</w:t>
      </w:r>
    </w:p>
    <w:p>
      <w:r>
        <w:rPr>
          <w:rFonts w:ascii="Figtree" w:hAnsi="Figtree"/>
          <w:b/>
          <w:i w:val="0"/>
          <w:sz w:val="22"/>
        </w:rPr>
        <w:t>Partnership.</w:t>
      </w:r>
      <w:r>
        <w:rPr>
          <w:rFonts w:ascii="Figtree" w:hAnsi="Figtree"/>
          <w:b w:val="0"/>
          <w:i w:val="0"/>
          <w:sz w:val="22"/>
        </w:rPr>
        <w:t xml:space="preserve"> SettleMint is not selling software and walking away. We are committing to a 24-month relationship that begins with the Posidonia announcement and extends through the scaling phase. Our success is tied to Neptune's success: if Neptune's tokenization programme succeeds, both parties benefit.</w:t>
      </w:r>
    </w:p>
    <w:p>
      <w:r>
        <w:rPr>
          <w:rFonts w:ascii="Figtree" w:hAnsi="Figtree"/>
          <w:b/>
          <w:i w:val="0"/>
          <w:sz w:val="22"/>
        </w:rPr>
        <w:t>Urgency.</w:t>
      </w:r>
      <w:r>
        <w:rPr>
          <w:rFonts w:ascii="Figtree" w:hAnsi="Figtree"/>
          <w:b w:val="0"/>
          <w:i w:val="0"/>
          <w:sz w:val="22"/>
        </w:rPr>
        <w:t xml:space="preserve"> The Posidonia timeline is not arbitrary. It is a forcing function that creates focus and discipline. SettleMint is prepared to meet that timeline. We are asking Neptune to match our commitment.</w:t>
      </w:r>
    </w:p>
    <w:p>
      <w:r>
        <w:rPr>
          <w:rFonts w:ascii="Figtree" w:hAnsi="Figtree"/>
          <w:b w:val="0"/>
          <w:i w:val="0"/>
          <w:sz w:val="22"/>
        </w:rPr>
        <w:t>This proposal presents the full commercial framework: investment rationale, licensing model, deployment options, support framework, implementation investment, total cost of ownership, reference clients, commercial terms, and concrete next steps. It is designed to give Neptune's decision-makers the information they need to move from evaluation to execution within the timeline that Posidonia demands.</w:t>
      </w:r>
    </w:p>
    <w:p>
      <w:pPr>
        <w:pStyle w:val="H3"/>
        <w:numPr>
          <w:ilvl w:val="2"/>
          <w:numId w:val="1"/>
        </w:numPr>
      </w:pPr>
      <w:r>
        <w:t>What This Proposal Covers</w:t>
      </w:r>
    </w:p>
    <w:p>
      <w:r>
        <w:rPr>
          <w:rFonts w:ascii="Figtree" w:hAnsi="Figtree"/>
          <w:b w:val="0"/>
          <w:i w:val="0"/>
          <w:sz w:val="22"/>
        </w:rPr>
        <w:t>The Executive Summary above provides the strategic overview: the opportunity, the recommended approach, the commercial structure, and the path forward. The rest of this document provides the detailed commercial framework that Neptune's procurement, legal, and finance teams will need to evaluate and approve this engagement.</w:t>
      </w:r>
    </w:p>
    <w:p>
      <w:r>
        <w:rPr>
          <w:rFonts w:ascii="Figtree" w:hAnsi="Figtree"/>
          <w:b/>
          <w:i w:val="0"/>
          <w:sz w:val="22"/>
        </w:rPr>
        <w:t>Investment Rationale</w:t>
      </w:r>
      <w:r>
        <w:rPr>
          <w:rFonts w:ascii="Figtree" w:hAnsi="Figtree"/>
          <w:b w:val="0"/>
          <w:i w:val="0"/>
          <w:sz w:val="22"/>
        </w:rPr>
        <w:t xml:space="preserve"> quantifies the cost of Neptune's current approach, explains how DALP changes the economics, presents the ROI framework with sensitivity analysis, and explores the cost of not acting. This section is designed to build the business case for the investment.</w:t>
      </w:r>
    </w:p>
    <w:p>
      <w:r>
        <w:rPr>
          <w:rFonts w:ascii="Figtree" w:hAnsi="Figtree"/>
          <w:b/>
          <w:i w:val="0"/>
          <w:sz w:val="22"/>
        </w:rPr>
        <w:t>Licensing Model</w:t>
      </w:r>
      <w:r>
        <w:rPr>
          <w:rFonts w:ascii="Figtree" w:hAnsi="Figtree"/>
          <w:b w:val="0"/>
          <w:i w:val="0"/>
          <w:sz w:val="22"/>
        </w:rPr>
        <w:t xml:space="preserve"> explains the platform licensing philosophy (why SettleMint uses subscription pricing rather than per-transaction pricing), details what the license includes across all capability pillars, explains the tier structure and recommends Enterprise for Neptune, and describes what varies by engagement.</w:t>
      </w:r>
    </w:p>
    <w:p>
      <w:r>
        <w:rPr>
          <w:rFonts w:ascii="Figtree" w:hAnsi="Figtree"/>
          <w:b/>
          <w:i w:val="0"/>
          <w:sz w:val="22"/>
        </w:rPr>
        <w:t>Deployment Options and Pricing</w:t>
      </w:r>
      <w:r>
        <w:rPr>
          <w:rFonts w:ascii="Figtree" w:hAnsi="Figtree"/>
          <w:b w:val="0"/>
          <w:i w:val="0"/>
          <w:sz w:val="22"/>
        </w:rPr>
        <w:t xml:space="preserve"> presents the four deployment models, recommends Managed SaaS for Neptune's timeline and team constraints, provides the cost structure with all figures labeled [TO CONFIRM], and includes a cost driver matrix showing what influences final pricing.</w:t>
      </w:r>
    </w:p>
    <w:p>
      <w:r>
        <w:rPr>
          <w:rFonts w:ascii="Figtree" w:hAnsi="Figtree"/>
          <w:b/>
          <w:i w:val="0"/>
          <w:sz w:val="22"/>
        </w:rPr>
        <w:t>Support and SLA Framework</w:t>
      </w:r>
      <w:r>
        <w:rPr>
          <w:rFonts w:ascii="Figtree" w:hAnsi="Figtree"/>
          <w:b w:val="0"/>
          <w:i w:val="0"/>
          <w:sz w:val="22"/>
        </w:rPr>
        <w:t xml:space="preserve"> recommends Premium support given the Posidonia timeline, details the support tier comparison, defines severity levels and response/resolution targets, explains the escalation path, and describes the maintenance and update policy.</w:t>
      </w:r>
    </w:p>
    <w:p>
      <w:r>
        <w:rPr>
          <w:rFonts w:ascii="Figtree" w:hAnsi="Figtree"/>
          <w:b/>
          <w:i w:val="0"/>
          <w:sz w:val="22"/>
        </w:rPr>
        <w:t>Implementation Investment</w:t>
      </w:r>
      <w:r>
        <w:rPr>
          <w:rFonts w:ascii="Figtree" w:hAnsi="Figtree"/>
          <w:b w:val="0"/>
          <w:i w:val="0"/>
          <w:sz w:val="22"/>
        </w:rPr>
        <w:t xml:space="preserve"> details the four-phase approach (Foundation, SPC Fleet, Posidonia Readiness, Scale), provides a detailed activities breakdown for each phase, presents the RACI matrix, identifies timeline risks and mitigations, and provides the implementation pricing summary.</w:t>
      </w:r>
    </w:p>
    <w:p>
      <w:r>
        <w:rPr>
          <w:rFonts w:ascii="Figtree" w:hAnsi="Figtree"/>
          <w:b/>
          <w:i w:val="0"/>
          <w:sz w:val="22"/>
        </w:rPr>
        <w:t>Total Cost of Ownership</w:t>
      </w:r>
      <w:r>
        <w:rPr>
          <w:rFonts w:ascii="Figtree" w:hAnsi="Figtree"/>
          <w:b w:val="0"/>
          <w:i w:val="0"/>
          <w:sz w:val="22"/>
        </w:rPr>
        <w:t xml:space="preserve"> presents the three-year and five-year TCO models, explains each cost component, provides comparative analysis against in-house build and multi-vendor assembly, and explores the scale economics that improve Neptune's unit cost as the fleet grows.</w:t>
      </w:r>
    </w:p>
    <w:p>
      <w:r>
        <w:rPr>
          <w:rFonts w:ascii="Figtree" w:hAnsi="Figtree"/>
          <w:b/>
          <w:i w:val="0"/>
          <w:sz w:val="22"/>
        </w:rPr>
        <w:t>Reference Clients</w:t>
      </w:r>
      <w:r>
        <w:rPr>
          <w:rFonts w:ascii="Figtree" w:hAnsi="Figtree"/>
          <w:b w:val="0"/>
          <w:i w:val="0"/>
          <w:sz w:val="22"/>
        </w:rPr>
        <w:t xml:space="preserve"> summarizes SettleMint's production track record across 14 named deployments, provides three expanded case studies (OCBC Bank, ADI/Finstreet, Saudi RER) most relevant to Neptune's use case, and demonstrates DALP's capability across multi-entity, regulated, institutional-scale deployments.</w:t>
      </w:r>
    </w:p>
    <w:p>
      <w:r>
        <w:rPr>
          <w:rFonts w:ascii="Figtree" w:hAnsi="Figtree"/>
          <w:b/>
          <w:i w:val="0"/>
          <w:sz w:val="22"/>
        </w:rPr>
        <w:t>Commercial Terms</w:t>
      </w:r>
      <w:r>
        <w:rPr>
          <w:rFonts w:ascii="Figtree" w:hAnsi="Figtree"/>
          <w:b w:val="0"/>
          <w:i w:val="0"/>
          <w:sz w:val="22"/>
        </w:rPr>
        <w:t xml:space="preserve"> describes the contract structure (MSA, PLA, SOW, Support Schedule), payment schedule, duration and renewal terms, termination and data export provisions, intellectual property allocation, liability terms, and confidentiality requirements.</w:t>
      </w:r>
    </w:p>
    <w:p>
      <w:r>
        <w:rPr>
          <w:rFonts w:ascii="Figtree" w:hAnsi="Figtree"/>
          <w:b/>
          <w:i w:val="0"/>
          <w:sz w:val="22"/>
        </w:rPr>
        <w:t>Next Steps</w:t>
      </w:r>
      <w:r>
        <w:rPr>
          <w:rFonts w:ascii="Figtree" w:hAnsi="Figtree"/>
          <w:b w:val="0"/>
          <w:i w:val="0"/>
          <w:sz w:val="22"/>
        </w:rPr>
        <w:t xml:space="preserve"> provides five concrete actions with owners, purposes, outputs, and timing, a timeline summary, and a candid assessment of what happens if the timeline slips.</w:t>
      </w:r>
    </w:p>
    <w:p>
      <w:pPr>
        <w:pStyle w:val="H3"/>
        <w:numPr>
          <w:ilvl w:val="2"/>
          <w:numId w:val="1"/>
        </w:numPr>
      </w:pPr>
      <w:r>
        <w:t>What This Proposal Does Not Cover</w:t>
      </w:r>
    </w:p>
    <w:p>
      <w:r>
        <w:rPr>
          <w:rFonts w:ascii="Figtree" w:hAnsi="Figtree"/>
          <w:b w:val="0"/>
          <w:i w:val="0"/>
          <w:sz w:val="22"/>
        </w:rPr>
        <w:t>This is a commercial proposal, not a technical proposal. It describes what DALP does and how it is delivered, but it does not provide detailed technical architecture diagrams, smart contract specifications, API documentation, or security architecture details. Those are covered in the companion Technical Proposal if Neptune proceeds to detailed evaluation.</w:t>
      </w:r>
    </w:p>
    <w:p>
      <w:pPr>
        <w:pStyle w:val="H3"/>
        <w:numPr>
          <w:ilvl w:val="2"/>
          <w:numId w:val="1"/>
        </w:numPr>
      </w:pPr>
      <w:r>
        <w:t>A Final Note on Timing</w:t>
      </w:r>
    </w:p>
    <w:p>
      <w:r>
        <w:rPr>
          <w:rFonts w:ascii="Figtree" w:hAnsi="Figtree"/>
          <w:b w:val="0"/>
          <w:i w:val="0"/>
          <w:sz w:val="22"/>
        </w:rPr>
        <w:t>Every week that passes without a decision is a week that cannot be recovered. The Posidonia deadline is fixed. The technology is ready. The platform is proven. The commercial terms are fair. The question is whether Neptune will seize this moment or let it pass.</w:t>
      </w:r>
    </w:p>
    <w:p>
      <w:r>
        <w:rPr>
          <w:rFonts w:ascii="Figtree" w:hAnsi="Figtree"/>
          <w:b w:val="0"/>
          <w:i w:val="0"/>
          <w:sz w:val="22"/>
        </w:rPr>
        <w:t>SettleMint is ready. We ask Neptune to match our urgency.</w:t>
      </w:r>
    </w:p>
    <w:p>
      <w:r>
        <w:rPr>
          <w:rFonts w:ascii="Figtree" w:hAnsi="Figtree"/>
          <w:b w:val="0"/>
          <w:i w:val="0"/>
          <w:sz w:val="22"/>
        </w:rPr>
        <w:t>We look forward to your response.</w:t>
      </w:r>
    </w:p>
    <w:p>
      <w:r>
        <w:br w:type="page"/>
      </w:r>
    </w:p>
    <w:p>
      <w:pPr>
        <w:pStyle w:val="H2"/>
        <w:numPr>
          <w:ilvl w:val="1"/>
          <w:numId w:val="1"/>
        </w:numPr>
      </w:pPr>
      <w:r>
        <w:t>Summary Checklist</w:t>
      </w:r>
    </w:p>
    <w:p>
      <w:r>
        <w:rPr>
          <w:rFonts w:ascii="Figtree" w:hAnsi="Figtree"/>
          <w:b w:val="0"/>
          <w:i w:val="0"/>
          <w:sz w:val="22"/>
        </w:rPr>
        <w:t>The following checklist summarizes the key elements of this proposal for Neptune's internal evaluation.</w:t>
      </w:r>
    </w:p>
    <w:p>
      <w:r>
        <w:rPr>
          <w:rFonts w:ascii="Figtree" w:hAnsi="Figtree"/>
          <w:b/>
          <w:i w:val="0"/>
          <w:sz w:val="22"/>
        </w:rPr>
        <w:t>Commercial framework.</w:t>
      </w:r>
      <w:r>
        <w:rPr>
          <w:rFonts w:ascii="Figtree" w:hAnsi="Figtree"/>
          <w:b w:val="0"/>
          <w:i w:val="0"/>
          <w:sz w:val="22"/>
        </w:rPr>
        <w:t xml:space="preserve"> Development license ~€8,000/month, production license ~€10,000/month, implementation €50,000 to €80,000. Enterprise tier, Premium support, Managed SaaS deployment. All figures [TO CONFIRM].</w:t>
      </w:r>
    </w:p>
    <w:p>
      <w:r>
        <w:rPr>
          <w:rFonts w:ascii="Figtree" w:hAnsi="Figtree"/>
          <w:b/>
          <w:i w:val="0"/>
          <w:sz w:val="22"/>
        </w:rPr>
        <w:t>Implementation timeline.</w:t>
      </w:r>
      <w:r>
        <w:rPr>
          <w:rFonts w:ascii="Figtree" w:hAnsi="Figtree"/>
          <w:b w:val="0"/>
          <w:i w:val="0"/>
          <w:sz w:val="22"/>
        </w:rPr>
        <w:t xml:space="preserve"> Phase 0 (6 weeks) + Phase 1 (6 weeks) + Phase 2 (2-3 weeks) = 12 weeks to Posidonia readiness. Contract execution by 18 April 2026.</w:t>
      </w:r>
    </w:p>
    <w:p>
      <w:r>
        <w:rPr>
          <w:rFonts w:ascii="Figtree" w:hAnsi="Figtree"/>
          <w:b/>
          <w:i w:val="0"/>
          <w:sz w:val="22"/>
        </w:rPr>
        <w:t>Deliverables.</w:t>
      </w:r>
      <w:r>
        <w:rPr>
          <w:rFonts w:ascii="Figtree" w:hAnsi="Figtree"/>
          <w:b w:val="0"/>
          <w:i w:val="0"/>
          <w:sz w:val="22"/>
        </w:rPr>
        <w:t xml:space="preserve"> 60 SPC equity tokens deployed and operational, identity and compliance framework configured, investor portal MVP functional, at least 1 SPC demonstrating full lifecycle (creation, minting, transfer, yield distribution).</w:t>
      </w:r>
    </w:p>
    <w:p>
      <w:r>
        <w:rPr>
          <w:rFonts w:ascii="Figtree" w:hAnsi="Figtree"/>
          <w:b/>
          <w:i w:val="0"/>
          <w:sz w:val="22"/>
        </w:rPr>
        <w:t>Commitment.</w:t>
      </w:r>
      <w:r>
        <w:rPr>
          <w:rFonts w:ascii="Figtree" w:hAnsi="Figtree"/>
          <w:b w:val="0"/>
          <w:i w:val="0"/>
          <w:sz w:val="22"/>
        </w:rPr>
        <w:t xml:space="preserve"> SettleMint commits to the Posidonia timeline. We will staff the engagement accordingly.</w:t>
      </w:r>
    </w:p>
    <w:p>
      <w:r>
        <w:rPr>
          <w:rFonts w:ascii="Figtree" w:hAnsi="Figtree"/>
          <w:b/>
          <w:i w:val="0"/>
          <w:sz w:val="22"/>
        </w:rPr>
        <w:t>Next step.</w:t>
      </w:r>
      <w:r>
        <w:rPr>
          <w:rFonts w:ascii="Figtree" w:hAnsi="Figtree"/>
          <w:b w:val="0"/>
          <w:i w:val="0"/>
          <w:sz w:val="22"/>
        </w:rPr>
        <w:t xml:space="preserve"> Commercial review session with Harris Antoniou and Iraklis Tsirigotis this week.</w:t>
      </w:r>
    </w:p>
    <w:p>
      <w:r>
        <w:br w:type="page"/>
      </w:r>
    </w:p>
    <w:p>
      <w:r>
        <w:rPr>
          <w:rFonts w:ascii="Figtree" w:hAnsi="Figtree"/>
          <w:b w:val="0"/>
          <w:i w:val="0"/>
          <w:sz w:val="22"/>
        </w:rPr>
        <w:t>This Commercial Proposal has been prepared by SettleMint NV as a basis for discussion with Neptune Maritime Leasing. The information contained herein is confidential and proprietary. All commercial figures are working placeholders subject to confirmation through the scoping process. This document does not constitute a binding offer or contract.</w:t>
      </w:r>
    </w:p>
    <w:p>
      <w:r>
        <w:rPr>
          <w:rFonts w:ascii="Figtree" w:hAnsi="Figtree"/>
          <w:b w:val="0"/>
          <w:i w:val="0"/>
          <w:sz w:val="22"/>
        </w:rPr>
        <w:t>This proposal has been prepared specifically for Neptune Maritime Leasing and reflects the requirements and context shared during preliminary discussions. The commercial framework, timeline, and scope are tailored to Neptune's specific needs and may not be applicable to other engagements without modification.</w:t>
      </w:r>
    </w:p>
    <w:p>
      <w:pPr>
        <w:pStyle w:val="H3"/>
        <w:numPr>
          <w:ilvl w:val="2"/>
          <w:numId w:val="1"/>
        </w:numPr>
      </w:pPr>
      <w:r>
        <w:t>Document Version History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8"/>
        <w:gridCol w:w="1965"/>
        <w:gridCol w:w="4082"/>
        <w:gridCol w:w="19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Version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Author</w:t>
            </w:r>
          </w:p>
        </w:tc>
      </w:tr>
      <w:tr>
        <w:trPr>
          <w:trHeight w:val="425" w:hRule="atLeast"/>
        </w:trPr>
        <w:tc>
          <w:tcPr>
            <w:tcW w:type="dxa" w:w="2436"/>
            <w:vAlign w:val="center"/>
          </w:tcPr>
          <w:p>
            <w:pPr>
              <w:spacing w:line="276" w:lineRule="auto" w:before="0" w:after="0"/>
            </w:pPr>
            <w:r/>
            <w:r>
              <w:rPr>
                <w:rFonts w:ascii="Figtree" w:hAnsi="Figtree"/>
                <w:b w:val="0"/>
                <w:i w:val="0"/>
                <w:sz w:val="20"/>
              </w:rPr>
              <w:t>v1.0</w:t>
            </w:r>
          </w:p>
        </w:tc>
        <w:tc>
          <w:tcPr>
            <w:tcW w:type="dxa" w:w="2436"/>
            <w:vAlign w:val="center"/>
          </w:tcPr>
          <w:p>
            <w:pPr>
              <w:spacing w:line="276" w:lineRule="auto" w:before="0" w:after="0"/>
            </w:pPr>
            <w:r/>
            <w:r>
              <w:rPr>
                <w:rFonts w:ascii="Figtree" w:hAnsi="Figtree"/>
                <w:b w:val="0"/>
                <w:i w:val="0"/>
                <w:sz w:val="20"/>
              </w:rPr>
              <w:t>19 March 2026</w:t>
            </w:r>
          </w:p>
        </w:tc>
        <w:tc>
          <w:tcPr>
            <w:tcW w:type="dxa" w:w="2436"/>
            <w:vAlign w:val="center"/>
          </w:tcPr>
          <w:p>
            <w:pPr>
              <w:spacing w:line="276" w:lineRule="auto" w:before="0" w:after="0"/>
            </w:pPr>
            <w:r/>
            <w:r>
              <w:rPr>
                <w:rFonts w:ascii="Figtree" w:hAnsi="Figtree"/>
                <w:b w:val="0"/>
                <w:i w:val="0"/>
                <w:sz w:val="20"/>
              </w:rPr>
              <w:t>Initial commercial proposal</w:t>
            </w:r>
          </w:p>
        </w:tc>
        <w:tc>
          <w:tcPr>
            <w:tcW w:type="dxa" w:w="2436"/>
            <w:vAlign w:val="center"/>
          </w:tcPr>
          <w:p>
            <w:pPr>
              <w:spacing w:line="276" w:lineRule="auto" w:before="0" w:after="0"/>
            </w:pPr>
            <w:r/>
            <w:r>
              <w:rPr>
                <w:rFonts w:ascii="Figtree" w:hAnsi="Figtree"/>
                <w:b w:val="0"/>
                <w:i w:val="0"/>
                <w:sz w:val="20"/>
              </w:rPr>
              <w:t>SettleMint NV</w:t>
            </w:r>
          </w:p>
        </w:tc>
      </w:tr>
    </w:tbl>
    <w:p>
      <w:pPr>
        <w:spacing w:before="0" w:after="0" w:line="120" w:lineRule="exact"/>
      </w:pPr>
    </w:p>
    <w:p>
      <w:pPr>
        <w:pStyle w:val="H3"/>
        <w:numPr>
          <w:ilvl w:val="2"/>
          <w:numId w:val="1"/>
        </w:numPr>
      </w:pPr>
      <w:r>
        <w:t>Contact Information</w:t>
      </w:r>
    </w:p>
    <w:p>
      <w:r>
        <w:rPr>
          <w:rFonts w:ascii="Figtree" w:hAnsi="Figtree"/>
          <w:b w:val="0"/>
          <w:i w:val="0"/>
          <w:sz w:val="22"/>
        </w:rPr>
        <w:t>For questions about this proposal, please contact:</w:t>
      </w:r>
    </w:p>
    <w:p>
      <w:r>
        <w:rPr>
          <w:rFonts w:ascii="Figtree" w:hAnsi="Figtree"/>
          <w:b/>
          <w:i w:val="0"/>
          <w:sz w:val="22"/>
        </w:rPr>
        <w:t>Matthew Van Niekerk</w:t>
      </w:r>
    </w:p>
    <w:p>
      <w:r>
        <w:rPr>
          <w:rFonts w:ascii="Figtree" w:hAnsi="Figtree"/>
          <w:b w:val="0"/>
          <w:i w:val="0"/>
          <w:sz w:val="22"/>
        </w:rPr>
        <w:t>Chief Executive Officer</w:t>
      </w:r>
    </w:p>
    <w:p>
      <w:r>
        <w:rPr>
          <w:rFonts w:ascii="Figtree" w:hAnsi="Figtree"/>
          <w:b w:val="0"/>
          <w:i w:val="0"/>
          <w:sz w:val="22"/>
        </w:rPr>
        <w:t>SettleMint NV</w:t>
      </w:r>
    </w:p>
    <w:p>
      <w:r>
        <w:rPr>
          <w:rFonts w:ascii="Figtree" w:hAnsi="Figtree"/>
          <w:b w:val="0"/>
          <w:i w:val="0"/>
          <w:sz w:val="22"/>
        </w:rPr>
        <w:t>matthew@settlemint.com</w:t>
      </w:r>
    </w:p>
    <w:p>
      <w:r>
        <w:rPr>
          <w:rFonts w:ascii="Figtree" w:hAnsi="Figtree"/>
          <w:b/>
          <w:i w:val="0"/>
          <w:sz w:val="22"/>
        </w:rPr>
        <w:t>Roderik van der Veer</w:t>
      </w:r>
    </w:p>
    <w:p>
      <w:r>
        <w:rPr>
          <w:rFonts w:ascii="Figtree" w:hAnsi="Figtree"/>
          <w:b w:val="0"/>
          <w:i w:val="0"/>
          <w:sz w:val="22"/>
        </w:rPr>
        <w:t>Chief Technology Officer</w:t>
      </w:r>
    </w:p>
    <w:p>
      <w:r>
        <w:rPr>
          <w:rFonts w:ascii="Figtree" w:hAnsi="Figtree"/>
          <w:b w:val="0"/>
          <w:i w:val="0"/>
          <w:sz w:val="22"/>
        </w:rPr>
        <w:t>SettleMint NV</w:t>
      </w:r>
    </w:p>
    <w:p>
      <w:r>
        <w:rPr>
          <w:rFonts w:ascii="Figtree" w:hAnsi="Figtree"/>
          <w:b w:val="0"/>
          <w:i w:val="0"/>
          <w:sz w:val="22"/>
        </w:rPr>
        <w:t>roderik@settlemint.com</w:t>
      </w:r>
    </w:p>
    <w:p>
      <w:r>
        <w:rPr>
          <w:rFonts w:ascii="Figtree" w:hAnsi="Figtree"/>
          <w:b w:val="0"/>
          <w:i w:val="0"/>
          <w:sz w:val="22"/>
        </w:rPr>
        <w:t>SettleMint NV</w:t>
      </w:r>
    </w:p>
    <w:p>
      <w:r>
        <w:rPr>
          <w:rFonts w:ascii="Figtree" w:hAnsi="Figtree"/>
          <w:b w:val="0"/>
          <w:i w:val="0"/>
          <w:sz w:val="22"/>
        </w:rPr>
        <w:t>Philipssite 5, bus 10</w:t>
      </w:r>
    </w:p>
    <w:p>
      <w:r>
        <w:rPr>
          <w:rFonts w:ascii="Figtree" w:hAnsi="Figtree"/>
          <w:b w:val="0"/>
          <w:i w:val="0"/>
          <w:sz w:val="22"/>
        </w:rPr>
        <w:t>3001 Leuven, Belgium</w:t>
      </w:r>
    </w:p>
    <w:p>
      <w:r>
        <w:rPr>
          <w:rFonts w:ascii="Figtree" w:hAnsi="Figtree"/>
          <w:b w:val="0"/>
          <w:i w:val="0"/>
          <w:sz w:val="22"/>
        </w:rPr>
        <w:t>www.settlemint.com</w:t>
      </w:r>
    </w:p>
    <w:p>
      <w:r>
        <w:rPr>
          <w:rFonts w:ascii="Figtree" w:hAnsi="Figtree"/>
          <w:b w:val="0"/>
          <w:i w:val="0"/>
          <w:sz w:val="22"/>
        </w:rPr>
        <w:t>This proposal assumes Neptune will proceed with the scoping workshop and detailed technical evaluation. The commercial framework presented here is based on preliminary discussions and is subject to refinement based on the scoping workshop outcomes.</w:t>
      </w:r>
    </w:p>
    <w:p>
      <w:pPr>
        <w:pStyle w:val="H3"/>
        <w:numPr>
          <w:ilvl w:val="2"/>
          <w:numId w:val="1"/>
        </w:numPr>
      </w:pPr>
      <w:r>
        <w:t>Assumptions</w:t>
      </w:r>
    </w:p>
    <w:p>
      <w:r>
        <w:rPr>
          <w:rFonts w:ascii="Figtree" w:hAnsi="Figtree"/>
          <w:b w:val="0"/>
          <w:i w:val="0"/>
          <w:sz w:val="22"/>
        </w:rPr>
        <w:t>This proposal is based on the following assumptions. If any of these assumptions change, the commercial framework may need to be adjusted.</w:t>
      </w:r>
    </w:p>
    <w:p>
      <w:r>
        <w:rPr>
          <w:rFonts w:ascii="Figtree" w:hAnsi="Figtree"/>
          <w:b/>
          <w:i w:val="0"/>
          <w:sz w:val="22"/>
        </w:rPr>
        <w:t>Scope assumptions.</w:t>
      </w:r>
      <w:r>
        <w:rPr>
          <w:rFonts w:ascii="Figtree" w:hAnsi="Figtree"/>
          <w:b w:val="0"/>
          <w:i w:val="0"/>
          <w:sz w:val="22"/>
        </w:rPr>
        <w:t xml:space="preserve"> Neptune intends to tokenize 60 SPCs in Phase 1, expanding to 200 to 300 vessels in Phase 3. The tokenized instrument is equity representing ownership in SPCs. The initial investor base is 5 institutional investors, with expansion to additional investors post-Posidonia. The target deployment model is Managed SaaS. The target support tier is Premium.</w:t>
      </w:r>
    </w:p>
    <w:p>
      <w:r>
        <w:rPr>
          <w:rFonts w:ascii="Figtree" w:hAnsi="Figtree"/>
          <w:b/>
          <w:i w:val="0"/>
          <w:sz w:val="22"/>
        </w:rPr>
        <w:t>Technical assumptions.</w:t>
      </w:r>
      <w:r>
        <w:rPr>
          <w:rFonts w:ascii="Figtree" w:hAnsi="Figtree"/>
          <w:b w:val="0"/>
          <w:i w:val="0"/>
          <w:sz w:val="22"/>
        </w:rPr>
        <w:t xml:space="preserve"> Neptune has access to the SPC data required for token deployment (vessel details, ownership structure, financing terms). Neptune will use a KYC/AML provider of its choice for investor identity verification. Neptune will use a custody solution (self-custody or third-party) of its choice. MindWave has the technical capability to build the investor portal against DALP's APIs.</w:t>
      </w:r>
    </w:p>
    <w:p>
      <w:r>
        <w:rPr>
          <w:rFonts w:ascii="Figtree" w:hAnsi="Figtree"/>
          <w:b/>
          <w:i w:val="0"/>
          <w:sz w:val="22"/>
        </w:rPr>
        <w:t>Timeline assumptions.</w:t>
      </w:r>
      <w:r>
        <w:rPr>
          <w:rFonts w:ascii="Figtree" w:hAnsi="Figtree"/>
          <w:b w:val="0"/>
          <w:i w:val="0"/>
          <w:sz w:val="22"/>
        </w:rPr>
        <w:t xml:space="preserve"> Contract execution occurs by mid-April 2026. Legal structuring confirmation from Papandreou is available by end of March 2026. Neptune can provide SPC data within 2 weeks of contract execution. Neptune can introduce the initial 5 investors for identity setup within 4 weeks of contract execution.</w:t>
      </w:r>
    </w:p>
    <w:p>
      <w:r>
        <w:rPr>
          <w:rFonts w:ascii="Figtree" w:hAnsi="Figtree"/>
          <w:b/>
          <w:i w:val="0"/>
          <w:sz w:val="22"/>
        </w:rPr>
        <w:t>Commercial assumptions.</w:t>
      </w:r>
      <w:r>
        <w:rPr>
          <w:rFonts w:ascii="Figtree" w:hAnsi="Figtree"/>
          <w:b w:val="0"/>
          <w:i w:val="0"/>
          <w:sz w:val="22"/>
        </w:rPr>
        <w:t xml:space="preserve"> Neptune has budget authority to commit to a 2-year platform license. Neptune's procurement process can complete contract review and execution within 4 weeks of receiving the binding commercial offer.</w:t>
      </w:r>
    </w:p>
    <w:p>
      <w:pPr>
        <w:pStyle w:val="H3"/>
        <w:numPr>
          <w:ilvl w:val="2"/>
          <w:numId w:val="1"/>
        </w:numPr>
      </w:pPr>
      <w:r>
        <w:t>Open Questions</w:t>
      </w:r>
    </w:p>
    <w:p>
      <w:r>
        <w:rPr>
          <w:rFonts w:ascii="Figtree" w:hAnsi="Figtree"/>
          <w:b w:val="0"/>
          <w:i w:val="0"/>
          <w:sz w:val="22"/>
        </w:rPr>
        <w:t>The following questions require Neptune's input to finalize the commercial framework.</w:t>
      </w:r>
    </w:p>
    <w:p>
      <w:r>
        <w:rPr>
          <w:rFonts w:ascii="Figtree" w:hAnsi="Figtree"/>
          <w:b/>
          <w:i w:val="0"/>
          <w:sz w:val="22"/>
        </w:rPr>
        <w:t>Compliance complexity.</w:t>
      </w:r>
      <w:r>
        <w:rPr>
          <w:rFonts w:ascii="Figtree" w:hAnsi="Figtree"/>
          <w:b w:val="0"/>
          <w:i w:val="0"/>
          <w:sz w:val="22"/>
        </w:rPr>
        <w:t xml:space="preserve"> How many of the 60 SPCs deviate from the standard compliance template? If most SPCs share the same compliance profile (same investor jurisdictions, same financing structure), the implementation effort is lower. If each SPC requires unique compliance configuration, the effort is higher.</w:t>
      </w:r>
    </w:p>
    <w:p>
      <w:r>
        <w:rPr>
          <w:rFonts w:ascii="Figtree" w:hAnsi="Figtree"/>
          <w:b/>
          <w:i w:val="0"/>
          <w:sz w:val="22"/>
        </w:rPr>
        <w:t>Investor onboarding scope.</w:t>
      </w:r>
      <w:r>
        <w:rPr>
          <w:rFonts w:ascii="Figtree" w:hAnsi="Figtree"/>
          <w:b w:val="0"/>
          <w:i w:val="0"/>
          <w:sz w:val="22"/>
        </w:rPr>
        <w:t xml:space="preserve"> Which KYC/AML provider will Neptune use? What is the depth of due diligence required for each investor? Are there any investor-specific compliance requirements that differ from the standard template?</w:t>
      </w:r>
    </w:p>
    <w:p>
      <w:r>
        <w:rPr>
          <w:rFonts w:ascii="Figtree" w:hAnsi="Figtree"/>
          <w:b/>
          <w:i w:val="0"/>
          <w:sz w:val="22"/>
        </w:rPr>
        <w:t>Custody approach.</w:t>
      </w:r>
      <w:r>
        <w:rPr>
          <w:rFonts w:ascii="Figtree" w:hAnsi="Figtree"/>
          <w:b w:val="0"/>
          <w:i w:val="0"/>
          <w:sz w:val="22"/>
        </w:rPr>
        <w:t xml:space="preserve"> Will Neptune use self-custody (DALP's local key management) or third-party custody (Fireblocks, DFNS)? The custody approach affects the integration scope and timeline.</w:t>
      </w:r>
    </w:p>
    <w:p>
      <w:r>
        <w:rPr>
          <w:rFonts w:ascii="Figtree" w:hAnsi="Figtree"/>
          <w:b/>
          <w:i w:val="0"/>
          <w:sz w:val="22"/>
        </w:rPr>
        <w:t>Audit requirements.</w:t>
      </w:r>
      <w:r>
        <w:rPr>
          <w:rFonts w:ascii="Figtree" w:hAnsi="Figtree"/>
          <w:b w:val="0"/>
          <w:i w:val="0"/>
          <w:sz w:val="22"/>
        </w:rPr>
        <w:t xml:space="preserve"> Does Neptune or its investors require a smart contract audit? If so, what is the scope and timeline requirement? DALP's contracts are pre-audited, but Neptune-specific configurations may require additional review.</w:t>
      </w:r>
    </w:p>
    <w:p>
      <w:r>
        <w:rPr>
          <w:rFonts w:ascii="Figtree" w:hAnsi="Figtree"/>
          <w:b/>
          <w:i w:val="0"/>
          <w:sz w:val="22"/>
        </w:rPr>
        <w:t>Legal structuring.</w:t>
      </w:r>
      <w:r>
        <w:rPr>
          <w:rFonts w:ascii="Figtree" w:hAnsi="Figtree"/>
          <w:b w:val="0"/>
          <w:i w:val="0"/>
          <w:sz w:val="22"/>
        </w:rPr>
        <w:t xml:space="preserve"> What securities exemption applies to the tokenized SPC equity? Are there any specific regulatory constraints that affect the compliance module configuration?</w:t>
      </w:r>
    </w:p>
    <w:p>
      <w:pPr>
        <w:pStyle w:val="H3"/>
        <w:numPr>
          <w:ilvl w:val="2"/>
          <w:numId w:val="1"/>
        </w:numPr>
      </w:pPr>
      <w:r>
        <w:t>Why SettleMint</w:t>
      </w:r>
    </w:p>
    <w:p>
      <w:r>
        <w:rPr>
          <w:rFonts w:ascii="Figtree" w:hAnsi="Figtree"/>
          <w:b w:val="0"/>
          <w:i w:val="0"/>
          <w:sz w:val="22"/>
        </w:rPr>
        <w:t>Before concluding, it is worth stating explicitly why SettleMint is the right partner for Neptune's tokenization programme.</w:t>
      </w:r>
    </w:p>
    <w:p>
      <w:r>
        <w:rPr>
          <w:rFonts w:ascii="Figtree" w:hAnsi="Figtree"/>
          <w:b/>
          <w:i w:val="0"/>
          <w:sz w:val="22"/>
        </w:rPr>
        <w:t>Experience.</w:t>
      </w:r>
      <w:r>
        <w:rPr>
          <w:rFonts w:ascii="Figtree" w:hAnsi="Figtree"/>
          <w:b w:val="0"/>
          <w:i w:val="0"/>
          <w:sz w:val="22"/>
        </w:rPr>
        <w:t xml:space="preserve"> SettleMint has deployed digital asset infrastructure for tier-1 banks, sovereign entities, and market infrastructure providers across three continents. We have been doing this since 2016, before most financial institutions had even considered digital assets as infrastructure.</w:t>
      </w:r>
    </w:p>
    <w:p>
      <w:r>
        <w:rPr>
          <w:rFonts w:ascii="Figtree" w:hAnsi="Figtree"/>
          <w:b/>
          <w:i w:val="0"/>
          <w:sz w:val="22"/>
        </w:rPr>
        <w:t>Platform depth.</w:t>
      </w:r>
      <w:r>
        <w:rPr>
          <w:rFonts w:ascii="Figtree" w:hAnsi="Figtree"/>
          <w:b w:val="0"/>
          <w:i w:val="0"/>
          <w:sz w:val="22"/>
        </w:rPr>
        <w:t xml:space="preserve"> DALP is not a product that was built for this deal. It is a mature platform with 18 compliance modules, 7 asset classes, 5 lifecycle pillars, and a production track record across 14 named deployments. We are not learning on Neptune's dime.</w:t>
      </w:r>
    </w:p>
    <w:p>
      <w:r>
        <w:rPr>
          <w:rFonts w:ascii="Figtree" w:hAnsi="Figtree"/>
          <w:b/>
          <w:i w:val="0"/>
          <w:sz w:val="22"/>
        </w:rPr>
        <w:t>Timeline commitment.</w:t>
      </w:r>
      <w:r>
        <w:rPr>
          <w:rFonts w:ascii="Figtree" w:hAnsi="Figtree"/>
          <w:b w:val="0"/>
          <w:i w:val="0"/>
          <w:sz w:val="22"/>
        </w:rPr>
        <w:t xml:space="preserve"> We are committing to the Posidonia timeline. We will staff the engagement accordingly, prioritize Neptune's implementation, and accept the schedule risk. If Neptune is serious about Posidonia, we are serious about delivering it.</w:t>
      </w:r>
    </w:p>
    <w:p>
      <w:r>
        <w:rPr>
          <w:rFonts w:ascii="Figtree" w:hAnsi="Figtree"/>
          <w:b/>
          <w:i w:val="0"/>
          <w:sz w:val="22"/>
        </w:rPr>
        <w:t>Partnership model.</w:t>
      </w:r>
      <w:r>
        <w:rPr>
          <w:rFonts w:ascii="Figtree" w:hAnsi="Figtree"/>
          <w:b w:val="0"/>
          <w:i w:val="0"/>
          <w:sz w:val="22"/>
        </w:rPr>
        <w:t xml:space="preserve"> We are not asking Neptune to build everything with us. We welcome the MindWave partnership. We will focus on the platform; they will focus on the portal. We will integrate with whichever custody and KYC providers Neptune chooses. We are flexible on everything except our commitment to delivering a production-grade platform on time.</w:t>
      </w:r>
    </w:p>
    <w:p>
      <w:r>
        <w:br w:type="page"/>
      </w:r>
    </w:p>
    <w:p>
      <w:pPr>
        <w:pStyle w:val="H2"/>
        <w:numPr>
          <w:ilvl w:val="1"/>
          <w:numId w:val="1"/>
        </w:numPr>
      </w:pPr>
      <w:r>
        <w:t>Investment Rationale</w:t>
      </w:r>
    </w:p>
    <w:p>
      <w:pPr>
        <w:pStyle w:val="H3"/>
        <w:numPr>
          <w:ilvl w:val="2"/>
          <w:numId w:val="1"/>
        </w:numPr>
      </w:pPr>
      <w:r>
        <w:t>The Cost of the Current Approach</w:t>
      </w:r>
    </w:p>
    <w:p>
      <w:r>
        <w:rPr>
          <w:rFonts w:ascii="Figtree" w:hAnsi="Figtree"/>
          <w:b w:val="0"/>
          <w:i w:val="0"/>
          <w:sz w:val="22"/>
        </w:rPr>
        <w:t>Neptune's current operating model for managing its SPC fleet carries costs that are not always visible on a balance sheet but are material in aggregate. Understanding these costs is essential context for evaluating the DALP investment.</w:t>
      </w:r>
    </w:p>
    <w:p>
      <w:r>
        <w:rPr>
          <w:rFonts w:ascii="Figtree" w:hAnsi="Figtree"/>
          <w:b/>
          <w:i w:val="0"/>
          <w:sz w:val="22"/>
        </w:rPr>
        <w:t>No digital distribution channel.</w:t>
      </w:r>
      <w:r>
        <w:rPr>
          <w:rFonts w:ascii="Figtree" w:hAnsi="Figtree"/>
          <w:b w:val="0"/>
          <w:i w:val="0"/>
          <w:sz w:val="22"/>
        </w:rPr>
        <w:t xml:space="preserve"> Neptune's sixty-plus SPCs represent a significant portfolio of maritime assets, but there is no digital mechanism for distributing ownership interests in these entities to investors. Capital raising relies on traditional, relationship-driven channels that limit the investor base to established maritime capital pools. This concentration creates dependency on a narrow set of funding sources and limits Neptune's ability to access institutional capital from investors who increasingly expect digital infrastructure for asset access, reporting, and governance participation.</w:t>
      </w:r>
    </w:p>
    <w:p>
      <w:r>
        <w:rPr>
          <w:rFonts w:ascii="Figtree" w:hAnsi="Figtree"/>
          <w:b/>
          <w:i w:val="0"/>
          <w:sz w:val="22"/>
        </w:rPr>
        <w:t>Concentrated maritime capital pools.</w:t>
      </w:r>
      <w:r>
        <w:rPr>
          <w:rFonts w:ascii="Figtree" w:hAnsi="Figtree"/>
          <w:b w:val="0"/>
          <w:i w:val="0"/>
          <w:sz w:val="22"/>
        </w:rPr>
        <w:t xml:space="preserve"> Maritime finance has historically operated within a closed ecosystem of specialized lenders, private equity firms, and family offices. While these relationships are valuable, they constrain Neptune's ability to diversify its capital base. Tokenization opens the possibility of fractional participation in individual SPCs, enabling a broader range of institutional investors to gain exposure to maritime assets without taking full vessel-level positions. Without a digital platform, this diversification remains theoretical.</w:t>
      </w:r>
    </w:p>
    <w:p>
      <w:r>
        <w:rPr>
          <w:rFonts w:ascii="Figtree" w:hAnsi="Figtree"/>
          <w:b/>
          <w:i w:val="0"/>
          <w:sz w:val="22"/>
        </w:rPr>
        <w:t>No investor portal or self-service infrastructure.</w:t>
      </w:r>
      <w:r>
        <w:rPr>
          <w:rFonts w:ascii="Figtree" w:hAnsi="Figtree"/>
          <w:b w:val="0"/>
          <w:i w:val="0"/>
          <w:sz w:val="22"/>
        </w:rPr>
        <w:t xml:space="preserve"> Investors in Neptune's SPCs currently have no unified digital interface for viewing their positions, tracking distributions, monitoring compliance status, or participating in governance decisions. Information flows through manual channels: email, spreadsheets, periodic reports. For a structure with five investors at the parent level and the ambition to scale beyond that, this approach creates administrative friction that grows with each additional investor and entity.</w:t>
      </w:r>
    </w:p>
    <w:p>
      <w:r>
        <w:rPr>
          <w:rFonts w:ascii="Figtree" w:hAnsi="Figtree"/>
          <w:b/>
          <w:i w:val="0"/>
          <w:sz w:val="22"/>
        </w:rPr>
        <w:t>Manual compliance tracking per entity.</w:t>
      </w:r>
      <w:r>
        <w:rPr>
          <w:rFonts w:ascii="Figtree" w:hAnsi="Figtree"/>
          <w:b w:val="0"/>
          <w:i w:val="0"/>
          <w:sz w:val="22"/>
        </w:rPr>
        <w:t xml:space="preserve"> Each SPC may operate under different compliance requirements depending on its flag state, the jurisdiction of its investors, and the specific terms of its financing arrangements. Tracking compliance manually across sixty-plus entities means maintaining separate records, performing separate checks, and relying on human processes to catch exceptions. The administrative burden scales linearly with entity count, and the risk of compliance gaps increases with every manual handoff.</w:t>
      </w:r>
    </w:p>
    <w:p>
      <w:r>
        <w:rPr>
          <w:rFonts w:ascii="Figtree" w:hAnsi="Figtree"/>
          <w:b/>
          <w:i w:val="0"/>
          <w:sz w:val="22"/>
        </w:rPr>
        <w:t>Friction in investor onboarding.</w:t>
      </w:r>
      <w:r>
        <w:rPr>
          <w:rFonts w:ascii="Figtree" w:hAnsi="Figtree"/>
          <w:b w:val="0"/>
          <w:i w:val="0"/>
          <w:sz w:val="22"/>
        </w:rPr>
        <w:t xml:space="preserve"> Onboarding new investors to an SPC requires KYC/AML verification, eligibility checks, regulatory classification, and documentation. Without a digital identity and credentialing framework, this process is repeated from scratch for each investor-entity combination. An investor participating in multiple SPCs must be verified multiple times through disconnected processes. This friction discourages participation and increases the cost per investor relationship.</w:t>
      </w:r>
    </w:p>
    <w:p>
      <w:r>
        <w:rPr>
          <w:rFonts w:ascii="Figtree" w:hAnsi="Figtree"/>
          <w:b/>
          <w:i w:val="0"/>
          <w:sz w:val="22"/>
        </w:rPr>
        <w:t>No integrated audit trail.</w:t>
      </w:r>
      <w:r>
        <w:rPr>
          <w:rFonts w:ascii="Figtree" w:hAnsi="Figtree"/>
          <w:b w:val="0"/>
          <w:i w:val="0"/>
          <w:sz w:val="22"/>
        </w:rPr>
        <w:t xml:space="preserve"> Compliance officers, regulators, and institutional investors increasingly expect a single, immutable record of all ownership changes, compliance checks, and governance actions. Neptune's current approach distributes this information across multiple systems and manual processes, making it difficult to produce the kind of comprehensive audit trail that institutional investors and regulators demand.</w:t>
      </w:r>
    </w:p>
    <w:p>
      <w:r>
        <w:rPr>
          <w:rFonts w:ascii="Figtree" w:hAnsi="Figtree"/>
          <w:b/>
          <w:i w:val="0"/>
          <w:sz w:val="22"/>
        </w:rPr>
        <w:t>Scaling costs that grow linearly with entity count.</w:t>
      </w:r>
      <w:r>
        <w:rPr>
          <w:rFonts w:ascii="Figtree" w:hAnsi="Figtree"/>
          <w:b w:val="0"/>
          <w:i w:val="0"/>
          <w:sz w:val="22"/>
        </w:rPr>
        <w:t xml:space="preserve"> Perhaps the most significant structural issue is that Neptune's current operating model does not scale sub-linearly. Adding the sixty-first SPC costs roughly the same in administrative overhead as the first. Adding the two-hundredth vessel to the affiliate fleet replicates the same compliance tracking, investor communication, and governance administration as every vessel before it. There is no template effect, no automation benefit, no configuration reuse. Each entity is managed as a standalone operation because the infrastructure does not support anything else.</w:t>
      </w:r>
    </w:p>
    <w:p>
      <w:r>
        <w:rPr>
          <w:rFonts w:ascii="Figtree" w:hAnsi="Figtree"/>
          <w:b/>
          <w:i w:val="0"/>
          <w:sz w:val="22"/>
        </w:rPr>
        <w:t>Opportunity cost of delayed capital formation.</w:t>
      </w:r>
      <w:r>
        <w:rPr>
          <w:rFonts w:ascii="Figtree" w:hAnsi="Figtree"/>
          <w:b w:val="0"/>
          <w:i w:val="0"/>
          <w:sz w:val="22"/>
        </w:rPr>
        <w:t xml:space="preserve"> Every month that Neptune operates without a digital investor access channel is a month where potential capital is not flowing into the fleet. Maritime assets are capital-intensive, and the ability to access broader institutional capital pools through tokenized fractional participation could materially reduce Neptune's cost of capital. The delay is not theoretical: competitors and adjacent industries are already exploring tokenized asset structures, and the first-mover advantage at Posidonia has a finite window.</w:t>
      </w:r>
    </w:p>
    <w:p>
      <w:r>
        <w:rPr>
          <w:rFonts w:ascii="Figtree" w:hAnsi="Figtree"/>
          <w:b w:val="0"/>
          <w:i w:val="0"/>
          <w:sz w:val="22"/>
        </w:rPr>
        <w:t>The aggregate effect of these limitations is that Neptune's SPC fleet, despite its underlying asset value and operational track record, is harder to capitalize, more expensive to administer, and less attractive to institutional investors than it needs to be. The Posidonia announcement is not just a brand exercise; it signals that Neptune has solved these structural constraints.</w:t>
      </w:r>
    </w:p>
    <w:p>
      <w:pPr>
        <w:pStyle w:val="H3"/>
        <w:numPr>
          <w:ilvl w:val="2"/>
          <w:numId w:val="1"/>
        </w:numPr>
      </w:pPr>
      <w:r>
        <w:t>Why DALP Changes the Economics</w:t>
      </w:r>
    </w:p>
    <w:p>
      <w:r>
        <w:rPr>
          <w:rFonts w:ascii="Figtree" w:hAnsi="Figtree"/>
          <w:b w:val="0"/>
          <w:i w:val="0"/>
          <w:sz w:val="22"/>
        </w:rPr>
        <w:t>DALP addresses Neptune's cost structure through five mechanisms that compound across the sixty-plus SPC fleet.</w:t>
      </w:r>
    </w:p>
    <w:p>
      <w:r>
        <w:rPr>
          <w:rFonts w:ascii="Figtree" w:hAnsi="Figtree"/>
          <w:b/>
          <w:i w:val="0"/>
          <w:sz w:val="22"/>
        </w:rPr>
        <w:t>Configuration-driven SPC deployment, not sixty bespoke builds.</w:t>
      </w:r>
      <w:r>
        <w:rPr>
          <w:rFonts w:ascii="Figtree" w:hAnsi="Figtree"/>
          <w:b w:val="0"/>
          <w:i w:val="0"/>
          <w:sz w:val="22"/>
        </w:rPr>
        <w:t xml:space="preserve"> DALP's equity factory pattern deploys individual SPC equity tokens through a standardized `createEquity()` function. Each call deploys a complete token with proxy contract, access manager, token identity, and trusted issuers registry. The configuration for each SPC (compliance modules, jurisdiction rules, investor caps, transfer restrictions) is parameterized, not custom-coded. Once Neptune establishes the template for the first few SPCs, deploying the remaining fifty-five is a scripting exercise measured in hours, not a development project measured in months. This is the single most important economic advantage DALP provides for Neptune's specific use case.</w:t>
      </w:r>
    </w:p>
    <w:p>
      <w:r>
        <w:rPr>
          <w:rFonts w:ascii="Figtree" w:hAnsi="Figtree"/>
          <w:b/>
          <w:i w:val="0"/>
          <w:sz w:val="22"/>
        </w:rPr>
        <w:t>Reusable compliance templates across the fleet.</w:t>
      </w:r>
      <w:r>
        <w:rPr>
          <w:rFonts w:ascii="Figtree" w:hAnsi="Figtree"/>
          <w:b w:val="0"/>
          <w:i w:val="0"/>
          <w:sz w:val="22"/>
        </w:rPr>
        <w:t xml:space="preserve"> DALP ships with 18 compliance module types covering country restrictions, investor accreditation, holding period enforcement, supply limits, transfer approvals, and more. Neptune configures these modules once per jurisdiction pattern and applies them across all SPCs that share the same regulatory profile. If thirty SPCs share the same flag state and investor eligibility rules, those thirty SPCs share the same compliance configuration. Changes to compliance rules propagate without modifying smart contract code. For a fleet operating across multiple jurisdictions, this reusability reduces both the initial configuration effort and the ongoing compliance maintenance burden.</w:t>
      </w:r>
    </w:p>
    <w:p>
      <w:r>
        <w:rPr>
          <w:rFonts w:ascii="Figtree" w:hAnsi="Figtree"/>
          <w:b/>
          <w:i w:val="0"/>
          <w:sz w:val="22"/>
        </w:rPr>
        <w:t>Production-grade platform versus in-house build.</w:t>
      </w:r>
      <w:r>
        <w:rPr>
          <w:rFonts w:ascii="Figtree" w:hAnsi="Figtree"/>
          <w:b w:val="0"/>
          <w:i w:val="0"/>
          <w:sz w:val="22"/>
        </w:rPr>
        <w:t xml:space="preserve"> Building the equivalent capability in-house would require smart contract engineering, compliance rule engine development, identity management, custody orchestration, settlement logic, observability tooling, and API integration layers. Based on SettleMint's experience across dozens of institutional engagements, this represents 12 to 24 months of engineering effort and a permanent team of 6 to 12 engineers. DALP converts this capital-intensive, unpredictable build into a predictable operating expense with no permanent engineering overhead.</w:t>
      </w:r>
    </w:p>
    <w:p>
      <w:r>
        <w:rPr>
          <w:rFonts w:ascii="Figtree" w:hAnsi="Figtree"/>
          <w:b/>
          <w:i w:val="0"/>
          <w:sz w:val="22"/>
        </w:rPr>
        <w:t>MindWave partnership model reduces SettleMint services scope.</w:t>
      </w:r>
      <w:r>
        <w:rPr>
          <w:rFonts w:ascii="Figtree" w:hAnsi="Figtree"/>
          <w:b w:val="0"/>
          <w:i w:val="0"/>
          <w:sz w:val="22"/>
        </w:rPr>
        <w:t xml:space="preserve"> Neptune's relationship with MindWave, an Athens-based development firm, provides a natural division of labour. SettleMint provides the DALP platform (tokenization backbone, compliance engine, identity framework, APIs). MindWave builds the custom investor-facing UI, handles front-end integration, and manages Neptune-specific workflows. This model means Neptune is not dependent on SettleMint for all custom development, and SettleMint's commercial offer stays focused on the platform itself rather than professional services.</w:t>
      </w:r>
    </w:p>
    <w:p>
      <w:r>
        <w:rPr>
          <w:rFonts w:ascii="Figtree" w:hAnsi="Figtree"/>
          <w:b/>
          <w:i w:val="0"/>
          <w:sz w:val="22"/>
        </w:rPr>
        <w:t>Institutional credibility through proven infrastructure.</w:t>
      </w:r>
      <w:r>
        <w:rPr>
          <w:rFonts w:ascii="Figtree" w:hAnsi="Figtree"/>
          <w:b w:val="0"/>
          <w:i w:val="0"/>
          <w:sz w:val="22"/>
        </w:rPr>
        <w:t xml:space="preserve"> For Neptune's Posidonia announcement to carry weight with maritime industry participants, institutional investors, and potential white-label partners, the underlying platform must be demonstrably production-grade. DALP's track record with tier-1 banks (OCBC, Commerzbank, Standard Chartered), sovereign entities (Saudi RER, State Bank of India), and central bank programmes provides the institutional credibility that validates Neptune's tokenization initiative as infrastructure, not experiment.</w:t>
      </w:r>
    </w:p>
    <w:p>
      <w:pPr>
        <w:pStyle w:val="H3"/>
        <w:numPr>
          <w:ilvl w:val="2"/>
          <w:numId w:val="1"/>
        </w:numPr>
      </w:pPr>
      <w:r>
        <w:t>ROI Framework</w:t>
      </w:r>
    </w:p>
    <w:p>
      <w:r>
        <w:rPr>
          <w:rFonts w:ascii="Figtree" w:hAnsi="Figtree"/>
          <w:b w:val="0"/>
          <w:i w:val="0"/>
          <w:sz w:val="22"/>
        </w:rPr>
        <w:t>The return on Neptune's DALP investment flows through five channels. The magnitude of each depends on execution speed and the scale of fleet deployment, but the direction is clear across all scenarios.</w:t>
      </w:r>
    </w:p>
    <w:p>
      <w:r>
        <w:rPr>
          <w:rFonts w:ascii="Figtree" w:hAnsi="Figtree"/>
          <w:b/>
          <w:i w:val="0"/>
          <w:sz w:val="22"/>
        </w:rPr>
        <w:t>Operational efficiency: SPC onboarding from weeks to hours.</w:t>
      </w:r>
      <w:r>
        <w:rPr>
          <w:rFonts w:ascii="Figtree" w:hAnsi="Figtree"/>
          <w:b w:val="0"/>
          <w:i w:val="0"/>
          <w:sz w:val="22"/>
        </w:rPr>
        <w:t xml:space="preserve"> Once compliance templates are established and the identity framework is configured, deploying a new SPC equity token is a configuration exercise. The factory pattern deterministically deploys the full contract stack. Compliance modules are applied from pre-configured templates. Identity requirements reference the existing registry. What currently takes weeks of manual setup, legal coordination, and documentation becomes a parameterized deployment measured in hours. Across sixty SPCs, this efficiency compounds. Across 200 to 300 vessels in the affiliate fleet, it becomes transformative.</w:t>
      </w:r>
    </w:p>
    <w:p>
      <w:r>
        <w:rPr>
          <w:rFonts w:ascii="Figtree" w:hAnsi="Figtree"/>
          <w:b/>
          <w:i w:val="0"/>
          <w:sz w:val="22"/>
        </w:rPr>
        <w:t>Revenue enablement: broader investor base.</w:t>
      </w:r>
      <w:r>
        <w:rPr>
          <w:rFonts w:ascii="Figtree" w:hAnsi="Figtree"/>
          <w:b w:val="0"/>
          <w:i w:val="0"/>
          <w:sz w:val="22"/>
        </w:rPr>
        <w:t xml:space="preserve"> Tokenization removes the friction that limits Neptune's investor pool to traditional maritime capital sources. Fractional SPC participation, with each token representing 10 to 30 percent of SPC economic rights, enables institutional investors who want maritime exposure without full vessel-level commitment. Digital investor onboarding, compliance-verified identities, and automated transfer approvals reduce the cost per investor relationship, making smaller participations economically viable. The long-term revenue impact depends on how aggressively Neptune pursues investor diversification, but the platform removes the technical barriers.</w:t>
      </w:r>
    </w:p>
    <w:p>
      <w:r>
        <w:rPr>
          <w:rFonts w:ascii="Figtree" w:hAnsi="Figtree"/>
          <w:b/>
          <w:i w:val="0"/>
          <w:sz w:val="22"/>
        </w:rPr>
        <w:t>Cost avoidance: no infrastructure build or maintain.</w:t>
      </w:r>
      <w:r>
        <w:rPr>
          <w:rFonts w:ascii="Figtree" w:hAnsi="Figtree"/>
          <w:b w:val="0"/>
          <w:i w:val="0"/>
          <w:sz w:val="22"/>
        </w:rPr>
        <w:t xml:space="preserve"> The alternative to DALP is building and maintaining a custom platform. The initial build cost is significant (12 to 24 months, 6 to 12 engineers), but the ongoing maintenance cost is the larger liability. Security patches, smart contract audits (€50,000 to €150,000 per audit cycle), compliance module updates as regulations change, infrastructure operations, and blockchain client compatibility: these are permanent costs that DALP's subscription model absorbs.</w:t>
      </w:r>
    </w:p>
    <w:p>
      <w:r>
        <w:rPr>
          <w:rFonts w:ascii="Figtree" w:hAnsi="Figtree"/>
          <w:b/>
          <w:i w:val="0"/>
          <w:sz w:val="22"/>
        </w:rPr>
        <w:t>Risk reduction: on-chain compliance determinism.</w:t>
      </w:r>
      <w:r>
        <w:rPr>
          <w:rFonts w:ascii="Figtree" w:hAnsi="Figtree"/>
          <w:b w:val="0"/>
          <w:i w:val="0"/>
          <w:sz w:val="22"/>
        </w:rPr>
        <w:t xml:space="preserve"> DALP's ex-ante compliance enforcement means every transfer is validated against configured rules before execution. Non-compliant transfers are blocked at the smart contract level. This is not a reporting layer that flags violations after the fact; it is a control layer that prevents them. For Neptune, operating across multiple jurisdictions with different investor eligibility rules, this deterministic enforcement reduces the risk of compliance breaches that could jeopardize the programme or trigger regulatory scrutiny.</w:t>
      </w:r>
    </w:p>
    <w:p>
      <w:r>
        <w:rPr>
          <w:rFonts w:ascii="Figtree" w:hAnsi="Figtree"/>
          <w:b/>
          <w:i w:val="0"/>
          <w:sz w:val="22"/>
        </w:rPr>
        <w:t>Posidonia brand value: first shipping company to tokenize a full SPC fleet.</w:t>
      </w:r>
      <w:r>
        <w:rPr>
          <w:rFonts w:ascii="Figtree" w:hAnsi="Figtree"/>
          <w:b w:val="0"/>
          <w:i w:val="0"/>
          <w:sz w:val="22"/>
        </w:rPr>
        <w:t xml:space="preserve"> Posidonia is the world's largest shipping conference, held biennially in Athens. A credible announcement that Neptune has tokenized its entire SPC fleet positions Neptune as the first mover in maritime tokenization. The brand value extends beyond Neptune's own capital raising: it opens conversations with other shipping companies about white-label tokenization, generates pipeline for SettleMint in the maritime vertical, and positions Neptune as a technology-forward operator in a traditionally conservative industry.</w:t>
      </w:r>
    </w:p>
    <w:p>
      <w:pPr>
        <w:pStyle w:val="H3"/>
        <w:numPr>
          <w:ilvl w:val="2"/>
          <w:numId w:val="1"/>
        </w:numPr>
      </w:pPr>
      <w:r>
        <w:t>Sensitivity Analysis</w:t>
      </w:r>
    </w:p>
    <w:p>
      <w:r>
        <w:rPr>
          <w:rFonts w:ascii="Figtree" w:hAnsi="Figtree"/>
          <w:b w:val="0"/>
          <w:i w:val="0"/>
          <w:sz w:val="22"/>
        </w:rPr>
        <w:t>The table below illustrates how the ROI framework plays out under three scenarios. All figures are directional estimates based on comparable engagements and Neptune's stated programme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96"/>
        <w:gridCol w:w="1251"/>
        <w:gridCol w:w="1251"/>
        <w:gridCol w:w="17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Expected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Upside</w:t>
            </w:r>
          </w:p>
        </w:tc>
      </w:tr>
      <w:tr>
        <w:trPr>
          <w:trHeight w:val="425" w:hRule="atLeast"/>
        </w:trPr>
        <w:tc>
          <w:tcPr>
            <w:tcW w:type="dxa" w:w="2436"/>
            <w:vAlign w:val="center"/>
          </w:tcPr>
          <w:p>
            <w:pPr>
              <w:spacing w:line="276" w:lineRule="auto" w:before="0" w:after="0"/>
            </w:pPr>
            <w:r/>
            <w:r>
              <w:rPr>
                <w:rFonts w:ascii="Figtree" w:hAnsi="Figtree"/>
                <w:b w:val="0"/>
                <w:i w:val="0"/>
                <w:sz w:val="20"/>
              </w:rPr>
              <w:t>SPCs tokenized (Year 1)</w:t>
            </w:r>
          </w:p>
        </w:tc>
        <w:tc>
          <w:tcPr>
            <w:tcW w:type="dxa" w:w="2436"/>
            <w:vAlign w:val="center"/>
          </w:tcPr>
          <w:p>
            <w:pPr>
              <w:spacing w:line="276" w:lineRule="auto" w:before="0" w:after="0"/>
            </w:pPr>
            <w:r/>
            <w:r>
              <w:rPr>
                <w:rFonts w:ascii="Figtree" w:hAnsi="Figtree"/>
                <w:b w:val="0"/>
                <w:i w:val="0"/>
                <w:sz w:val="20"/>
              </w:rPr>
              <w:t>60</w:t>
            </w:r>
          </w:p>
        </w:tc>
        <w:tc>
          <w:tcPr>
            <w:tcW w:type="dxa" w:w="2436"/>
            <w:vAlign w:val="center"/>
          </w:tcPr>
          <w:p>
            <w:pPr>
              <w:spacing w:line="276" w:lineRule="auto" w:before="0" w:after="0"/>
            </w:pPr>
            <w:r/>
            <w:r>
              <w:rPr>
                <w:rFonts w:ascii="Figtree" w:hAnsi="Figtree"/>
                <w:b w:val="0"/>
                <w:i w:val="0"/>
                <w:sz w:val="20"/>
              </w:rPr>
              <w:t>60</w:t>
            </w:r>
          </w:p>
        </w:tc>
        <w:tc>
          <w:tcPr>
            <w:tcW w:type="dxa" w:w="2436"/>
            <w:vAlign w:val="center"/>
          </w:tcPr>
          <w:p>
            <w:pPr>
              <w:spacing w:line="276" w:lineRule="auto" w:before="0" w:after="0"/>
            </w:pPr>
            <w:r/>
            <w:r>
              <w:rPr>
                <w:rFonts w:ascii="Figtree" w:hAnsi="Figtree"/>
                <w:b w:val="0"/>
                <w:i w:val="0"/>
                <w:sz w:val="20"/>
              </w:rPr>
              <w:t>60 + 50 affiliate</w:t>
            </w:r>
          </w:p>
        </w:tc>
      </w:tr>
      <w:tr>
        <w:trPr>
          <w:trHeight w:val="425" w:hRule="atLeast"/>
        </w:trPr>
        <w:tc>
          <w:tcPr>
            <w:tcW w:type="dxa" w:w="2436"/>
            <w:vAlign w:val="center"/>
          </w:tcPr>
          <w:p>
            <w:pPr>
              <w:spacing w:line="276" w:lineRule="auto" w:before="0" w:after="0"/>
            </w:pPr>
            <w:r/>
            <w:r>
              <w:rPr>
                <w:rFonts w:ascii="Figtree" w:hAnsi="Figtree"/>
                <w:b w:val="0"/>
                <w:i w:val="0"/>
                <w:sz w:val="20"/>
              </w:rPr>
              <w:t>SPCs tokenized (Year 3)</w:t>
            </w:r>
          </w:p>
        </w:tc>
        <w:tc>
          <w:tcPr>
            <w:tcW w:type="dxa" w:w="2436"/>
            <w:vAlign w:val="center"/>
          </w:tcPr>
          <w:p>
            <w:pPr>
              <w:spacing w:line="276" w:lineRule="auto" w:before="0" w:after="0"/>
            </w:pPr>
            <w:r/>
            <w:r>
              <w:rPr>
                <w:rFonts w:ascii="Figtree" w:hAnsi="Figtree"/>
                <w:b w:val="0"/>
                <w:i w:val="0"/>
                <w:sz w:val="20"/>
              </w:rPr>
              <w:t>60</w:t>
            </w:r>
          </w:p>
        </w:tc>
        <w:tc>
          <w:tcPr>
            <w:tcW w:type="dxa" w:w="2436"/>
            <w:vAlign w:val="center"/>
          </w:tcPr>
          <w:p>
            <w:pPr>
              <w:spacing w:line="276" w:lineRule="auto" w:before="0" w:after="0"/>
            </w:pPr>
            <w:r/>
            <w:r>
              <w:rPr>
                <w:rFonts w:ascii="Figtree" w:hAnsi="Figtree"/>
                <w:b w:val="0"/>
                <w:i w:val="0"/>
                <w:sz w:val="20"/>
              </w:rPr>
              <w:t>120</w:t>
            </w:r>
          </w:p>
        </w:tc>
        <w:tc>
          <w:tcPr>
            <w:tcW w:type="dxa" w:w="2436"/>
            <w:vAlign w:val="center"/>
          </w:tcPr>
          <w:p>
            <w:pPr>
              <w:spacing w:line="276" w:lineRule="auto" w:before="0" w:after="0"/>
            </w:pPr>
            <w:r/>
            <w:r>
              <w:rPr>
                <w:rFonts w:ascii="Figtree" w:hAnsi="Figtree"/>
                <w:b w:val="0"/>
                <w:i w:val="0"/>
                <w:sz w:val="20"/>
              </w:rPr>
              <w:t>300</w:t>
            </w:r>
          </w:p>
        </w:tc>
      </w:tr>
      <w:tr>
        <w:trPr>
          <w:trHeight w:val="425" w:hRule="atLeast"/>
        </w:trPr>
        <w:tc>
          <w:tcPr>
            <w:tcW w:type="dxa" w:w="2436"/>
            <w:vAlign w:val="center"/>
          </w:tcPr>
          <w:p>
            <w:pPr>
              <w:spacing w:line="276" w:lineRule="auto" w:before="0" w:after="0"/>
            </w:pPr>
            <w:r/>
            <w:r>
              <w:rPr>
                <w:rFonts w:ascii="Figtree" w:hAnsi="Figtree"/>
                <w:b w:val="0"/>
                <w:i w:val="0"/>
                <w:sz w:val="20"/>
              </w:rPr>
              <w:t>SPC deployment time (post-template)</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Administrative cost reduction per SPC (annual)</w:t>
            </w:r>
          </w:p>
        </w:tc>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30%</w:t>
            </w:r>
          </w:p>
        </w:tc>
        <w:tc>
          <w:tcPr>
            <w:tcW w:type="dxa" w:w="2436"/>
            <w:vAlign w:val="center"/>
          </w:tcPr>
          <w:p>
            <w:pPr>
              <w:spacing w:line="276" w:lineRule="auto" w:before="0" w:after="0"/>
            </w:pPr>
            <w:r/>
            <w:r>
              <w:rPr>
                <w:rFonts w:ascii="Figtree" w:hAnsi="Figtree"/>
                <w:b w:val="0"/>
                <w:i w:val="0"/>
                <w:sz w:val="20"/>
              </w:rPr>
              <w:t>50%</w:t>
            </w:r>
          </w:p>
        </w:tc>
      </w:tr>
      <w:tr>
        <w:trPr>
          <w:trHeight w:val="425" w:hRule="atLeast"/>
        </w:trPr>
        <w:tc>
          <w:tcPr>
            <w:tcW w:type="dxa" w:w="2436"/>
            <w:vAlign w:val="center"/>
          </w:tcPr>
          <w:p>
            <w:pPr>
              <w:spacing w:line="276" w:lineRule="auto" w:before="0" w:after="0"/>
            </w:pPr>
            <w:r/>
            <w:r>
              <w:rPr>
                <w:rFonts w:ascii="Figtree" w:hAnsi="Figtree"/>
                <w:b w:val="0"/>
                <w:i w:val="0"/>
                <w:sz w:val="20"/>
              </w:rPr>
              <w:t>New investor participation enabled</w:t>
            </w:r>
          </w:p>
        </w:tc>
        <w:tc>
          <w:tcPr>
            <w:tcW w:type="dxa" w:w="2436"/>
            <w:vAlign w:val="center"/>
          </w:tcPr>
          <w:p>
            <w:pPr>
              <w:spacing w:line="276" w:lineRule="auto" w:before="0" w:after="0"/>
            </w:pPr>
            <w:r/>
            <w:r>
              <w:rPr>
                <w:rFonts w:ascii="Figtree" w:hAnsi="Figtree"/>
                <w:b w:val="0"/>
                <w:i w:val="0"/>
                <w:sz w:val="20"/>
              </w:rPr>
              <w:t>5 investors</w:t>
            </w:r>
          </w:p>
        </w:tc>
        <w:tc>
          <w:tcPr>
            <w:tcW w:type="dxa" w:w="2436"/>
            <w:vAlign w:val="center"/>
          </w:tcPr>
          <w:p>
            <w:pPr>
              <w:spacing w:line="276" w:lineRule="auto" w:before="0" w:after="0"/>
            </w:pPr>
            <w:r/>
            <w:r>
              <w:rPr>
                <w:rFonts w:ascii="Figtree" w:hAnsi="Figtree"/>
                <w:b w:val="0"/>
                <w:i w:val="0"/>
                <w:sz w:val="20"/>
              </w:rPr>
              <w:t>15 investors</w:t>
            </w:r>
          </w:p>
        </w:tc>
        <w:tc>
          <w:tcPr>
            <w:tcW w:type="dxa" w:w="2436"/>
            <w:vAlign w:val="center"/>
          </w:tcPr>
          <w:p>
            <w:pPr>
              <w:spacing w:line="276" w:lineRule="auto" w:before="0" w:after="0"/>
            </w:pPr>
            <w:r/>
            <w:r>
              <w:rPr>
                <w:rFonts w:ascii="Figtree" w:hAnsi="Figtree"/>
                <w:b w:val="0"/>
                <w:i w:val="0"/>
                <w:sz w:val="20"/>
              </w:rPr>
              <w:t>50+ investors</w:t>
            </w:r>
          </w:p>
        </w:tc>
      </w:tr>
      <w:tr>
        <w:trPr>
          <w:trHeight w:val="425" w:hRule="atLeast"/>
        </w:trPr>
        <w:tc>
          <w:tcPr>
            <w:tcW w:type="dxa" w:w="2436"/>
            <w:vAlign w:val="center"/>
          </w:tcPr>
          <w:p>
            <w:pPr>
              <w:spacing w:line="276" w:lineRule="auto" w:before="0" w:after="0"/>
            </w:pPr>
            <w:r/>
            <w:r>
              <w:rPr>
                <w:rFonts w:ascii="Figtree" w:hAnsi="Figtree"/>
                <w:b w:val="0"/>
                <w:i w:val="0"/>
                <w:sz w:val="20"/>
              </w:rPr>
              <w:t>Time to Posidonia readiness</w:t>
            </w:r>
          </w:p>
        </w:tc>
        <w:tc>
          <w:tcPr>
            <w:tcW w:type="dxa" w:w="2436"/>
            <w:vAlign w:val="center"/>
          </w:tcPr>
          <w:p>
            <w:pPr>
              <w:spacing w:line="276" w:lineRule="auto" w:before="0" w:after="0"/>
            </w:pPr>
            <w:r/>
            <w:r>
              <w:rPr>
                <w:rFonts w:ascii="Figtree" w:hAnsi="Figtree"/>
                <w:b w:val="0"/>
                <w:i w:val="0"/>
                <w:sz w:val="20"/>
              </w:rPr>
              <w:t>14 weeks</w:t>
            </w:r>
          </w:p>
        </w:tc>
        <w:tc>
          <w:tcPr>
            <w:tcW w:type="dxa" w:w="2436"/>
            <w:vAlign w:val="center"/>
          </w:tcPr>
          <w:p>
            <w:pPr>
              <w:spacing w:line="276" w:lineRule="auto" w:before="0" w:after="0"/>
            </w:pPr>
            <w:r/>
            <w:r>
              <w:rPr>
                <w:rFonts w:ascii="Figtree" w:hAnsi="Figtree"/>
                <w:b w:val="0"/>
                <w:i w:val="0"/>
                <w:sz w:val="20"/>
              </w:rPr>
              <w:t>12 weeks</w:t>
            </w:r>
          </w:p>
        </w:tc>
        <w:tc>
          <w:tcPr>
            <w:tcW w:type="dxa" w:w="2436"/>
            <w:vAlign w:val="center"/>
          </w:tcPr>
          <w:p>
            <w:pPr>
              <w:spacing w:line="276" w:lineRule="auto" w:before="0" w:after="0"/>
            </w:pPr>
            <w:r/>
            <w:r>
              <w:rPr>
                <w:rFonts w:ascii="Figtree" w:hAnsi="Figtree"/>
                <w:b w:val="0"/>
                <w:i w:val="0"/>
                <w:sz w:val="20"/>
              </w:rPr>
              <w:t>10 weeks</w:t>
            </w:r>
          </w:p>
        </w:tc>
      </w:tr>
      <w:tr>
        <w:trPr>
          <w:trHeight w:val="425" w:hRule="atLeast"/>
        </w:trPr>
        <w:tc>
          <w:tcPr>
            <w:tcW w:type="dxa" w:w="2436"/>
            <w:vAlign w:val="center"/>
          </w:tcPr>
          <w:p>
            <w:pPr>
              <w:spacing w:line="276" w:lineRule="auto" w:before="0" w:after="0"/>
            </w:pPr>
            <w:r/>
            <w:r>
              <w:rPr>
                <w:rFonts w:ascii="Figtree" w:hAnsi="Figtree"/>
                <w:b w:val="0"/>
                <w:i w:val="0"/>
                <w:sz w:val="20"/>
              </w:rPr>
              <w:t>Break-even vs. in-house build</w:t>
            </w:r>
          </w:p>
        </w:tc>
        <w:tc>
          <w:tcPr>
            <w:tcW w:type="dxa" w:w="2436"/>
            <w:vAlign w:val="center"/>
          </w:tcPr>
          <w:p>
            <w:pPr>
              <w:spacing w:line="276" w:lineRule="auto" w:before="0" w:after="0"/>
            </w:pPr>
            <w:r/>
            <w:r>
              <w:rPr>
                <w:rFonts w:ascii="Figtree" w:hAnsi="Figtree"/>
                <w:b w:val="0"/>
                <w:i w:val="0"/>
                <w:sz w:val="20"/>
              </w:rPr>
              <w:t>18 months</w:t>
            </w:r>
          </w:p>
        </w:tc>
        <w:tc>
          <w:tcPr>
            <w:tcW w:type="dxa" w:w="2436"/>
            <w:vAlign w:val="center"/>
          </w:tcPr>
          <w:p>
            <w:pPr>
              <w:spacing w:line="276" w:lineRule="auto" w:before="0" w:after="0"/>
            </w:pPr>
            <w:r/>
            <w:r>
              <w:rPr>
                <w:rFonts w:ascii="Figtree" w:hAnsi="Figtree"/>
                <w:b w:val="0"/>
                <w:i w:val="0"/>
                <w:sz w:val="20"/>
              </w:rPr>
              <w:t>12 months</w:t>
            </w:r>
          </w:p>
        </w:tc>
        <w:tc>
          <w:tcPr>
            <w:tcW w:type="dxa" w:w="2436"/>
            <w:vAlign w:val="center"/>
          </w:tcPr>
          <w:p>
            <w:pPr>
              <w:spacing w:line="276" w:lineRule="auto" w:before="0" w:after="0"/>
            </w:pPr>
            <w:r/>
            <w:r>
              <w:rPr>
                <w:rFonts w:ascii="Figtree" w:hAnsi="Figtree"/>
                <w:b w:val="0"/>
                <w:i w:val="0"/>
                <w:sz w:val="20"/>
              </w:rPr>
              <w:t>6 months</w:t>
            </w:r>
          </w:p>
        </w:tc>
      </w:tr>
      <w:tr>
        <w:trPr>
          <w:trHeight w:val="425" w:hRule="atLeast"/>
        </w:trPr>
        <w:tc>
          <w:tcPr>
            <w:tcW w:type="dxa" w:w="2436"/>
            <w:vAlign w:val="center"/>
          </w:tcPr>
          <w:p>
            <w:pPr>
              <w:spacing w:line="276" w:lineRule="auto" w:before="0" w:after="0"/>
            </w:pPr>
            <w:r/>
            <w:r>
              <w:rPr>
                <w:rFonts w:ascii="Figtree" w:hAnsi="Figtree"/>
                <w:b w:val="0"/>
                <w:i w:val="0"/>
                <w:sz w:val="20"/>
              </w:rPr>
              <w:t>Platform payback period</w:t>
            </w:r>
          </w:p>
        </w:tc>
        <w:tc>
          <w:tcPr>
            <w:tcW w:type="dxa" w:w="2436"/>
            <w:vAlign w:val="center"/>
          </w:tcPr>
          <w:p>
            <w:pPr>
              <w:spacing w:line="276" w:lineRule="auto" w:before="0" w:after="0"/>
            </w:pPr>
            <w:r/>
            <w:r>
              <w:rPr>
                <w:rFonts w:ascii="Figtree" w:hAnsi="Figtree"/>
                <w:b w:val="0"/>
                <w:i w:val="0"/>
                <w:sz w:val="20"/>
              </w:rPr>
              <w:t>24 months</w:t>
            </w:r>
          </w:p>
        </w:tc>
        <w:tc>
          <w:tcPr>
            <w:tcW w:type="dxa" w:w="2436"/>
            <w:vAlign w:val="center"/>
          </w:tcPr>
          <w:p>
            <w:pPr>
              <w:spacing w:line="276" w:lineRule="auto" w:before="0" w:after="0"/>
            </w:pPr>
            <w:r/>
            <w:r>
              <w:rPr>
                <w:rFonts w:ascii="Figtree" w:hAnsi="Figtree"/>
                <w:b w:val="0"/>
                <w:i w:val="0"/>
                <w:sz w:val="20"/>
              </w:rPr>
              <w:t>14 months</w:t>
            </w:r>
          </w:p>
        </w:tc>
        <w:tc>
          <w:tcPr>
            <w:tcW w:type="dxa" w:w="2436"/>
            <w:vAlign w:val="center"/>
          </w:tcPr>
          <w:p>
            <w:pPr>
              <w:spacing w:line="276" w:lineRule="auto" w:before="0" w:after="0"/>
            </w:pPr>
            <w:r/>
            <w:r>
              <w:rPr>
                <w:rFonts w:ascii="Figtree" w:hAnsi="Figtree"/>
                <w:b w:val="0"/>
                <w:i w:val="0"/>
                <w:sz w:val="20"/>
              </w:rPr>
              <w:t>8 months</w:t>
            </w:r>
          </w:p>
        </w:tc>
      </w:tr>
    </w:tbl>
    <w:p>
      <w:pPr>
        <w:spacing w:before="0" w:after="0" w:line="120" w:lineRule="exact"/>
      </w:pPr>
    </w:p>
    <w:p>
      <w:r>
        <w:rPr>
          <w:rFonts w:ascii="Figtree" w:hAnsi="Figtree"/>
          <w:b w:val="0"/>
          <w:i w:val="0"/>
          <w:sz w:val="22"/>
        </w:rPr>
        <w:t>The conservative case assumes Neptune tokenizes only the initial sixty SPCs, achieves modest efficiency gains, and attracts a limited number of additional investors. The expected case assumes Neptune expands to affiliate fleet vessels within Year 2 and realizes the full efficiency of template-based SPC deployment. The upside case assumes rapid affiliate fleet adoption, significant investor base expansion, and the launch of a white-label offering for other shipping companies.</w:t>
      </w:r>
    </w:p>
    <w:p>
      <w:r>
        <w:rPr>
          <w:rFonts w:ascii="Figtree" w:hAnsi="Figtree"/>
          <w:b w:val="0"/>
          <w:i w:val="0"/>
          <w:sz w:val="22"/>
        </w:rPr>
        <w:t>In all three scenarios, the DALP platform investment is recovered within 24 months or less, primarily through administrative cost avoidance and the elimination of the alternative internal build path.</w:t>
      </w:r>
    </w:p>
    <w:p>
      <w:pPr>
        <w:pStyle w:val="H3"/>
        <w:numPr>
          <w:ilvl w:val="2"/>
          <w:numId w:val="1"/>
        </w:numPr>
      </w:pPr>
      <w:r>
        <w:t>Quantifying the Alternative: The True Cost of Not Acting</w:t>
      </w:r>
    </w:p>
    <w:p>
      <w:r>
        <w:rPr>
          <w:rFonts w:ascii="Figtree" w:hAnsi="Figtree"/>
          <w:b w:val="0"/>
          <w:i w:val="0"/>
          <w:sz w:val="22"/>
        </w:rPr>
        <w:t>Beyond the direct ROI framework, Neptune should consider the cost of not proceeding with DALP or a comparable platform. This is not a hypothetical exercise; it reflects real economic consequences.</w:t>
      </w:r>
    </w:p>
    <w:p>
      <w:r>
        <w:rPr>
          <w:rFonts w:ascii="Figtree" w:hAnsi="Figtree"/>
          <w:b/>
          <w:i w:val="0"/>
          <w:sz w:val="22"/>
        </w:rPr>
        <w:t>Continued manual administration costs.</w:t>
      </w:r>
      <w:r>
        <w:rPr>
          <w:rFonts w:ascii="Figtree" w:hAnsi="Figtree"/>
          <w:b w:val="0"/>
          <w:i w:val="0"/>
          <w:sz w:val="22"/>
        </w:rPr>
        <w:t xml:space="preserve"> At current staffing levels, managing sixty SPCs with manual compliance tracking, investor communications, and governance administration requires dedicated personnel time that scales with entity count. As Neptune expands to affiliate fleets, this cost grows proportionally. Conservative estimates place the fully loaded annual cost of manual SPC administration at €200,000 to €400,000 for a sixty-vessel fleet, rising to €600,000 to €1,200,000 for 200 to 300 vessels. DALP does not eliminate all administrative effort, but configuration-driven SPC management, automated compliance enforcement, and digital investor infrastructure reduce the marginal cost per SPC by 30 to 50 percent in the conservative case.</w:t>
      </w:r>
    </w:p>
    <w:p>
      <w:r>
        <w:rPr>
          <w:rFonts w:ascii="Figtree" w:hAnsi="Figtree"/>
          <w:b/>
          <w:i w:val="0"/>
          <w:sz w:val="22"/>
        </w:rPr>
        <w:t>Lost Posidonia first-mover advantage.</w:t>
      </w:r>
      <w:r>
        <w:rPr>
          <w:rFonts w:ascii="Figtree" w:hAnsi="Figtree"/>
          <w:b w:val="0"/>
          <w:i w:val="0"/>
          <w:sz w:val="22"/>
        </w:rPr>
        <w:t xml:space="preserve"> Posidonia 2026 is a biennial event. If Neptune misses this window, the next Posidonia is in 2028. In the intervening two years, competitors may announce their own tokenization initiatives, reducing the brand impact and first-mover positioning that Neptune currently holds. The brand value of being first is difficult to quantify precisely, but in a relationship-driven industry like maritime finance, the signaling effect of demonstrating technological capability at the industry's premier event is substantial.</w:t>
      </w:r>
    </w:p>
    <w:p>
      <w:r>
        <w:rPr>
          <w:rFonts w:ascii="Figtree" w:hAnsi="Figtree"/>
          <w:b/>
          <w:i w:val="0"/>
          <w:sz w:val="22"/>
        </w:rPr>
        <w:t>Investor base concentration risk.</w:t>
      </w:r>
      <w:r>
        <w:rPr>
          <w:rFonts w:ascii="Figtree" w:hAnsi="Figtree"/>
          <w:b w:val="0"/>
          <w:i w:val="0"/>
          <w:sz w:val="22"/>
        </w:rPr>
        <w:t xml:space="preserve"> Continuing with concentrated maritime capital pools exposes Neptune to funding risk if any major capital provider reduces exposure to the sector. Tokenization-enabled diversification provides resilience against this concentration risk, particularly as Neptune scales to 200 to 300 vessels where the capital requirements grow proportionally.</w:t>
      </w:r>
    </w:p>
    <w:p>
      <w:r>
        <w:rPr>
          <w:rFonts w:ascii="Figtree" w:hAnsi="Figtree"/>
          <w:b/>
          <w:i w:val="0"/>
          <w:sz w:val="22"/>
        </w:rPr>
        <w:t>Competitive pressure from adjacent industries.</w:t>
      </w:r>
      <w:r>
        <w:rPr>
          <w:rFonts w:ascii="Figtree" w:hAnsi="Figtree"/>
          <w:b w:val="0"/>
          <w:i w:val="0"/>
          <w:sz w:val="22"/>
        </w:rPr>
        <w:t xml:space="preserve"> Real estate, private equity, and infrastructure finance are all moving toward tokenized structures. Maritime finance investors who are also active in these sectors will increasingly expect digital infrastructure from their maritime investments. Neptune's decision to tokenize is not just about efficiency; it is about meeting evolving investor expectations before those expectations become requirements.</w:t>
      </w:r>
    </w:p>
    <w:p>
      <w:r>
        <w:br w:type="page"/>
      </w:r>
    </w:p>
    <w:p>
      <w:pPr>
        <w:pStyle w:val="H2"/>
        <w:numPr>
          <w:ilvl w:val="1"/>
          <w:numId w:val="1"/>
        </w:numPr>
      </w:pPr>
      <w:r>
        <w:t>Licensing Model</w:t>
      </w:r>
    </w:p>
    <w:p>
      <w:pPr>
        <w:pStyle w:val="H3"/>
        <w:numPr>
          <w:ilvl w:val="2"/>
          <w:numId w:val="1"/>
        </w:numPr>
      </w:pPr>
      <w:r>
        <w:t>Platform Licensing Philosophy</w:t>
      </w:r>
    </w:p>
    <w:p>
      <w:r>
        <w:rPr>
          <w:rFonts w:ascii="Figtree" w:hAnsi="Figtree"/>
          <w:b w:val="0"/>
          <w:i w:val="0"/>
          <w:sz w:val="22"/>
        </w:rPr>
        <w:t>DALP uses a platform licensing model, not a per-transaction or per-asset fee structure. This distinction is fundamental to how SettleMint serves regulated institutions, and it is directly relevant to Neptune's use case.</w:t>
      </w:r>
    </w:p>
    <w:p>
      <w:r>
        <w:rPr>
          <w:rFonts w:ascii="Figtree" w:hAnsi="Figtree"/>
          <w:b w:val="0"/>
          <w:i w:val="0"/>
          <w:sz w:val="22"/>
        </w:rPr>
        <w:t>There are no per-transaction fees. Neptune will not be charged per mint, transfer, settlement, or compliance check. Deploying sixty SPC equity tokens and processing transfers across all of them incurs no incremental licensing cost. There are no per-token fees. Creating the sixty-first SPC token costs the same as creating the first. There are no per-user fees for end-investors. As Neptune onboards investors, whether five or fifty, investor growth is a business outcome, not a cost driver.</w:t>
      </w:r>
    </w:p>
    <w:p>
      <w:r>
        <w:rPr>
          <w:rFonts w:ascii="Figtree" w:hAnsi="Figtree"/>
          <w:b w:val="0"/>
          <w:i w:val="0"/>
          <w:sz w:val="22"/>
        </w:rPr>
        <w:t>Licensing is structured as an annual or monthly subscription, giving Neptune budget predictability and avoiding the variable-cost surprises common in transaction-based pricing models. This approach reflects SettleMint's belief that platform adoption should accelerate usage, not constrain it. For Neptune's use case specifically, where sixty-plus SPCs will each generate compliance checks on every transfer, identity verifications on every investor action, and yield distributions to all token holders, a per-operation pricing model would create cost anxiety that works against the programme's success.</w:t>
      </w:r>
    </w:p>
    <w:p>
      <w:pPr>
        <w:pStyle w:val="H3"/>
        <w:numPr>
          <w:ilvl w:val="2"/>
          <w:numId w:val="1"/>
        </w:numPr>
      </w:pPr>
      <w:r>
        <w:t>What Neptune Is Buying</w:t>
      </w:r>
    </w:p>
    <w:p>
      <w:r>
        <w:rPr>
          <w:rFonts w:ascii="Figtree" w:hAnsi="Figtree"/>
          <w:b w:val="0"/>
          <w:i w:val="0"/>
          <w:sz w:val="22"/>
        </w:rPr>
        <w:t>When Neptune invests in DALP, it is acquiring five distinct but interconnected capabilities that together form a complete digital asset operating system.</w:t>
      </w:r>
    </w:p>
    <w:p>
      <w:r>
        <w:rPr>
          <w:rFonts w:ascii="Figtree" w:hAnsi="Figtree"/>
          <w:b/>
          <w:i w:val="0"/>
          <w:sz w:val="22"/>
        </w:rPr>
        <w:t>Issuance capability.</w:t>
      </w:r>
      <w:r>
        <w:rPr>
          <w:rFonts w:ascii="Figtree" w:hAnsi="Figtree"/>
          <w:b w:val="0"/>
          <w:i w:val="0"/>
          <w:sz w:val="22"/>
        </w:rPr>
        <w:t xml:space="preserve"> DALP provides the ability to create, configure, and deploy digital asset tokens representing SPC equity. This is not limited to a single token type; the platform supports bonds, equities, funds, stablecoins, deposits, real estate, and precious metals, plus the Configurable Token for custom asset types. For Neptune, this means the SPC equity tokens are the first asset class, but the platform can support additional asset classes (bond issuances at the SPC level, fund products at the fleet level) without additional platform investment.</w:t>
      </w:r>
    </w:p>
    <w:p>
      <w:r>
        <w:rPr>
          <w:rFonts w:ascii="Figtree" w:hAnsi="Figtree"/>
          <w:b/>
          <w:i w:val="0"/>
          <w:sz w:val="22"/>
        </w:rPr>
        <w:t>Compliance capability.</w:t>
      </w:r>
      <w:r>
        <w:rPr>
          <w:rFonts w:ascii="Figtree" w:hAnsi="Figtree"/>
          <w:b w:val="0"/>
          <w:i w:val="0"/>
          <w:sz w:val="22"/>
        </w:rPr>
        <w:t xml:space="preserve"> DALP provides 18 compliance module types that enforce regulatory and structural rules at the smart contract level. This is fundamentally different from post-trade compliance monitoring. Every transfer is validated before execution. If a transfer would violate a configured rule, it is blocked at the protocol level. This ex-ante enforcement provides deterministic compliance: the rule is either enforced or it is not, with no middle ground.</w:t>
      </w:r>
    </w:p>
    <w:p>
      <w:r>
        <w:rPr>
          <w:rFonts w:ascii="Figtree" w:hAnsi="Figtree"/>
          <w:b/>
          <w:i w:val="0"/>
          <w:sz w:val="22"/>
        </w:rPr>
        <w:t>Identity capability.</w:t>
      </w:r>
      <w:r>
        <w:rPr>
          <w:rFonts w:ascii="Figtree" w:hAnsi="Figtree"/>
          <w:b w:val="0"/>
          <w:i w:val="0"/>
          <w:sz w:val="22"/>
        </w:rPr>
        <w:t xml:space="preserve"> DALP integrates with OnchainID to provide identity and credential management for investors. Rather than managing investor eligibility manually, Neptune can configure the identity registry to require specific claims (KYC verification, accreditation status, jurisdictional eligibility) before allowing token holdings. The identity framework supports multiple identity providers, multiple credential types, and claim revocation.</w:t>
      </w:r>
    </w:p>
    <w:p>
      <w:r>
        <w:rPr>
          <w:rFonts w:ascii="Figtree" w:hAnsi="Figtree"/>
          <w:b/>
          <w:i w:val="0"/>
          <w:sz w:val="22"/>
        </w:rPr>
        <w:t>Settlement capability.</w:t>
      </w:r>
      <w:r>
        <w:rPr>
          <w:rFonts w:ascii="Figtree" w:hAnsi="Figtree"/>
          <w:b w:val="0"/>
          <w:i w:val="0"/>
          <w:sz w:val="22"/>
        </w:rPr>
        <w:t xml:space="preserve"> DALP provides atomic settlement for digital asset transactions. For Neptune, this means yield distributions are atomic: either all investors receive their distributions or none do. The platform also supports Delivery-versus-Payment (DvP) and Exchange-versus-Payment (XvP) for more complex settlement scenarios.</w:t>
      </w:r>
    </w:p>
    <w:p>
      <w:r>
        <w:rPr>
          <w:rFonts w:ascii="Figtree" w:hAnsi="Figtree"/>
          <w:b/>
          <w:i w:val="0"/>
          <w:sz w:val="22"/>
        </w:rPr>
        <w:t>Servicing capability.</w:t>
      </w:r>
      <w:r>
        <w:rPr>
          <w:rFonts w:ascii="Figtree" w:hAnsi="Figtree"/>
          <w:b w:val="0"/>
          <w:i w:val="0"/>
          <w:sz w:val="22"/>
        </w:rPr>
        <w:t xml:space="preserve"> DALP provides the operational tools to manage digital assets over their lifecycle: yield distributions, corporate actions, airdrops, and reporting. For Neptune, the servicing capability means SPC dividends can be distributed to all token holders with a single transaction, rather than manual wire transfers to each investor.</w:t>
      </w:r>
    </w:p>
    <w:p>
      <w:r>
        <w:rPr>
          <w:rFonts w:ascii="Figtree" w:hAnsi="Figtree"/>
          <w:b w:val="0"/>
          <w:i w:val="0"/>
          <w:sz w:val="22"/>
        </w:rPr>
        <w:t>The licensing model is designed so that Neptune's economics improve as scale increases. More SPCs, more investors, more transactions: all drive business value without driving incremental platform cost.</w:t>
      </w:r>
    </w:p>
    <w:p>
      <w:pPr>
        <w:pStyle w:val="H3"/>
        <w:numPr>
          <w:ilvl w:val="2"/>
          <w:numId w:val="1"/>
        </w:numPr>
      </w:pPr>
      <w:r>
        <w:t>Platform Licensing in Practice: How It Works</w:t>
      </w:r>
    </w:p>
    <w:p>
      <w:r>
        <w:rPr>
          <w:rFonts w:ascii="Figtree" w:hAnsi="Figtree"/>
          <w:b w:val="0"/>
          <w:i w:val="0"/>
          <w:sz w:val="22"/>
        </w:rPr>
        <w:t>Understanding how the platform license operates in practice helps Neptune's finance and procurement teams evaluate the commercial framework.</w:t>
      </w:r>
    </w:p>
    <w:p>
      <w:r>
        <w:rPr>
          <w:rFonts w:ascii="Figtree" w:hAnsi="Figtree"/>
          <w:b/>
          <w:i w:val="0"/>
          <w:sz w:val="22"/>
        </w:rPr>
        <w:t>License activation.</w:t>
      </w:r>
      <w:r>
        <w:rPr>
          <w:rFonts w:ascii="Figtree" w:hAnsi="Figtree"/>
          <w:b w:val="0"/>
          <w:i w:val="0"/>
          <w:sz w:val="22"/>
        </w:rPr>
        <w:t xml:space="preserve"> The license is activated when SettleMint provisions the DALP environment. At that point, Neptune has access to the development environment and can begin configuration and testing. The development license rate applies from activation until production go-live.</w:t>
      </w:r>
    </w:p>
    <w:p>
      <w:r>
        <w:rPr>
          <w:rFonts w:ascii="Figtree" w:hAnsi="Figtree"/>
          <w:b/>
          <w:i w:val="0"/>
          <w:sz w:val="22"/>
        </w:rPr>
        <w:t>Production go-live.</w:t>
      </w:r>
      <w:r>
        <w:rPr>
          <w:rFonts w:ascii="Figtree" w:hAnsi="Figtree"/>
          <w:b w:val="0"/>
          <w:i w:val="0"/>
          <w:sz w:val="22"/>
        </w:rPr>
        <w:t xml:space="preserve"> Production go-live occurs when Neptune confirms that the platform is ready for live SPC tokens and investor operations. This is a formal milestone documented in the Statement of Work. From the go-live date, the production license rate applies.</w:t>
      </w:r>
    </w:p>
    <w:p>
      <w:r>
        <w:rPr>
          <w:rFonts w:ascii="Figtree" w:hAnsi="Figtree"/>
          <w:b/>
          <w:i w:val="0"/>
          <w:sz w:val="22"/>
        </w:rPr>
        <w:t>Tier upgrades.</w:t>
      </w:r>
      <w:r>
        <w:rPr>
          <w:rFonts w:ascii="Figtree" w:hAnsi="Figtree"/>
          <w:b w:val="0"/>
          <w:i w:val="0"/>
          <w:sz w:val="22"/>
        </w:rPr>
        <w:t xml:space="preserve"> If Neptune's requirements evolve (for example, expanding from 60 to 300 SPCs, or requiring Enterprise-tier capabilities beyond the current scope), the license can be upgraded. Tier upgrades are typically priced on a pro-rata basis for the remainder of the then-current term.</w:t>
      </w:r>
    </w:p>
    <w:p>
      <w:r>
        <w:rPr>
          <w:rFonts w:ascii="Figtree" w:hAnsi="Figtree"/>
          <w:b/>
          <w:i w:val="0"/>
          <w:sz w:val="22"/>
        </w:rPr>
        <w:t>Renewal.</w:t>
      </w:r>
      <w:r>
        <w:rPr>
          <w:rFonts w:ascii="Figtree" w:hAnsi="Figtree"/>
          <w:b w:val="0"/>
          <w:i w:val="0"/>
          <w:sz w:val="22"/>
        </w:rPr>
        <w:t xml:space="preserve"> At the end of the initial 2-year term, the license renews automatically unless either party provides 90 days written notice of non-renewal. Renewal pricing is at then-current list prices, with multi-year commitments receiving preferential terms.</w:t>
      </w:r>
    </w:p>
    <w:p>
      <w:r>
        <w:rPr>
          <w:rFonts w:ascii="Figtree" w:hAnsi="Figtree"/>
          <w:b/>
          <w:i w:val="0"/>
          <w:sz w:val="22"/>
        </w:rPr>
        <w:t>Termination.</w:t>
      </w:r>
      <w:r>
        <w:rPr>
          <w:rFonts w:ascii="Figtree" w:hAnsi="Figtree"/>
          <w:b w:val="0"/>
          <w:i w:val="0"/>
          <w:sz w:val="22"/>
        </w:rPr>
        <w:t xml:space="preserve"> If Neptune terminates for convenience, the license terminates at the end of the notice period. Neptune retains access to the platform during the notice period and has 90 days post-termination to export data. Token contracts on the blockchain remain operational independently of the DALP platform.</w:t>
      </w:r>
    </w:p>
    <w:p>
      <w:pPr>
        <w:pStyle w:val="H3"/>
        <w:numPr>
          <w:ilvl w:val="2"/>
          <w:numId w:val="1"/>
        </w:numPr>
      </w:pPr>
      <w:r>
        <w:t>What the License Includes</w:t>
      </w:r>
    </w:p>
    <w:p>
      <w:r>
        <w:rPr>
          <w:rFonts w:ascii="Figtree" w:hAnsi="Figtree"/>
          <w:b w:val="0"/>
          <w:i w:val="0"/>
          <w:sz w:val="22"/>
        </w:rPr>
        <w:t>A DALP platform license provides access to the full platform capability set. Nothing is withheld behind feature gates or premium add-ons within a given tier.</w:t>
      </w:r>
    </w:p>
    <w:p>
      <w:r>
        <w:rPr>
          <w:rFonts w:ascii="Figtree" w:hAnsi="Figtree"/>
          <w:b/>
          <w:i w:val="0"/>
          <w:sz w:val="22"/>
        </w:rPr>
        <w:t>Lifecycle pillars.</w:t>
      </w:r>
      <w:r>
        <w:rPr>
          <w:rFonts w:ascii="Figtree" w:hAnsi="Figtree"/>
          <w:b w:val="0"/>
          <w:i w:val="0"/>
          <w:sz w:val="22"/>
        </w:rPr>
        <w:t xml:space="preserve"> All five core pillars are included: issuance (equity factory, configurable tokens, asset templates), compliance (18 module types, ex-ante enforcement, jurisdiction templates), custody integration (bring-your-own-custodian model supporting Fireblocks, DFNS, and local key management), settlement (atomic DvP/XvP), and servicing (yield distribution, corporate actions, airdrop mechanisms). The three platform foundations are also included: identity and access management (OnchainID, RBAC, claim-based verification), integration and interoperability (REST API, oRPC, GraphQL, webhooks, SDK, CLI), and observability and operations (Grafana dashboards, three-pillar monitoring, alerting).</w:t>
      </w:r>
    </w:p>
    <w:p>
      <w:r>
        <w:rPr>
          <w:rFonts w:ascii="Figtree" w:hAnsi="Figtree"/>
          <w:b/>
          <w:i w:val="0"/>
          <w:sz w:val="22"/>
        </w:rPr>
        <w:t>Asset classes.</w:t>
      </w:r>
      <w:r>
        <w:rPr>
          <w:rFonts w:ascii="Figtree" w:hAnsi="Figtree"/>
          <w:b w:val="0"/>
          <w:i w:val="0"/>
          <w:sz w:val="22"/>
        </w:rPr>
        <w:t xml:space="preserve"> All seven asset classes are included: bonds, equities, funds, stablecoins, deposits, real estate, and precious metals, plus the Configurable Token for custom asset types. Neptune's primary use case centres on equity tokens for SPC ownership, but the license does not restrict Neptune from exploring other asset types (for example, bond tokens for SPC debt instruments or fund tokens for fleet-level aggregate exposure) as the programme matures.</w:t>
      </w:r>
    </w:p>
    <w:p>
      <w:r>
        <w:rPr>
          <w:rFonts w:ascii="Figtree" w:hAnsi="Figtree"/>
          <w:b/>
          <w:i w:val="0"/>
          <w:sz w:val="22"/>
        </w:rPr>
        <w:t>Compliance modules.</w:t>
      </w:r>
      <w:r>
        <w:rPr>
          <w:rFonts w:ascii="Figtree" w:hAnsi="Figtree"/>
          <w:b w:val="0"/>
          <w:i w:val="0"/>
          <w:sz w:val="22"/>
        </w:rPr>
        <w:t xml:space="preserve"> All 18 compliance module types are included. For Neptune, the most immediately relevant modules are: CountryAllowListComplianceModule (jurisdiction-based investor restrictions), InvestorCountComplianceModule (cap on investors per SPC), TransferApprovalComplianceModule (approval workflows for secondary transfers), TokenSupplyLimitComplianceModule (cap on total supply per SPC), SMARTIdentityVerificationComplianceModule (KYC/identity enforcement), CappedComplianceModule (per-investor holding limits), and TimeLockComplianceModule (lock-up period enforcement). Additional modules for collateral backing, country blocklists, and transfer windows are available as Neptune's programme evolves.</w:t>
      </w:r>
    </w:p>
    <w:p>
      <w:pPr>
        <w:pStyle w:val="H3"/>
        <w:numPr>
          <w:ilvl w:val="2"/>
          <w:numId w:val="1"/>
        </w:numPr>
      </w:pPr>
      <w:r>
        <w:t>How Compliance Modules Work in Practice</w:t>
      </w:r>
    </w:p>
    <w:p>
      <w:r>
        <w:rPr>
          <w:rFonts w:ascii="Figtree" w:hAnsi="Figtree"/>
          <w:b w:val="0"/>
          <w:i w:val="0"/>
          <w:sz w:val="22"/>
        </w:rPr>
        <w:t>Understanding how compliance modules work in practice helps Neptune's compliance team evaluate whether DALP meets their requirements.</w:t>
      </w:r>
    </w:p>
    <w:p>
      <w:r>
        <w:rPr>
          <w:rFonts w:ascii="Figtree" w:hAnsi="Figtree"/>
          <w:b/>
          <w:i w:val="0"/>
          <w:sz w:val="22"/>
        </w:rPr>
        <w:t>Ex-ante enforcement.</w:t>
      </w:r>
      <w:r>
        <w:rPr>
          <w:rFonts w:ascii="Figtree" w:hAnsi="Figtree"/>
          <w:b w:val="0"/>
          <w:i w:val="0"/>
          <w:sz w:val="22"/>
        </w:rPr>
        <w:t xml:space="preserve"> Compliance modules enforce rules before a transaction completes. When an investor initiates a transfer, the smart contract checks the transfer against all configured compliance modules before executing. If any module returns a failure, the transfer is rejected. This is fundamentally different from post-trade monitoring, where violations are detected after the fact.</w:t>
      </w:r>
    </w:p>
    <w:p>
      <w:r>
        <w:rPr>
          <w:rFonts w:ascii="Figtree" w:hAnsi="Figtree"/>
          <w:b/>
          <w:i w:val="0"/>
          <w:sz w:val="22"/>
        </w:rPr>
        <w:t>Composable modules.</w:t>
      </w:r>
      <w:r>
        <w:rPr>
          <w:rFonts w:ascii="Figtree" w:hAnsi="Figtree"/>
          <w:b w:val="0"/>
          <w:i w:val="0"/>
          <w:sz w:val="22"/>
        </w:rPr>
        <w:t xml:space="preserve"> Multiple compliance modules can be applied to a single token. For example, an SPC token might have CountryAllowListComplianceModule (to restrict investor jurisdictions), CappedComplianceModule (to limit the maximum tokens any single investor can hold), and TransferApprovalComplianceModule (to require governance approval for transfers exceeding a threshold). All modules must pass for the transfer to execute.</w:t>
      </w:r>
    </w:p>
    <w:p>
      <w:r>
        <w:rPr>
          <w:rFonts w:ascii="Figtree" w:hAnsi="Figtree"/>
          <w:b/>
          <w:i w:val="0"/>
          <w:sz w:val="22"/>
        </w:rPr>
        <w:t>Parameter-driven configuration.</w:t>
      </w:r>
      <w:r>
        <w:rPr>
          <w:rFonts w:ascii="Figtree" w:hAnsi="Figtree"/>
          <w:b w:val="0"/>
          <w:i w:val="0"/>
          <w:sz w:val="22"/>
        </w:rPr>
        <w:t xml:space="preserve"> Each compliance module is configured through parameters, not custom code. The CountryAllowListComplianceModule takes a list of allowed country codes as a parameter. The InvestorCountComplianceModule takes a maximum investor count as a parameter. Changing a compliance rule is as simple as updating a parameter; no smart contract modification is required.</w:t>
      </w:r>
    </w:p>
    <w:p>
      <w:r>
        <w:rPr>
          <w:rFonts w:ascii="Figtree" w:hAnsi="Figtree"/>
          <w:b/>
          <w:i w:val="0"/>
          <w:sz w:val="22"/>
        </w:rPr>
        <w:t>Audit trail.</w:t>
      </w:r>
      <w:r>
        <w:rPr>
          <w:rFonts w:ascii="Figtree" w:hAnsi="Figtree"/>
          <w:b w:val="0"/>
          <w:i w:val="0"/>
          <w:sz w:val="22"/>
        </w:rPr>
        <w:t xml:space="preserve"> Every compliance check is logged on-chain. If a transfer is rejected, the reason is recorded in the transaction receipt. This provides a complete audit trail for regulators and compliance officers.</w:t>
      </w:r>
    </w:p>
    <w:p>
      <w:r>
        <w:rPr>
          <w:rFonts w:ascii="Figtree" w:hAnsi="Figtree"/>
          <w:b/>
          <w:i w:val="0"/>
          <w:sz w:val="22"/>
        </w:rPr>
        <w:t>Full API surface.</w:t>
      </w:r>
      <w:r>
        <w:rPr>
          <w:rFonts w:ascii="Figtree" w:hAnsi="Figtree"/>
          <w:b w:val="0"/>
          <w:i w:val="0"/>
          <w:sz w:val="22"/>
        </w:rPr>
        <w:t xml:space="preserve"> REST API (v2), oRPC, GraphQL (via subgraph), event webhooks, SDK (@settlemint/dalp-sdk), and CLI (301 commands across 26 command groups). MindWave will use these API surfaces to build Neptune's custom investor portal and integrate with Nathek's core banking systems.</w:t>
      </w:r>
    </w:p>
    <w:p>
      <w:r>
        <w:rPr>
          <w:rFonts w:ascii="Figtree" w:hAnsi="Figtree"/>
          <w:b/>
          <w:i w:val="0"/>
          <w:sz w:val="22"/>
        </w:rPr>
        <w:t>Addon capabilities.</w:t>
      </w:r>
      <w:r>
        <w:rPr>
          <w:rFonts w:ascii="Figtree" w:hAnsi="Figtree"/>
          <w:b w:val="0"/>
          <w:i w:val="0"/>
          <w:sz w:val="22"/>
        </w:rPr>
        <w:t xml:space="preserve"> Vault management, XvP/DvP settlement, token sales and primary offerings, airdrop distribution (push airdrop, vesting airdrop, time-bound airdrop for SPC dividend distribution), fixed yield schedules, and data feeds.</w:t>
      </w:r>
    </w:p>
    <w:p>
      <w:r>
        <w:rPr>
          <w:rFonts w:ascii="Figtree" w:hAnsi="Figtree"/>
          <w:b/>
          <w:i w:val="0"/>
          <w:sz w:val="22"/>
        </w:rPr>
        <w:t>Observability stack.</w:t>
      </w:r>
      <w:r>
        <w:rPr>
          <w:rFonts w:ascii="Figtree" w:hAnsi="Figtree"/>
          <w:b w:val="0"/>
          <w:i w:val="0"/>
          <w:sz w:val="22"/>
        </w:rPr>
        <w:t xml:space="preserve"> Pre-built Grafana dashboards, three-pillar observability (metrics via VictoriaMetrics, logs via Loki, traces via Tempo), and automated alerting. Neptune's operations team can monitor platform health, transaction volumes, compliance events, and integration status from a single interface.</w:t>
      </w:r>
    </w:p>
    <w:p>
      <w:pPr>
        <w:pStyle w:val="H3"/>
        <w:numPr>
          <w:ilvl w:val="2"/>
          <w:numId w:val="1"/>
        </w:numPr>
      </w:pPr>
      <w:r>
        <w:t>The API-First Architecture</w:t>
      </w:r>
    </w:p>
    <w:p>
      <w:r>
        <w:rPr>
          <w:rFonts w:ascii="Figtree" w:hAnsi="Figtree"/>
          <w:b w:val="0"/>
          <w:i w:val="0"/>
          <w:sz w:val="22"/>
        </w:rPr>
        <w:t>DALP is built as an API-first platform. Every capability available through the web interface (dApp) is also available through the API. This is essential for Neptune's architecture because it enables MindWave to build the investor portal without being dependent on SettleMint's web development roadmap.</w:t>
      </w:r>
    </w:p>
    <w:p>
      <w:r>
        <w:rPr>
          <w:rFonts w:ascii="Figtree" w:hAnsi="Figtree"/>
          <w:b w:val="0"/>
          <w:i w:val="0"/>
          <w:sz w:val="22"/>
        </w:rPr>
        <w:t>The API surface includes: REST API v2 for standard CRUD operations and asset lifecycle management, oRPC for type-safe API calls from strongly-typed clients, GraphQL via subgraph for flexible query operations and dashboard data, event webhooks for real-time notifications when specific events occur, SDK (@settlemint/dalp-sdk) for programmatic interaction from JavaScript/TypeScript environments, and CLI (301 commands across 26 command groups) for operational automation and scripting.</w:t>
      </w:r>
    </w:p>
    <w:p>
      <w:r>
        <w:rPr>
          <w:rFonts w:ascii="Figtree" w:hAnsi="Figtree"/>
          <w:b w:val="0"/>
          <w:i w:val="0"/>
          <w:sz w:val="22"/>
        </w:rPr>
        <w:t>For MindWave's investor portal, the relevant API capabilities include: identity management (create and manage investor identities, issue and revoke claims), token operations (query token balances, initiate transfers, view transaction history), compliance operations (check compliance status, configure compliance modules), and yield distribution (initiate airdrops, query distribution history).</w:t>
      </w:r>
    </w:p>
    <w:p>
      <w:r>
        <w:rPr>
          <w:rFonts w:ascii="Figtree" w:hAnsi="Figtree"/>
          <w:b w:val="0"/>
          <w:i w:val="0"/>
          <w:sz w:val="22"/>
        </w:rPr>
        <w:t>The API is versioned and backwards-compatible. Deprecations are announced with 6 months lead time, giving integration partners sufficient time to adapt.</w:t>
      </w:r>
    </w:p>
    <w:p>
      <w:r>
        <w:rPr>
          <w:rFonts w:ascii="Figtree" w:hAnsi="Figtree"/>
          <w:b/>
          <w:i w:val="0"/>
          <w:sz w:val="22"/>
        </w:rPr>
        <w:t>Platform updates.</w:t>
      </w:r>
      <w:r>
        <w:rPr>
          <w:rFonts w:ascii="Figtree" w:hAnsi="Figtree"/>
          <w:b w:val="0"/>
          <w:i w:val="0"/>
          <w:sz w:val="22"/>
        </w:rPr>
        <w:t xml:space="preserve"> Access to all platform releases, security patches, compliance module updates, and new capabilities during the license term. Updates are managed by SettleMint under the Managed SaaS model, with coordinated change windows and no disruption to Neptune's operations.</w:t>
      </w:r>
    </w:p>
    <w:p>
      <w:pPr>
        <w:pStyle w:val="H3"/>
        <w:numPr>
          <w:ilvl w:val="2"/>
          <w:numId w:val="1"/>
        </w:numPr>
      </w:pPr>
      <w:r>
        <w:t>What Varies by Engagement</w:t>
      </w:r>
    </w:p>
    <w:p>
      <w:r>
        <w:rPr>
          <w:rFonts w:ascii="Figtree" w:hAnsi="Figtree"/>
          <w:b w:val="0"/>
          <w:i w:val="0"/>
          <w:sz w:val="22"/>
        </w:rPr>
        <w:t>While the platform license is broad in scope, several dimensions are scoped per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7"/>
        <w:gridCol w:w="3858"/>
        <w:gridCol w:w="36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How It Is Scoped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Neptune Recommendation</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 Private Cloud, On-Premises, or Hybrid</w:t>
            </w:r>
          </w:p>
        </w:tc>
        <w:tc>
          <w:tcPr>
            <w:tcW w:type="dxa" w:w="3249"/>
            <w:vAlign w:val="center"/>
          </w:tcPr>
          <w:p>
            <w:pPr>
              <w:spacing w:line="276" w:lineRule="auto" w:before="0" w:after="0"/>
            </w:pPr>
            <w:r/>
            <w:r>
              <w:rPr>
                <w:rFonts w:ascii="Figtree" w:hAnsi="Figtree"/>
                <w:b w:val="0"/>
                <w:i w:val="0"/>
                <w:sz w:val="20"/>
              </w:rPr>
              <w:t>Managed SaaS (fastest to Posidonia)</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count</w:t>
            </w:r>
          </w:p>
        </w:tc>
        <w:tc>
          <w:tcPr>
            <w:tcW w:type="dxa" w:w="3249"/>
            <w:vAlign w:val="center"/>
          </w:tcPr>
          <w:p>
            <w:pPr>
              <w:spacing w:line="276" w:lineRule="auto" w:before="0" w:after="0"/>
            </w:pPr>
            <w:r/>
            <w:r>
              <w:rPr>
                <w:rFonts w:ascii="Figtree" w:hAnsi="Figtree"/>
                <w:b w:val="0"/>
                <w:i w:val="0"/>
                <w:sz w:val="20"/>
              </w:rPr>
              <w:t>Development, staging, production</w:t>
            </w:r>
          </w:p>
        </w:tc>
        <w:tc>
          <w:tcPr>
            <w:tcW w:type="dxa" w:w="3249"/>
            <w:vAlign w:val="center"/>
          </w:tcPr>
          <w:p>
            <w:pPr>
              <w:spacing w:line="276" w:lineRule="auto" w:before="0" w:after="0"/>
            </w:pPr>
            <w:r/>
            <w:r>
              <w:rPr>
                <w:rFonts w:ascii="Figtree" w:hAnsi="Figtree"/>
                <w:b w:val="0"/>
                <w:i w:val="0"/>
                <w:sz w:val="20"/>
              </w:rPr>
              <w:t>2 environments (development + production)</w:t>
            </w:r>
          </w:p>
        </w:tc>
      </w:tr>
      <w:tr>
        <w:trPr>
          <w:trHeight w:val="425" w:hRule="atLeast"/>
        </w:trPr>
        <w:tc>
          <w:tcPr>
            <w:tcW w:type="dxa" w:w="3249"/>
            <w:vAlign w:val="center"/>
          </w:tcPr>
          <w:p>
            <w:pPr>
              <w:spacing w:line="276" w:lineRule="auto" w:before="0" w:after="0"/>
            </w:pPr>
            <w:r/>
            <w:r>
              <w:rPr>
                <w:rFonts w:ascii="Figtree" w:hAnsi="Figtree"/>
                <w:b w:val="0"/>
                <w:i w:val="0"/>
                <w:sz w:val="20"/>
              </w:rPr>
              <w:t>Network configuration</w:t>
            </w:r>
          </w:p>
        </w:tc>
        <w:tc>
          <w:tcPr>
            <w:tcW w:type="dxa" w:w="3249"/>
            <w:vAlign w:val="center"/>
          </w:tcPr>
          <w:p>
            <w:pPr>
              <w:spacing w:line="276" w:lineRule="auto" w:before="0" w:after="0"/>
            </w:pPr>
            <w:r/>
            <w:r>
              <w:rPr>
                <w:rFonts w:ascii="Figtree" w:hAnsi="Figtree"/>
                <w:b w:val="0"/>
                <w:i w:val="0"/>
                <w:sz w:val="20"/>
              </w:rPr>
              <w:t>Public EVM, private/permissioned, or multi-network</w:t>
            </w:r>
          </w:p>
        </w:tc>
        <w:tc>
          <w:tcPr>
            <w:tcW w:type="dxa" w:w="3249"/>
            <w:vAlign w:val="center"/>
          </w:tcPr>
          <w:p>
            <w:pPr>
              <w:spacing w:line="276" w:lineRule="auto" w:before="0" w:after="0"/>
            </w:pPr>
            <w:r/>
            <w:r>
              <w:rPr>
                <w:rFonts w:ascii="Figtree" w:hAnsi="Figtree"/>
                <w:b w:val="0"/>
                <w:i w:val="0"/>
                <w:sz w:val="20"/>
              </w:rPr>
              <w:t>To be determined during scoping</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Local key management, Fireblocks, DFNS, or multi-provider</w:t>
            </w:r>
          </w:p>
        </w:tc>
        <w:tc>
          <w:tcPr>
            <w:tcW w:type="dxa" w:w="3249"/>
            <w:vAlign w:val="center"/>
          </w:tcPr>
          <w:p>
            <w:pPr>
              <w:spacing w:line="276" w:lineRule="auto" w:before="0" w:after="0"/>
            </w:pPr>
            <w:r/>
            <w:r>
              <w:rPr>
                <w:rFonts w:ascii="Figtree" w:hAnsi="Figtree"/>
                <w:b w:val="0"/>
                <w:i w:val="0"/>
                <w:sz w:val="20"/>
              </w:rPr>
              <w:t>To be determined based on Neptune's custody preference</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Standard, Premium, or Enterprise</w:t>
            </w:r>
          </w:p>
        </w:tc>
        <w:tc>
          <w:tcPr>
            <w:tcW w:type="dxa" w:w="3249"/>
            <w:vAlign w:val="center"/>
          </w:tcPr>
          <w:p>
            <w:pPr>
              <w:spacing w:line="276" w:lineRule="auto" w:before="0" w:after="0"/>
            </w:pPr>
            <w:r/>
            <w:r>
              <w:rPr>
                <w:rFonts w:ascii="Figtree" w:hAnsi="Figtree"/>
                <w:b w:val="0"/>
                <w:i w:val="0"/>
                <w:sz w:val="20"/>
              </w:rPr>
              <w:t>Premium (recommended for Posidonia timeline)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Scoping, deployment, configuration, training</w:t>
            </w:r>
          </w:p>
        </w:tc>
        <w:tc>
          <w:tcPr>
            <w:tcW w:type="dxa" w:w="3249"/>
            <w:vAlign w:val="center"/>
          </w:tcPr>
          <w:p>
            <w:pPr>
              <w:spacing w:line="276" w:lineRule="auto" w:before="0" w:after="0"/>
            </w:pPr>
            <w:r/>
            <w:r>
              <w:rPr>
                <w:rFonts w:ascii="Figtree" w:hAnsi="Figtree"/>
                <w:b w:val="0"/>
                <w:i w:val="0"/>
                <w:sz w:val="20"/>
              </w:rPr>
              <w:t>Covered under implementation investment</w:t>
            </w:r>
          </w:p>
        </w:tc>
      </w:tr>
    </w:tbl>
    <w:p>
      <w:pPr>
        <w:spacing w:before="0" w:after="0" w:line="120" w:lineRule="exact"/>
      </w:pPr>
    </w:p>
    <w:p>
      <w:pPr>
        <w:pStyle w:val="H3"/>
        <w:numPr>
          <w:ilvl w:val="2"/>
          <w:numId w:val="1"/>
        </w:numPr>
      </w:pPr>
      <w:r>
        <w:t>Inclusion Grid</w:t>
      </w:r>
    </w:p>
    <w:p>
      <w:r>
        <w:rPr>
          <w:rFonts w:ascii="Figtree" w:hAnsi="Figtree"/>
          <w:b w:val="0"/>
          <w:i w:val="0"/>
          <w:sz w:val="22"/>
        </w:rPr>
        <w:t>The table below summarizes what is included in the platform license versus what is scoped separately.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09"/>
        <w:gridCol w:w="1706"/>
        <w:gridCol w:w="21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 in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Scoped Separately</w:t>
            </w:r>
          </w:p>
        </w:tc>
      </w:tr>
      <w:tr>
        <w:trPr>
          <w:trHeight w:val="425" w:hRule="atLeast"/>
        </w:trPr>
        <w:tc>
          <w:tcPr>
            <w:tcW w:type="dxa" w:w="3249"/>
            <w:vAlign w:val="center"/>
          </w:tcPr>
          <w:p>
            <w:pPr>
              <w:spacing w:line="276" w:lineRule="auto" w:before="0" w:after="0"/>
            </w:pPr>
            <w:r/>
            <w:r>
              <w:rPr>
                <w:rFonts w:ascii="Figtree" w:hAnsi="Figtree"/>
                <w:b w:val="0"/>
                <w:i w:val="0"/>
                <w:sz w:val="20"/>
              </w:rPr>
              <w:t>All 5 lifecycle pillars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All 7 asset classes + Configurable Token</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All 18 compliance module types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Full API surface (REST, oRPC, GraphQL, webhooks, SDK, CLI)</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 (Grafana, metrics, logs, traces)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Platform updates and security patches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Addon capabilities (yield, airdrop, DvP/XvP, vault)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 and infrastructure</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Support tier selection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Custom UI / investor portal development</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Neptune/MindWave scope</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 (Nathek)</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Neptune/MindWave scope</w:t>
            </w:r>
          </w:p>
        </w:tc>
      </w:tr>
      <w:tr>
        <w:trPr>
          <w:trHeight w:val="425" w:hRule="atLeast"/>
        </w:trPr>
        <w:tc>
          <w:tcPr>
            <w:tcW w:type="dxa" w:w="3249"/>
            <w:vAlign w:val="center"/>
          </w:tcPr>
          <w:p>
            <w:pPr>
              <w:spacing w:line="276" w:lineRule="auto" w:before="0" w:after="0"/>
            </w:pPr>
            <w:r/>
            <w:r>
              <w:rPr>
                <w:rFonts w:ascii="Figtree" w:hAnsi="Figtree"/>
                <w:b w:val="0"/>
                <w:i w:val="0"/>
                <w:sz w:val="20"/>
              </w:rPr>
              <w:t>KYC/AML provider integration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Legal entity structuring</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Neptune/Papandreou scope</w:t>
            </w:r>
          </w:p>
        </w:tc>
      </w:tr>
    </w:tbl>
    <w:p>
      <w:pPr>
        <w:spacing w:before="0" w:after="0" w:line="120" w:lineRule="exact"/>
      </w:pPr>
    </w:p>
    <w:p>
      <w:pPr>
        <w:pStyle w:val="H3"/>
        <w:numPr>
          <w:ilvl w:val="2"/>
          <w:numId w:val="1"/>
        </w:numPr>
      </w:pPr>
      <w:r>
        <w:t>Platform Tier Comparison</w:t>
      </w:r>
    </w:p>
    <w:p>
      <w:r>
        <w:rPr>
          <w:rFonts w:ascii="Figtree" w:hAnsi="Figtree"/>
          <w:b w:val="0"/>
          <w:i w:val="0"/>
          <w:sz w:val="22"/>
        </w:rPr>
        <w:t>DALP licensing is structured into three tiers based on deployment complexity and institutional requirements, not usage volume. Each tier includes the full platform capability set.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5"/>
        <w:gridCol w:w="1930"/>
        <w:gridCol w:w="1930"/>
        <w:gridCol w:w="260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 / Strategic</w:t>
            </w:r>
          </w:p>
        </w:tc>
      </w:tr>
      <w:tr>
        <w:trPr>
          <w:trHeight w:val="425" w:hRule="atLeast"/>
        </w:trPr>
        <w:tc>
          <w:tcPr>
            <w:tcW w:type="dxa" w:w="2436"/>
            <w:vAlign w:val="center"/>
          </w:tcPr>
          <w:p>
            <w:pPr>
              <w:spacing w:line="276" w:lineRule="auto" w:before="0" w:after="0"/>
            </w:pPr>
            <w:r/>
            <w:r>
              <w:rPr>
                <w:rFonts w:ascii="Figtree" w:hAnsi="Figtree"/>
                <w:b w:val="0"/>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val="0"/>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 + custom</w:t>
            </w:r>
          </w:p>
        </w:tc>
      </w:tr>
      <w:tr>
        <w:trPr>
          <w:trHeight w:val="425" w:hRule="atLeast"/>
        </w:trPr>
        <w:tc>
          <w:tcPr>
            <w:tcW w:type="dxa" w:w="2436"/>
            <w:vAlign w:val="center"/>
          </w:tcPr>
          <w:p>
            <w:pPr>
              <w:spacing w:line="276" w:lineRule="auto" w:before="0" w:after="0"/>
            </w:pPr>
            <w:r/>
            <w:r>
              <w:rPr>
                <w:rFonts w:ascii="Figtree" w:hAnsi="Figtree"/>
                <w:b w:val="0"/>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val="0"/>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val="0"/>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val="0"/>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val="0"/>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val="0"/>
                <w:i w:val="0"/>
                <w:sz w:val="20"/>
              </w:rPr>
              <w:t>Custom SLA</w:t>
            </w:r>
          </w:p>
        </w:tc>
        <w:tc>
          <w:tcPr>
            <w:tcW w:type="dxa" w:w="2436"/>
            <w:vAlign w:val="center"/>
          </w:tcPr>
          <w:p>
            <w:pPr>
              <w:spacing w:line="276" w:lineRule="auto" w:before="0" w:after="0"/>
            </w:pPr>
            <w:r/>
            <w:r>
              <w:rPr>
                <w:rFonts w:ascii="Figtree" w:hAnsi="Figtree"/>
                <w:b w:val="0"/>
                <w:i w:val="0"/>
                <w:sz w:val="20"/>
              </w:rPr>
              <w:t>Standard SLA</w:t>
            </w:r>
          </w:p>
        </w:tc>
        <w:tc>
          <w:tcPr>
            <w:tcW w:type="dxa" w:w="2436"/>
            <w:vAlign w:val="center"/>
          </w:tcPr>
          <w:p>
            <w:pPr>
              <w:spacing w:line="276" w:lineRule="auto" w:before="0" w:after="0"/>
            </w:pPr>
            <w:r/>
            <w:r>
              <w:rPr>
                <w:rFonts w:ascii="Figtree" w:hAnsi="Figtree"/>
                <w:b w:val="0"/>
                <w:i w:val="0"/>
                <w:sz w:val="20"/>
              </w:rPr>
              <w:t>Negotiated SLA</w:t>
            </w:r>
          </w:p>
        </w:tc>
        <w:tc>
          <w:tcPr>
            <w:tcW w:type="dxa" w:w="2436"/>
            <w:vAlign w:val="center"/>
          </w:tcPr>
          <w:p>
            <w:pPr>
              <w:spacing w:line="276" w:lineRule="auto" w:before="0" w:after="0"/>
            </w:pPr>
            <w:r/>
            <w:r>
              <w:rPr>
                <w:rFonts w:ascii="Figtree" w:hAnsi="Figtree"/>
                <w:b w:val="0"/>
                <w:i w:val="0"/>
                <w:sz w:val="20"/>
              </w:rPr>
              <w:t>Fully custom</w:t>
            </w:r>
          </w:p>
        </w:tc>
      </w:tr>
    </w:tbl>
    <w:p>
      <w:pPr>
        <w:spacing w:before="0" w:after="0" w:line="120" w:lineRule="exact"/>
      </w:pPr>
    </w:p>
    <w:p>
      <w:r>
        <w:rPr>
          <w:rFonts w:ascii="Figtree" w:hAnsi="Figtree"/>
          <w:b/>
          <w:i w:val="0"/>
          <w:sz w:val="22"/>
        </w:rPr>
        <w:t>Recommended tier for Neptune: Enterprise.</w:t>
      </w:r>
      <w:r>
        <w:rPr>
          <w:rFonts w:ascii="Figtree" w:hAnsi="Figtree"/>
          <w:b w:val="0"/>
          <w:i w:val="0"/>
          <w:sz w:val="22"/>
        </w:rPr>
        <w:t xml:space="preserve"> Neptune's programme involves sixty-plus tokenized entities, multi-jurisdictional compliance requirements, institutional investor expectations, and a multi-party implementation model (SettleMint + MindWave + Papandreou). The Enterprise tier provides the multi-environment support, enhanced observability, Premium support, and dedicated onboarding solution architect that this programme requires. The Foundation tier would be insufficient given the entity count and compliance complexity. The Sovereign tier, while available, exceeds Neptune's current requirements and is designed for national-scale programmes.</w:t>
      </w:r>
    </w:p>
    <w:p>
      <w:pPr>
        <w:pStyle w:val="H3"/>
        <w:numPr>
          <w:ilvl w:val="2"/>
          <w:numId w:val="1"/>
        </w:numPr>
      </w:pPr>
      <w:r>
        <w:t>Why Enterprise Tier Fits Neptune's Programme</w:t>
      </w:r>
    </w:p>
    <w:p>
      <w:r>
        <w:rPr>
          <w:rFonts w:ascii="Figtree" w:hAnsi="Figtree"/>
          <w:b w:val="0"/>
          <w:i w:val="0"/>
          <w:sz w:val="22"/>
        </w:rPr>
        <w:t>The Enterprise tier selection is not an upsell; it is driven by four specific requirements of Neptune's programme.</w:t>
      </w:r>
    </w:p>
    <w:p>
      <w:r>
        <w:rPr>
          <w:rFonts w:ascii="Figtree" w:hAnsi="Figtree"/>
          <w:b/>
          <w:i w:val="0"/>
          <w:sz w:val="22"/>
        </w:rPr>
        <w:t>Multi-environment requirement.</w:t>
      </w:r>
      <w:r>
        <w:rPr>
          <w:rFonts w:ascii="Figtree" w:hAnsi="Figtree"/>
          <w:b w:val="0"/>
          <w:i w:val="0"/>
          <w:sz w:val="22"/>
        </w:rPr>
        <w:t xml:space="preserve"> Neptune needs at minimum a development environment (for MindWave integration work and SPC template development) and a production environment (for live SPC tokens and investor operations). During the implementation phase, having a staging environment that mirrors production allows compliance module configurations to be validated before they affect live tokens. The Foundation tier's single production plus single non-production model would force Neptune to choose between development and staging, creating a gap that increases deployment risk during the critical Posidonia preparation period.</w:t>
      </w:r>
    </w:p>
    <w:p>
      <w:r>
        <w:rPr>
          <w:rFonts w:ascii="Figtree" w:hAnsi="Figtree"/>
          <w:b/>
          <w:i w:val="0"/>
          <w:sz w:val="22"/>
        </w:rPr>
        <w:t>Enhanced observability for sixty-plus entities.</w:t>
      </w:r>
      <w:r>
        <w:rPr>
          <w:rFonts w:ascii="Figtree" w:hAnsi="Figtree"/>
          <w:b w:val="0"/>
          <w:i w:val="0"/>
          <w:sz w:val="22"/>
        </w:rPr>
        <w:t xml:space="preserve"> Operating sixty SPC equity tokens, each with its own compliance module configuration, investor set, and yield distribution schedule, generates a volume of operational data that requires more than standard monitoring. The Enterprise tier's enhanced observability, including custom dashboard configuration, provides Neptune's operations team with views organized by SPC, by compliance status, by investor, and by operational event type. This is not cosmetic; it is essential for managing a fleet-scale tokenization programme where a compliance issue on one SPC must be identified and resolved before it propagates.</w:t>
      </w:r>
    </w:p>
    <w:p>
      <w:r>
        <w:rPr>
          <w:rFonts w:ascii="Figtree" w:hAnsi="Figtree"/>
          <w:b/>
          <w:i w:val="0"/>
          <w:sz w:val="22"/>
        </w:rPr>
        <w:t>Premium support during compressed implementation.</w:t>
      </w:r>
      <w:r>
        <w:rPr>
          <w:rFonts w:ascii="Figtree" w:hAnsi="Figtree"/>
          <w:b w:val="0"/>
          <w:i w:val="0"/>
          <w:sz w:val="22"/>
        </w:rPr>
        <w:t xml:space="preserve"> The twelve-week implementation timeline to Posidonia readiness leaves no room for support delays. When MindWave encounters an API integration question at 19:00 CET, waiting until the next business day for a response means losing a full day of development. Premium support's extended hours, dedicated Slack channel, and named support engineer familiar with Neptune's configuration provide the responsiveness that this timeline demands.</w:t>
      </w:r>
    </w:p>
    <w:p>
      <w:r>
        <w:rPr>
          <w:rFonts w:ascii="Figtree" w:hAnsi="Figtree"/>
          <w:b/>
          <w:i w:val="0"/>
          <w:sz w:val="22"/>
        </w:rPr>
        <w:t>Dedicated onboarding solution architect.</w:t>
      </w:r>
      <w:r>
        <w:rPr>
          <w:rFonts w:ascii="Figtree" w:hAnsi="Figtree"/>
          <w:b w:val="0"/>
          <w:i w:val="0"/>
          <w:sz w:val="22"/>
        </w:rPr>
        <w:t xml:space="preserve"> Neptune's programme involves coordinating three organizations (SettleMint, MindWave, Papandreou's legal team) across platform configuration, custom development, and legal structuring. A dedicated solution architect from SettleMint provides a single point of architectural authority who understands how all three workstreams intersect and can resolve design decisions without the latency of cross-team communication through multiple channels.</w:t>
      </w:r>
    </w:p>
    <w:p>
      <w:r>
        <w:br w:type="page"/>
      </w:r>
    </w:p>
    <w:p>
      <w:pPr>
        <w:pStyle w:val="H2"/>
        <w:numPr>
          <w:ilvl w:val="1"/>
          <w:numId w:val="1"/>
        </w:numPr>
      </w:pPr>
      <w:r>
        <w:t>Deployment Options and Pricing</w:t>
      </w:r>
    </w:p>
    <w:p>
      <w:pPr>
        <w:pStyle w:val="H3"/>
        <w:numPr>
          <w:ilvl w:val="2"/>
          <w:numId w:val="1"/>
        </w:numPr>
      </w:pPr>
      <w:r>
        <w:t>Deployment Model Overview</w:t>
      </w:r>
    </w:p>
    <w:p>
      <w:r>
        <w:rPr>
          <w:rFonts w:ascii="Figtree" w:hAnsi="Figtree"/>
          <w:b w:val="0"/>
          <w:i w:val="0"/>
          <w:sz w:val="22"/>
        </w:rPr>
        <w:t>DALP supports four deployment models, each delivering the same platform capabilities. The choice of model is driven by Neptune's infrastructure preferences, operational capacity, and timeline constraints, not by platform limitations.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8"/>
        <w:gridCol w:w="1783"/>
        <w:gridCol w:w="2171"/>
        <w:gridCol w:w="1395"/>
        <w:gridCol w:w="178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Dedicated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Client-managed or co-managed</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 control</w:t>
            </w:r>
          </w:p>
        </w:tc>
      </w:tr>
      <w:tr>
        <w:trPr>
          <w:trHeight w:val="425" w:hRule="atLeast"/>
        </w:trPr>
        <w:tc>
          <w:tcPr>
            <w:tcW w:type="dxa" w:w="1949"/>
            <w:vAlign w:val="center"/>
          </w:tcPr>
          <w:p>
            <w:pPr>
              <w:spacing w:line="276" w:lineRule="auto" w:before="0" w:after="0"/>
            </w:pPr>
            <w:r/>
            <w:r>
              <w:rPr>
                <w:rFonts w:ascii="Figtree" w:hAnsi="Figtree"/>
                <w:b w:val="0"/>
                <w:i w:val="0"/>
                <w:sz w:val="20"/>
              </w:rPr>
              <w:t>Network connectivity</w:t>
            </w:r>
          </w:p>
        </w:tc>
        <w:tc>
          <w:tcPr>
            <w:tcW w:type="dxa" w:w="1949"/>
            <w:vAlign w:val="center"/>
          </w:tcPr>
          <w:p>
            <w:pPr>
              <w:spacing w:line="276" w:lineRule="auto" w:before="0" w:after="0"/>
            </w:pPr>
            <w:r/>
            <w:r>
              <w:rPr>
                <w:rFonts w:ascii="Figtree" w:hAnsi="Figtree"/>
                <w:b w:val="0"/>
                <w:i w:val="0"/>
                <w:sz w:val="20"/>
              </w:rPr>
              <w:t>Internet / VPN</w:t>
            </w:r>
          </w:p>
        </w:tc>
        <w:tc>
          <w:tcPr>
            <w:tcW w:type="dxa" w:w="1949"/>
            <w:vAlign w:val="center"/>
          </w:tcPr>
          <w:p>
            <w:pPr>
              <w:spacing w:line="276" w:lineRule="auto" w:before="0" w:after="0"/>
            </w:pPr>
            <w:r/>
            <w:r>
              <w:rPr>
                <w:rFonts w:ascii="Figtree" w:hAnsi="Figtree"/>
                <w:b w:val="0"/>
                <w:i w:val="0"/>
                <w:sz w:val="20"/>
              </w:rPr>
              <w:t>Client VPN / private link</w:t>
            </w:r>
          </w:p>
        </w:tc>
        <w:tc>
          <w:tcPr>
            <w:tcW w:type="dxa" w:w="1949"/>
            <w:vAlign w:val="center"/>
          </w:tcPr>
          <w:p>
            <w:pPr>
              <w:spacing w:line="276" w:lineRule="auto" w:before="0" w:after="0"/>
            </w:pPr>
            <w:r/>
            <w:r>
              <w:rPr>
                <w:rFonts w:ascii="Figtree" w:hAnsi="Figtree"/>
                <w:b w:val="0"/>
                <w:i w:val="0"/>
                <w:sz w:val="20"/>
              </w:rPr>
              <w:t>Air-gap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val="0"/>
                <w:i w:val="0"/>
                <w:sz w:val="20"/>
              </w:rPr>
              <w:t>Update management</w:t>
            </w:r>
          </w:p>
        </w:tc>
        <w:tc>
          <w:tcPr>
            <w:tcW w:type="dxa" w:w="1949"/>
            <w:vAlign w:val="center"/>
          </w:tcPr>
          <w:p>
            <w:pPr>
              <w:spacing w:line="276" w:lineRule="auto" w:before="0" w:after="0"/>
            </w:pPr>
            <w:r/>
            <w:r>
              <w:rPr>
                <w:rFonts w:ascii="Figtree" w:hAnsi="Figtree"/>
                <w:b w:val="0"/>
                <w:i w:val="0"/>
                <w:sz w:val="20"/>
              </w:rPr>
              <w:t>Automated by SettleMint</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Time to deploy</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3"/>
        <w:numPr>
          <w:ilvl w:val="2"/>
          <w:numId w:val="1"/>
        </w:numPr>
      </w:pPr>
      <w:r>
        <w:t>Managed SaaS (Recommended for Neptune)</w:t>
      </w:r>
    </w:p>
    <w:p>
      <w:r>
        <w:rPr>
          <w:rFonts w:ascii="Figtree" w:hAnsi="Figtree"/>
          <w:b w:val="0"/>
          <w:i w:val="0"/>
          <w:sz w:val="22"/>
        </w:rPr>
        <w:t>SettleMint operates and manages the full DALP platform on dedicated cloud infrastructure. Neptune accesses the platform through the DALP dApp (web interface), APIs, SDK, and CLI without managing underlying infrastructure. Each client operates in a dedicated, isolated environment; this is not multi-tenant shared infrastructure.</w:t>
      </w:r>
    </w:p>
    <w:p>
      <w:r>
        <w:rPr>
          <w:rFonts w:ascii="Figtree" w:hAnsi="Figtree"/>
          <w:b w:val="0"/>
          <w:i w:val="0"/>
          <w:sz w:val="22"/>
        </w:rPr>
        <w:t>This model is recommended for Neptune for three reasons:</w:t>
      </w:r>
    </w:p>
    <w:p>
      <w:r>
        <w:rPr>
          <w:rFonts w:ascii="Figtree" w:hAnsi="Figtree"/>
          <w:b/>
          <w:i w:val="0"/>
          <w:sz w:val="22"/>
        </w:rPr>
        <w:t>Fastest path to Posidonia.</w:t>
      </w:r>
      <w:r>
        <w:rPr>
          <w:rFonts w:ascii="Figtree" w:hAnsi="Figtree"/>
          <w:b w:val="0"/>
          <w:i w:val="0"/>
          <w:sz w:val="22"/>
        </w:rPr>
        <w:t xml:space="preserve"> Managed SaaS eliminates infrastructure provisioning time. The platform can be operational within days of contract execution, not weeks. Given the Posidonia deadline, every week saved on infrastructure is a week gained for SPC deployment and investor portal development.</w:t>
      </w:r>
    </w:p>
    <w:p>
      <w:r>
        <w:rPr>
          <w:rFonts w:ascii="Figtree" w:hAnsi="Figtree"/>
          <w:b/>
          <w:i w:val="0"/>
          <w:sz w:val="22"/>
        </w:rPr>
        <w:t>Lowest operational overhead for a lean team.</w:t>
      </w:r>
      <w:r>
        <w:rPr>
          <w:rFonts w:ascii="Figtree" w:hAnsi="Figtree"/>
          <w:b w:val="0"/>
          <w:i w:val="0"/>
          <w:sz w:val="22"/>
        </w:rPr>
        <w:t xml:space="preserve"> Neptune does not maintain a dedicated blockchain infrastructure team. The Managed SaaS model means SettleMint handles all infrastructure operations: provisioning, monitoring, patching, scaling, backup, and disaster recovery. Neptune's team focuses on the business logic: SPC configuration, compliance rules, investor onboarding, and working with MindWave on the investor portal.</w:t>
      </w:r>
    </w:p>
    <w:p>
      <w:r>
        <w:rPr>
          <w:rFonts w:ascii="Figtree" w:hAnsi="Figtree"/>
          <w:b/>
          <w:i w:val="0"/>
          <w:sz w:val="22"/>
        </w:rPr>
        <w:t>Predictable cost structure.</w:t>
      </w:r>
      <w:r>
        <w:rPr>
          <w:rFonts w:ascii="Figtree" w:hAnsi="Figtree"/>
          <w:b w:val="0"/>
          <w:i w:val="0"/>
          <w:sz w:val="22"/>
        </w:rPr>
        <w:t xml:space="preserve"> Infrastructure costs are included in the platform license (Managed SaaS). Neptune does not need to provision, size, or pay separately for Kubernetes clusters, database instances, blockchain nodes, or observability infrastructure.</w:t>
      </w:r>
    </w:p>
    <w:p>
      <w:pPr>
        <w:pStyle w:val="H3"/>
        <w:numPr>
          <w:ilvl w:val="2"/>
          <w:numId w:val="1"/>
        </w:numPr>
      </w:pPr>
      <w:r>
        <w:t>Dedicated Cloud</w:t>
      </w:r>
    </w:p>
    <w:p>
      <w:r>
        <w:rPr>
          <w:rFonts w:ascii="Figtree" w:hAnsi="Figtree"/>
          <w:b w:val="0"/>
          <w:i w:val="0"/>
          <w:sz w:val="22"/>
        </w:rPr>
        <w:t>DALP is deployed within Neptune's own cloud environment (AWS, Azure, GCP) and managed by Neptune's operations team. SettleMint provides Helm charts, configuration guidance, and platform support. This model requires a Kubernetes cluster (v1.25+), PostgreSQL (v15+), object storage, secrets management, and an operations team with Kubernetes administration experience.</w:t>
      </w:r>
    </w:p>
    <w:p>
      <w:r>
        <w:rPr>
          <w:rFonts w:ascii="Figtree" w:hAnsi="Figtree"/>
          <w:b w:val="0"/>
          <w:i w:val="0"/>
          <w:sz w:val="22"/>
        </w:rPr>
        <w:t>This model would suit Neptune if data sovereignty requirements emerge that preclude cloud-managed infrastructure, or if Neptune develops internal DevOps capability post-Posidonia.</w:t>
      </w:r>
    </w:p>
    <w:p>
      <w:pPr>
        <w:pStyle w:val="H3"/>
        <w:numPr>
          <w:ilvl w:val="2"/>
          <w:numId w:val="1"/>
        </w:numPr>
      </w:pPr>
      <w:r>
        <w:t>On-Premises</w:t>
      </w:r>
    </w:p>
    <w:p>
      <w:r>
        <w:rPr>
          <w:rFonts w:ascii="Figtree" w:hAnsi="Figtree"/>
          <w:b w:val="0"/>
          <w:i w:val="0"/>
          <w:sz w:val="22"/>
        </w:rPr>
        <w:t>DALP is deployed within Neptune's own data centre. This model supports air-gapped environments and provides maximum infrastructure control. It requires client-provisioned Kubernetes, self-managed databases, a private container registry, and HSM or Vault-based key management.</w:t>
      </w:r>
    </w:p>
    <w:p>
      <w:r>
        <w:rPr>
          <w:rFonts w:ascii="Figtree" w:hAnsi="Figtree"/>
          <w:b w:val="0"/>
          <w:i w:val="0"/>
          <w:sz w:val="22"/>
        </w:rPr>
        <w:t>This model is not recommended for Neptune's initial deployment given the Posidonia timeline and Neptune's current infrastructure capabilities.</w:t>
      </w:r>
    </w:p>
    <w:p>
      <w:pPr>
        <w:pStyle w:val="H3"/>
        <w:numPr>
          <w:ilvl w:val="2"/>
          <w:numId w:val="1"/>
        </w:numPr>
      </w:pPr>
      <w:r>
        <w:t>Hybrid</w:t>
      </w:r>
    </w:p>
    <w:p>
      <w:r>
        <w:rPr>
          <w:rFonts w:ascii="Figtree" w:hAnsi="Figtree"/>
          <w:b w:val="0"/>
          <w:i w:val="0"/>
          <w:sz w:val="22"/>
        </w:rPr>
        <w:t>DALP components are split across environments. Common patterns include running the application layer in the cloud while key management operates on-premises, or operating a primary environment on-premises with a cloud-based disaster recovery site.</w:t>
      </w:r>
    </w:p>
    <w:p>
      <w:r>
        <w:rPr>
          <w:rFonts w:ascii="Figtree" w:hAnsi="Figtree"/>
          <w:b w:val="0"/>
          <w:i w:val="0"/>
          <w:sz w:val="22"/>
        </w:rPr>
        <w:t>This model may become relevant as Neptune scales to 200 to 300 vessels and potentially operates tokenization infrastructure for other shipping companies.</w:t>
      </w:r>
    </w:p>
    <w:p>
      <w:pPr>
        <w:pStyle w:val="H3"/>
        <w:numPr>
          <w:ilvl w:val="2"/>
          <w:numId w:val="1"/>
        </w:numPr>
      </w:pPr>
      <w:r>
        <w:t>Deployment Model Recommendation Summary</w:t>
      </w:r>
    </w:p>
    <w:p>
      <w:r>
        <w:rPr>
          <w:rFonts w:ascii="Figtree" w:hAnsi="Figtree"/>
          <w:b w:val="0"/>
          <w:i w:val="0"/>
          <w:sz w:val="22"/>
        </w:rPr>
        <w:t>For Neptune's initial engagement, the recommendation is unambiguous: Managed SaaS. The rationale is grounded in three practical constraints that all point to the same conclusion.</w:t>
      </w:r>
    </w:p>
    <w:p>
      <w:r>
        <w:rPr>
          <w:rFonts w:ascii="Figtree" w:hAnsi="Figtree"/>
          <w:b/>
          <w:i w:val="0"/>
          <w:sz w:val="22"/>
        </w:rPr>
        <w:t>Timeline constraint.</w:t>
      </w:r>
      <w:r>
        <w:rPr>
          <w:rFonts w:ascii="Figtree" w:hAnsi="Figtree"/>
          <w:b w:val="0"/>
          <w:i w:val="0"/>
          <w:sz w:val="22"/>
        </w:rPr>
        <w:t xml:space="preserve"> Private Cloud deployment requires Neptune to provision and configure a Kubernetes cluster, database infrastructure, secrets management, and networking before DALP can be installed. Based on typical institutional infrastructure provisioning timelines, this adds 3 to 6 weeks to the programme. Managed SaaS eliminates this delay entirely: SettleMint provisions the dedicated environment within days.</w:t>
      </w:r>
    </w:p>
    <w:p>
      <w:r>
        <w:rPr>
          <w:rFonts w:ascii="Figtree" w:hAnsi="Figtree"/>
          <w:b/>
          <w:i w:val="0"/>
          <w:sz w:val="22"/>
        </w:rPr>
        <w:t>Team constraint.</w:t>
      </w:r>
      <w:r>
        <w:rPr>
          <w:rFonts w:ascii="Figtree" w:hAnsi="Figtree"/>
          <w:b w:val="0"/>
          <w:i w:val="0"/>
          <w:sz w:val="22"/>
        </w:rPr>
        <w:t xml:space="preserve"> Private Cloud and On-Premises models require an operations team with Kubernetes administration experience. Neptune's current team profile does not include dedicated blockchain infrastructure engineers. Hiring or contracting this capability would add cost and introduce personnel ramp-up time that the Posidonia timeline does not accommodate.</w:t>
      </w:r>
    </w:p>
    <w:p>
      <w:r>
        <w:rPr>
          <w:rFonts w:ascii="Figtree" w:hAnsi="Figtree"/>
          <w:b/>
          <w:i w:val="0"/>
          <w:sz w:val="22"/>
        </w:rPr>
        <w:t>Focus constraint.</w:t>
      </w:r>
      <w:r>
        <w:rPr>
          <w:rFonts w:ascii="Figtree" w:hAnsi="Figtree"/>
          <w:b w:val="0"/>
          <w:i w:val="0"/>
          <w:sz w:val="22"/>
        </w:rPr>
        <w:t xml:space="preserve"> Neptune's team should be spending the next twelve weeks on SPC configuration, compliance framework design, investor onboarding, and MindWave coordination, not on infrastructure operations. Managed SaaS ensures that infrastructure is invisible to Neptune's team; they interact with DALP through the web interface, APIs, and CLI without worrying about what runs underneath.</w:t>
      </w:r>
    </w:p>
    <w:p>
      <w:r>
        <w:rPr>
          <w:rFonts w:ascii="Figtree" w:hAnsi="Figtree"/>
          <w:b w:val="0"/>
          <w:i w:val="0"/>
          <w:sz w:val="22"/>
        </w:rPr>
        <w:t>The deployment model can evolve. If Neptune's Phase 3 expansion to 200 to 300 vessels, or a white-label offering for other shipping companies, creates requirements for infrastructure control that Managed SaaS cannot satisfy, migrating to Private Cloud or Hybrid is a well-defined process supported by DALP's Helm-based deployment architecture. The same platform, the same configurations, the same compliance rules: only the operational model changes.</w:t>
      </w:r>
    </w:p>
    <w:p>
      <w:pPr>
        <w:pStyle w:val="H3"/>
        <w:numPr>
          <w:ilvl w:val="2"/>
          <w:numId w:val="1"/>
        </w:numPr>
      </w:pPr>
      <w:r>
        <w:t>Deployment Decision Framework</w:t>
      </w:r>
    </w:p>
    <w:p>
      <w:r>
        <w:rPr>
          <w:rFonts w:ascii="Figtree" w:hAnsi="Figtree"/>
          <w:b w:val="0"/>
          <w:i w:val="0"/>
          <w:sz w:val="22"/>
        </w:rPr>
        <w:t>The following questions can help Neptune evaluate which deployment model is appropriate for its specific context:</w:t>
      </w:r>
    </w:p>
    <w:p>
      <w:r>
        <w:rPr>
          <w:rFonts w:ascii="Figtree" w:hAnsi="Figtree"/>
          <w:b/>
          <w:i w:val="0"/>
          <w:sz w:val="22"/>
        </w:rPr>
        <w:t>Timeline urgency.</w:t>
      </w:r>
      <w:r>
        <w:rPr>
          <w:rFonts w:ascii="Figtree" w:hAnsi="Figtree"/>
          <w:b w:val="0"/>
          <w:i w:val="0"/>
          <w:sz w:val="22"/>
        </w:rPr>
        <w:t xml:space="preserve"> If Posidonia 2026 is the target, Managed SaaS is the only viable option. Private Cloud and On-Premises add 3 to 6 weeks to the deployment timeline.</w:t>
      </w:r>
    </w:p>
    <w:p>
      <w:r>
        <w:rPr>
          <w:rFonts w:ascii="Figtree" w:hAnsi="Figtree"/>
          <w:b/>
          <w:i w:val="0"/>
          <w:sz w:val="22"/>
        </w:rPr>
        <w:t>Operational capacity.</w:t>
      </w:r>
      <w:r>
        <w:rPr>
          <w:rFonts w:ascii="Figtree" w:hAnsi="Figtree"/>
          <w:b w:val="0"/>
          <w:i w:val="0"/>
          <w:sz w:val="22"/>
        </w:rPr>
        <w:t xml:space="preserve"> Does Neptune have a dedicated DevOps or infrastructure team with Kubernetes experience? If not, Managed SaaS eliminates the operational burden.</w:t>
      </w:r>
    </w:p>
    <w:p>
      <w:r>
        <w:rPr>
          <w:rFonts w:ascii="Figtree" w:hAnsi="Figtree"/>
          <w:b/>
          <w:i w:val="0"/>
          <w:sz w:val="22"/>
        </w:rPr>
        <w:t>Regulatory constraints.</w:t>
      </w:r>
      <w:r>
        <w:rPr>
          <w:rFonts w:ascii="Figtree" w:hAnsi="Figtree"/>
          <w:b w:val="0"/>
          <w:i w:val="0"/>
          <w:sz w:val="22"/>
        </w:rPr>
        <w:t xml:space="preserve"> Are there specific regulatory requirements that preclude cloud-managed infrastructure? If not, Managed SaaS provides the fastest path.</w:t>
      </w:r>
    </w:p>
    <w:p>
      <w:r>
        <w:rPr>
          <w:rFonts w:ascii="Figtree" w:hAnsi="Figtree"/>
          <w:b/>
          <w:i w:val="0"/>
          <w:sz w:val="22"/>
        </w:rPr>
        <w:t>Data sovereignty.</w:t>
      </w:r>
      <w:r>
        <w:rPr>
          <w:rFonts w:ascii="Figtree" w:hAnsi="Figtree"/>
          <w:b w:val="0"/>
          <w:i w:val="0"/>
          <w:sz w:val="22"/>
        </w:rPr>
        <w:t xml:space="preserve"> Does Neptune require that data remain within specific jurisdictions? Managed SaaS supports configurable data residency.</w:t>
      </w:r>
    </w:p>
    <w:p>
      <w:r>
        <w:rPr>
          <w:rFonts w:ascii="Figtree" w:hAnsi="Figtree"/>
          <w:b/>
          <w:i w:val="0"/>
          <w:sz w:val="22"/>
        </w:rPr>
        <w:t>Long-term strategy.</w:t>
      </w:r>
      <w:r>
        <w:rPr>
          <w:rFonts w:ascii="Figtree" w:hAnsi="Figtree"/>
          <w:b w:val="0"/>
          <w:i w:val="0"/>
          <w:sz w:val="22"/>
        </w:rPr>
        <w:t xml:space="preserve"> Does Neptune anticipate operating tokenization infrastructure for other shipping companies? If so, a future migration to Private Cloud or Hybrid may be appropriate, but Managed SaaS is the right starting point for Phase 1.</w:t>
      </w:r>
    </w:p>
    <w:p>
      <w:pPr>
        <w:pStyle w:val="H3"/>
        <w:numPr>
          <w:ilvl w:val="2"/>
          <w:numId w:val="1"/>
        </w:numPr>
      </w:pPr>
      <w:r>
        <w:t>Managed SaaS: Detailed Specifications</w:t>
      </w:r>
    </w:p>
    <w:p>
      <w:r>
        <w:rPr>
          <w:rFonts w:ascii="Figtree" w:hAnsi="Figtree"/>
          <w:b w:val="0"/>
          <w:i w:val="0"/>
          <w:sz w:val="22"/>
        </w:rPr>
        <w:t>Under the Managed SaaS model, SettleMint provides the following infrastructure and operational services:</w:t>
      </w:r>
    </w:p>
    <w:p>
      <w:r>
        <w:rPr>
          <w:rFonts w:ascii="Figtree" w:hAnsi="Figtree"/>
          <w:b/>
          <w:i w:val="0"/>
          <w:sz w:val="22"/>
        </w:rPr>
        <w:t>Cloud infrastructure.</w:t>
      </w:r>
      <w:r>
        <w:rPr>
          <w:rFonts w:ascii="Figtree" w:hAnsi="Figtree"/>
          <w:b w:val="0"/>
          <w:i w:val="0"/>
          <w:sz w:val="22"/>
        </w:rPr>
        <w:t xml:space="preserve"> Dedicated cloud environment in a region of Neptune's choice (EU, US, or other regions as required). The environment is not multi-tenant; each client has isolated infrastructure.</w:t>
      </w:r>
    </w:p>
    <w:p>
      <w:r>
        <w:rPr>
          <w:rFonts w:ascii="Figtree" w:hAnsi="Figtree"/>
          <w:b/>
          <w:i w:val="0"/>
          <w:sz w:val="22"/>
        </w:rPr>
        <w:t>Platform operations.</w:t>
      </w:r>
      <w:r>
        <w:rPr>
          <w:rFonts w:ascii="Figtree" w:hAnsi="Figtree"/>
          <w:b w:val="0"/>
          <w:i w:val="0"/>
          <w:sz w:val="22"/>
        </w:rPr>
        <w:t xml:space="preserve"> 24/7 infrastructure monitoring, automated scaling, backup and disaster recovery, security patching, and platform updates. SettleMint's SRE team manages all operational aspects.</w:t>
      </w:r>
    </w:p>
    <w:p>
      <w:r>
        <w:rPr>
          <w:rFonts w:ascii="Figtree" w:hAnsi="Figtree"/>
          <w:b/>
          <w:i w:val="0"/>
          <w:sz w:val="22"/>
        </w:rPr>
        <w:t>Security.</w:t>
      </w:r>
      <w:r>
        <w:rPr>
          <w:rFonts w:ascii="Figtree" w:hAnsi="Figtree"/>
          <w:b w:val="0"/>
          <w:i w:val="0"/>
          <w:sz w:val="22"/>
        </w:rPr>
        <w:t xml:space="preserve"> Network security, DDoS protection, encryption at rest and in transit, access logging, and regular security assessments. SettleMint maintains SOC 2 Type II compliance and can provide audit reports under NDA.</w:t>
      </w:r>
    </w:p>
    <w:p>
      <w:r>
        <w:rPr>
          <w:rFonts w:ascii="Figtree" w:hAnsi="Figtree"/>
          <w:b/>
          <w:i w:val="0"/>
          <w:sz w:val="22"/>
        </w:rPr>
        <w:t>Connectivity.</w:t>
      </w:r>
      <w:r>
        <w:rPr>
          <w:rFonts w:ascii="Figtree" w:hAnsi="Figtree"/>
          <w:b w:val="0"/>
          <w:i w:val="0"/>
          <w:sz w:val="22"/>
        </w:rPr>
        <w:t xml:space="preserve"> Secure API access via HTTPS, VPN connectivity if required, and webhook delivery to Neptune's and MindWave's systems.</w:t>
      </w:r>
    </w:p>
    <w:p>
      <w:pPr>
        <w:pStyle w:val="H3"/>
        <w:numPr>
          <w:ilvl w:val="2"/>
          <w:numId w:val="1"/>
        </w:numPr>
      </w:pPr>
      <w:r>
        <w:t>Cost Structure Summary</w:t>
      </w:r>
    </w:p>
    <w:p>
      <w:r>
        <w:rPr>
          <w:rFonts w:ascii="Figtree" w:hAnsi="Figtree"/>
          <w:b w:val="0"/>
          <w:i w:val="0"/>
          <w:sz w:val="22"/>
        </w:rPr>
        <w:t>The following table provides a consolidated view of the cost structure for Neptune's evaluation.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11"/>
        <w:gridCol w:w="2061"/>
        <w:gridCol w:w="1512"/>
        <w:gridCol w:w="28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Development license</w:t>
            </w:r>
          </w:p>
        </w:tc>
        <w:tc>
          <w:tcPr>
            <w:tcW w:type="dxa" w:w="2436"/>
            <w:vAlign w:val="center"/>
          </w:tcPr>
          <w:p>
            <w:pPr>
              <w:spacing w:line="276" w:lineRule="auto" w:before="0" w:after="0"/>
            </w:pPr>
            <w:r/>
            <w:r>
              <w:rPr>
                <w:rFonts w:ascii="Figtree" w:hAnsi="Figtree"/>
                <w:b w:val="0"/>
                <w:i w:val="0"/>
                <w:sz w:val="20"/>
              </w:rPr>
              <w:t>~€8,000/month</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Pre-production phase</w:t>
            </w:r>
          </w:p>
        </w:tc>
      </w:tr>
      <w:tr>
        <w:trPr>
          <w:trHeight w:val="425" w:hRule="atLeast"/>
        </w:trPr>
        <w:tc>
          <w:tcPr>
            <w:tcW w:type="dxa" w:w="2436"/>
            <w:vAlign w:val="center"/>
          </w:tcPr>
          <w:p>
            <w:pPr>
              <w:spacing w:line="276" w:lineRule="auto" w:before="0" w:after="0"/>
            </w:pPr>
            <w:r/>
            <w:r>
              <w:rPr>
                <w:rFonts w:ascii="Figtree" w:hAnsi="Figtree"/>
                <w:b w:val="0"/>
                <w:i w:val="0"/>
                <w:sz w:val="20"/>
              </w:rPr>
              <w:t>Production license</w:t>
            </w:r>
          </w:p>
        </w:tc>
        <w:tc>
          <w:tcPr>
            <w:tcW w:type="dxa" w:w="2436"/>
            <w:vAlign w:val="center"/>
          </w:tcPr>
          <w:p>
            <w:pPr>
              <w:spacing w:line="276" w:lineRule="auto" w:before="0" w:after="0"/>
            </w:pPr>
            <w:r/>
            <w:r>
              <w:rPr>
                <w:rFonts w:ascii="Figtree" w:hAnsi="Figtree"/>
                <w:b w:val="0"/>
                <w:i w:val="0"/>
                <w:sz w:val="20"/>
              </w:rPr>
              <w:t>~€10,000/month</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Post go-live</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w:t>
            </w:r>
          </w:p>
        </w:tc>
        <w:tc>
          <w:tcPr>
            <w:tcW w:type="dxa" w:w="2436"/>
            <w:vAlign w:val="center"/>
          </w:tcPr>
          <w:p>
            <w:pPr>
              <w:spacing w:line="276" w:lineRule="auto" w:before="0" w:after="0"/>
            </w:pPr>
            <w:r/>
            <w:r>
              <w:rPr>
                <w:rFonts w:ascii="Figtree" w:hAnsi="Figtree"/>
                <w:b w:val="0"/>
                <w:i w:val="0"/>
                <w:sz w:val="20"/>
              </w:rPr>
              <w:t>€50,000–€80,000</w:t>
            </w:r>
          </w:p>
        </w:tc>
        <w:tc>
          <w:tcPr>
            <w:tcW w:type="dxa" w:w="2436"/>
            <w:vAlign w:val="center"/>
          </w:tcPr>
          <w:p>
            <w:pPr>
              <w:spacing w:line="276" w:lineRule="auto" w:before="0" w:after="0"/>
            </w:pPr>
            <w:r/>
            <w:r>
              <w:rPr>
                <w:rFonts w:ascii="Figtree" w:hAnsi="Figtree"/>
                <w:b w:val="0"/>
                <w:i w:val="0"/>
                <w:sz w:val="20"/>
              </w:rPr>
              <w:t>One-time</w:t>
            </w:r>
          </w:p>
        </w:tc>
        <w:tc>
          <w:tcPr>
            <w:tcW w:type="dxa" w:w="2436"/>
            <w:vAlign w:val="center"/>
          </w:tcPr>
          <w:p>
            <w:pPr>
              <w:spacing w:line="276" w:lineRule="auto" w:before="0" w:after="0"/>
            </w:pPr>
            <w:r/>
            <w:r>
              <w:rPr>
                <w:rFonts w:ascii="Figtree" w:hAnsi="Figtree"/>
                <w:b w:val="0"/>
                <w:i w:val="0"/>
                <w:sz w:val="20"/>
              </w:rPr>
              <w:t>Phases 0 and 1</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Premium tier included</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Managed SaaS</w:t>
            </w:r>
          </w:p>
        </w:tc>
      </w:tr>
      <w:tr>
        <w:trPr>
          <w:trHeight w:val="425" w:hRule="atLeast"/>
        </w:trPr>
        <w:tc>
          <w:tcPr>
            <w:tcW w:type="dxa" w:w="2436"/>
            <w:vAlign w:val="center"/>
          </w:tcPr>
          <w:p>
            <w:pPr>
              <w:spacing w:line="276" w:lineRule="auto" w:before="0" w:after="0"/>
            </w:pPr>
            <w:r/>
            <w:r>
              <w:rPr>
                <w:rFonts w:ascii="Figtree" w:hAnsi="Figtree"/>
                <w:b w:val="0"/>
                <w:i w:val="0"/>
                <w:sz w:val="20"/>
              </w:rPr>
              <w:t>Third-party</w:t>
            </w:r>
          </w:p>
        </w:tc>
        <w:tc>
          <w:tcPr>
            <w:tcW w:type="dxa" w:w="2436"/>
            <w:vAlign w:val="center"/>
          </w:tcPr>
          <w:p>
            <w:pPr>
              <w:spacing w:line="276" w:lineRule="auto" w:before="0" w:after="0"/>
            </w:pPr>
            <w:r/>
            <w:r>
              <w:rPr>
                <w:rFonts w:ascii="Figtree" w:hAnsi="Figtree"/>
                <w:b w:val="0"/>
                <w:i w:val="0"/>
                <w:sz w:val="20"/>
              </w:rPr>
              <w:t>Variable</w:t>
            </w:r>
          </w:p>
        </w:tc>
        <w:tc>
          <w:tcPr>
            <w:tcW w:type="dxa" w:w="2436"/>
            <w:vAlign w:val="center"/>
          </w:tcPr>
          <w:p>
            <w:pPr>
              <w:spacing w:line="276" w:lineRule="auto" w:before="0" w:after="0"/>
            </w:pPr>
            <w:r/>
            <w:r>
              <w:rPr>
                <w:rFonts w:ascii="Figtree" w:hAnsi="Figtree"/>
                <w:b w:val="0"/>
                <w:i w:val="0"/>
                <w:sz w:val="20"/>
              </w:rPr>
              <w:t>As incurred</w:t>
            </w:r>
          </w:p>
        </w:tc>
        <w:tc>
          <w:tcPr>
            <w:tcW w:type="dxa" w:w="2436"/>
            <w:vAlign w:val="center"/>
          </w:tcPr>
          <w:p>
            <w:pPr>
              <w:spacing w:line="276" w:lineRule="auto" w:before="0" w:after="0"/>
            </w:pPr>
            <w:r/>
            <w:r>
              <w:rPr>
                <w:rFonts w:ascii="Figtree" w:hAnsi="Figtree"/>
                <w:b w:val="0"/>
                <w:i w:val="0"/>
                <w:sz w:val="20"/>
              </w:rPr>
              <w:t>KYC, custody, audit</w:t>
            </w:r>
          </w:p>
        </w:tc>
      </w:tr>
    </w:tbl>
    <w:p>
      <w:pPr>
        <w:spacing w:before="0" w:after="0" w:line="120" w:lineRule="exact"/>
      </w:pPr>
    </w:p>
    <w:p>
      <w:pPr>
        <w:pStyle w:val="H3"/>
        <w:numPr>
          <w:ilvl w:val="2"/>
          <w:numId w:val="1"/>
        </w:numPr>
      </w:pPr>
      <w:r>
        <w:t>Cost Structure Detail</w:t>
      </w:r>
    </w:p>
    <w:p>
      <w:r>
        <w:rPr>
          <w:rFonts w:ascii="Figtree" w:hAnsi="Figtree"/>
          <w:b w:val="0"/>
          <w:i w:val="0"/>
          <w:sz w:val="22"/>
        </w:rPr>
        <w:t>The following provides additional detail on each cost component to help Neptune's finance team evaluate the investment.</w:t>
      </w:r>
    </w:p>
    <w:p>
      <w:r>
        <w:rPr>
          <w:rFonts w:ascii="Figtree" w:hAnsi="Figtree"/>
          <w:b/>
          <w:i w:val="0"/>
          <w:sz w:val="22"/>
        </w:rPr>
        <w:t>Platform license (development phase).</w:t>
      </w:r>
      <w:r>
        <w:rPr>
          <w:rFonts w:ascii="Figtree" w:hAnsi="Figtree"/>
          <w:b w:val="0"/>
          <w:i w:val="0"/>
          <w:sz w:val="22"/>
        </w:rPr>
        <w:t xml:space="preserve"> The development phase license applies from platform provisioning until production go-live. During this period, Neptune has full access to the development environment for configuration, testing, and MindWave integration. The development license is discounted from the production rate because the platform is not yet generating business value. The typical development phase duration is 3 to 6 months, depending on implementation complexity.</w:t>
      </w:r>
    </w:p>
    <w:p>
      <w:r>
        <w:rPr>
          <w:rFonts w:ascii="Figtree" w:hAnsi="Figtree"/>
          <w:b/>
          <w:i w:val="0"/>
          <w:sz w:val="22"/>
        </w:rPr>
        <w:t>Platform license (production phase).</w:t>
      </w:r>
      <w:r>
        <w:rPr>
          <w:rFonts w:ascii="Figtree" w:hAnsi="Figtree"/>
          <w:b w:val="0"/>
          <w:i w:val="0"/>
          <w:sz w:val="22"/>
        </w:rPr>
        <w:t xml:space="preserve"> The production license applies from the date of production go-live and provides full access to all platform capabilities under the Enterprise tier. This includes all five lifecycle pillars, all seven asset classes, all compliance modules, the full API surface, the observability stack, and platform updates. The production license also includes Premium support.</w:t>
      </w:r>
    </w:p>
    <w:p>
      <w:r>
        <w:rPr>
          <w:rFonts w:ascii="Figtree" w:hAnsi="Figtree"/>
          <w:b/>
          <w:i w:val="0"/>
          <w:sz w:val="22"/>
        </w:rPr>
        <w:t>Implementation investment.</w:t>
      </w:r>
      <w:r>
        <w:rPr>
          <w:rFonts w:ascii="Figtree" w:hAnsi="Figtree"/>
          <w:b w:val="0"/>
          <w:i w:val="0"/>
          <w:sz w:val="22"/>
        </w:rPr>
        <w:t xml:space="preserve"> The implementation investment covers the professional services required to deploy, configure, and validate the platform for Neptune's specific requirements. This includes solution architecture, platform deployment, compliance framework configuration, SPC deployment scripting, integration guidance, and acceptance testing support. The implementation investment does not include custom development (which is MindWave's scope), legal structuring (which is Papandreou's scope), or third-party services (KYC provider, custody provider, audit).</w:t>
      </w:r>
    </w:p>
    <w:p>
      <w:r>
        <w:rPr>
          <w:rFonts w:ascii="Figtree" w:hAnsi="Figtree"/>
          <w:b/>
          <w:i w:val="0"/>
          <w:sz w:val="22"/>
        </w:rPr>
        <w:t>Third-party costs.</w:t>
      </w:r>
      <w:r>
        <w:rPr>
          <w:rFonts w:ascii="Figtree" w:hAnsi="Figtree"/>
          <w:b w:val="0"/>
          <w:i w:val="0"/>
          <w:sz w:val="22"/>
        </w:rPr>
        <w:t xml:space="preserve"> Third-party costs are not included in the platform license or implementation investment because they depend on Neptune's choices: which KYC provider to use, which custody provider to use, whether a smart contract audit is required, and what level of due diligence each investor requires. These costs are passed through at cost.</w:t>
      </w:r>
    </w:p>
    <w:p>
      <w:pPr>
        <w:pStyle w:val="H3"/>
        <w:numPr>
          <w:ilvl w:val="2"/>
          <w:numId w:val="1"/>
        </w:numPr>
      </w:pPr>
      <w:r>
        <w:t>Cost Structure</w:t>
      </w:r>
    </w:p>
    <w:p>
      <w:r>
        <w:rPr>
          <w:rFonts w:ascii="Figtree" w:hAnsi="Figtree"/>
          <w:b w:val="0"/>
          <w:i w:val="0"/>
          <w:sz w:val="22"/>
        </w:rPr>
        <w:t xml:space="preserve">The table below presents the cost structure for Neptune's engagement. All figures are working placeholders and labelled </w:t>
      </w:r>
      <w:r>
        <w:rPr>
          <w:rFonts w:ascii="Figtree" w:hAnsi="Figtree"/>
          <w:b/>
          <w:i w:val="0"/>
          <w:sz w:val="22"/>
        </w:rPr>
        <w:t>[TO CONFIRM]</w:t>
      </w:r>
      <w:r>
        <w:rPr>
          <w:rFonts w:ascii="Figtree" w:hAnsi="Figtree"/>
          <w:b w:val="0"/>
          <w:i w:val="0"/>
          <w:sz w:val="22"/>
        </w:rPr>
        <w:t>. Final pricing will be determined during the scoping workshop based on confirmed scope, deployment model, environment requirements, and support level.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2"/>
        <w:gridCol w:w="2670"/>
        <w:gridCol w:w="718"/>
        <w:gridCol w:w="375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Development phase platform license</w:t>
            </w:r>
          </w:p>
        </w:tc>
        <w:tc>
          <w:tcPr>
            <w:tcW w:type="dxa" w:w="2436"/>
            <w:vAlign w:val="center"/>
          </w:tcPr>
          <w:p>
            <w:pPr>
              <w:spacing w:line="276" w:lineRule="auto" w:before="0" w:after="0"/>
            </w:pPr>
            <w:r/>
            <w:r>
              <w:rPr>
                <w:rFonts w:ascii="Figtree" w:hAnsi="Figtree"/>
                <w:b w:val="0"/>
                <w:i w:val="0"/>
                <w:sz w:val="20"/>
              </w:rPr>
              <w:t xml:space="preserve">~€8,000/month </w:t>
            </w:r>
            <w:r>
              <w:rPr>
                <w:rFonts w:ascii="Figtree" w:hAnsi="Figtree"/>
                <w:b/>
                <w:i w:val="0"/>
                <w:sz w:val="20"/>
              </w:rPr>
              <w:t>[TO CONFIRM]</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During Phase 0 and Phase 1 (pre-production)</w:t>
            </w:r>
          </w:p>
        </w:tc>
      </w:tr>
      <w:tr>
        <w:trPr>
          <w:trHeight w:val="425" w:hRule="atLeast"/>
        </w:trPr>
        <w:tc>
          <w:tcPr>
            <w:tcW w:type="dxa" w:w="2436"/>
            <w:vAlign w:val="center"/>
          </w:tcPr>
          <w:p>
            <w:pPr>
              <w:spacing w:line="276" w:lineRule="auto" w:before="0" w:after="0"/>
            </w:pPr>
            <w:r/>
            <w:r>
              <w:rPr>
                <w:rFonts w:ascii="Figtree" w:hAnsi="Figtree"/>
                <w:b w:val="0"/>
                <w:i w:val="0"/>
                <w:sz w:val="20"/>
              </w:rPr>
              <w:t>Production phase platform license</w:t>
            </w:r>
          </w:p>
        </w:tc>
        <w:tc>
          <w:tcPr>
            <w:tcW w:type="dxa" w:w="2436"/>
            <w:vAlign w:val="center"/>
          </w:tcPr>
          <w:p>
            <w:pPr>
              <w:spacing w:line="276" w:lineRule="auto" w:before="0" w:after="0"/>
            </w:pPr>
            <w:r/>
            <w:r>
              <w:rPr>
                <w:rFonts w:ascii="Figtree" w:hAnsi="Figtree"/>
                <w:b w:val="0"/>
                <w:i w:val="0"/>
                <w:sz w:val="20"/>
              </w:rPr>
              <w:t xml:space="preserve">~€10,000/month </w:t>
            </w:r>
            <w:r>
              <w:rPr>
                <w:rFonts w:ascii="Figtree" w:hAnsi="Figtree"/>
                <w:b/>
                <w:i w:val="0"/>
                <w:sz w:val="20"/>
              </w:rPr>
              <w:t>[TO CONFIRM]</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From production go-live onward</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investment</w:t>
            </w:r>
          </w:p>
        </w:tc>
        <w:tc>
          <w:tcPr>
            <w:tcW w:type="dxa" w:w="2436"/>
            <w:vAlign w:val="center"/>
          </w:tcPr>
          <w:p>
            <w:pPr>
              <w:spacing w:line="276" w:lineRule="auto" w:before="0" w:after="0"/>
            </w:pPr>
            <w:r/>
            <w:r>
              <w:rPr>
                <w:rFonts w:ascii="Figtree" w:hAnsi="Figtree"/>
                <w:b w:val="0"/>
                <w:i w:val="0"/>
                <w:sz w:val="20"/>
              </w:rPr>
              <w:t xml:space="preserve">€50,000 to €80,000 </w:t>
            </w:r>
            <w:r>
              <w:rPr>
                <w:rFonts w:ascii="Figtree" w:hAnsi="Figtree"/>
                <w:b/>
                <w:i w:val="0"/>
                <w:sz w:val="20"/>
              </w:rPr>
              <w:t>[TO CONFIRM]</w:t>
            </w:r>
          </w:p>
        </w:tc>
        <w:tc>
          <w:tcPr>
            <w:tcW w:type="dxa" w:w="2436"/>
            <w:vAlign w:val="center"/>
          </w:tcPr>
          <w:p>
            <w:pPr>
              <w:spacing w:line="276" w:lineRule="auto" w:before="0" w:after="0"/>
            </w:pPr>
            <w:r/>
            <w:r>
              <w:rPr>
                <w:rFonts w:ascii="Figtree" w:hAnsi="Figtree"/>
                <w:b w:val="0"/>
                <w:i w:val="0"/>
                <w:sz w:val="20"/>
              </w:rPr>
              <w:t>One-time</w:t>
            </w:r>
          </w:p>
        </w:tc>
        <w:tc>
          <w:tcPr>
            <w:tcW w:type="dxa" w:w="2436"/>
            <w:vAlign w:val="center"/>
          </w:tcPr>
          <w:p>
            <w:pPr>
              <w:spacing w:line="276" w:lineRule="auto" w:before="0" w:after="0"/>
            </w:pPr>
            <w:r/>
            <w:r>
              <w:rPr>
                <w:rFonts w:ascii="Figtree" w:hAnsi="Figtree"/>
                <w:b w:val="0"/>
                <w:i w:val="0"/>
                <w:sz w:val="20"/>
              </w:rPr>
              <w:t>Covers Phase 0 and Phase 1 delivery</w:t>
            </w:r>
          </w:p>
        </w:tc>
      </w:tr>
      <w:tr>
        <w:trPr>
          <w:trHeight w:val="425" w:hRule="atLeast"/>
        </w:trPr>
        <w:tc>
          <w:tcPr>
            <w:tcW w:type="dxa" w:w="2436"/>
            <w:vAlign w:val="center"/>
          </w:tcPr>
          <w:p>
            <w:pPr>
              <w:spacing w:line="276" w:lineRule="auto" w:before="0" w:after="0"/>
            </w:pPr>
            <w:r/>
            <w:r>
              <w:rPr>
                <w:rFonts w:ascii="Figtree" w:hAnsi="Figtree"/>
                <w:b w:val="0"/>
                <w:i w:val="0"/>
                <w:sz w:val="20"/>
              </w:rPr>
              <w:t>Premium support</w:t>
            </w:r>
          </w:p>
        </w:tc>
        <w:tc>
          <w:tcPr>
            <w:tcW w:type="dxa" w:w="2436"/>
            <w:vAlign w:val="center"/>
          </w:tcPr>
          <w:p>
            <w:pPr>
              <w:spacing w:line="276" w:lineRule="auto" w:before="0" w:after="0"/>
            </w:pPr>
            <w:r/>
            <w:r>
              <w:rPr>
                <w:rFonts w:ascii="Figtree" w:hAnsi="Figtree"/>
                <w:b w:val="0"/>
                <w:i w:val="0"/>
                <w:sz w:val="20"/>
              </w:rPr>
              <w:t xml:space="preserve">Included in production license </w:t>
            </w:r>
            <w:r>
              <w:rPr>
                <w:rFonts w:ascii="Figtree" w:hAnsi="Figtree"/>
                <w:b/>
                <w:i w:val="0"/>
                <w:sz w:val="20"/>
              </w:rPr>
              <w:t>[TO CONFIRM]</w:t>
            </w:r>
          </w:p>
        </w:tc>
        <w:tc>
          <w:tcPr>
            <w:tcW w:type="dxa" w:w="2436"/>
            <w:vAlign w:val="center"/>
          </w:tcPr>
          <w:p>
            <w:pPr>
              <w:spacing w:line="276" w:lineRule="auto" w:before="0" w:after="0"/>
            </w:pPr>
            <w:r/>
            <w:r>
              <w:rPr>
                <w:rFonts w:ascii="Figtree" w:hAnsi="Figtree"/>
                <w:b w:val="0"/>
                <w:i w:val="0"/>
                <w:sz w:val="20"/>
              </w:rPr>
              <w:t>Annual</w:t>
            </w:r>
          </w:p>
        </w:tc>
        <w:tc>
          <w:tcPr>
            <w:tcW w:type="dxa" w:w="2436"/>
            <w:vAlign w:val="center"/>
          </w:tcPr>
          <w:p>
            <w:pPr>
              <w:spacing w:line="276" w:lineRule="auto" w:before="0" w:after="0"/>
            </w:pPr>
            <w:r/>
            <w:r>
              <w:rPr>
                <w:rFonts w:ascii="Figtree" w:hAnsi="Figtree"/>
                <w:b w:val="0"/>
                <w:i w:val="0"/>
                <w:sz w:val="20"/>
              </w:rPr>
              <w:t>Recommended tier for Neptune</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(Managed SaaS)</w:t>
            </w:r>
          </w:p>
        </w:tc>
        <w:tc>
          <w:tcPr>
            <w:tcW w:type="dxa" w:w="2436"/>
            <w:vAlign w:val="center"/>
          </w:tcPr>
          <w:p>
            <w:pPr>
              <w:spacing w:line="276" w:lineRule="auto" w:before="0" w:after="0"/>
            </w:pPr>
            <w:r/>
            <w:r>
              <w:rPr>
                <w:rFonts w:ascii="Figtree" w:hAnsi="Figtree"/>
                <w:b w:val="0"/>
                <w:i w:val="0"/>
                <w:sz w:val="20"/>
              </w:rPr>
              <w:t>Included in platform license</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SettleMint-managed cloud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Third-party pass-throughs</w:t>
            </w:r>
          </w:p>
        </w:tc>
        <w:tc>
          <w:tcPr>
            <w:tcW w:type="dxa" w:w="2436"/>
            <w:vAlign w:val="center"/>
          </w:tcPr>
          <w:p>
            <w:pPr>
              <w:spacing w:line="276" w:lineRule="auto" w:before="0" w:after="0"/>
            </w:pPr>
            <w:r/>
            <w:r>
              <w:rPr>
                <w:rFonts w:ascii="Figtree" w:hAnsi="Figtree"/>
                <w:b w:val="0"/>
                <w:i w:val="0"/>
                <w:sz w:val="20"/>
              </w:rPr>
              <w:t xml:space="preserve">At cost </w:t>
            </w:r>
            <w:r>
              <w:rPr>
                <w:rFonts w:ascii="Figtree" w:hAnsi="Figtree"/>
                <w:b/>
                <w:i w:val="0"/>
                <w:sz w:val="20"/>
              </w:rPr>
              <w:t>[TO CONFIRM]</w:t>
            </w:r>
          </w:p>
        </w:tc>
        <w:tc>
          <w:tcPr>
            <w:tcW w:type="dxa" w:w="2436"/>
            <w:vAlign w:val="center"/>
          </w:tcPr>
          <w:p>
            <w:pPr>
              <w:spacing w:line="276" w:lineRule="auto" w:before="0" w:after="0"/>
            </w:pPr>
            <w:r/>
            <w:r>
              <w:rPr>
                <w:rFonts w:ascii="Figtree" w:hAnsi="Figtree"/>
                <w:b w:val="0"/>
                <w:i w:val="0"/>
                <w:sz w:val="20"/>
              </w:rPr>
              <w:t>As incurred</w:t>
            </w:r>
          </w:p>
        </w:tc>
        <w:tc>
          <w:tcPr>
            <w:tcW w:type="dxa" w:w="2436"/>
            <w:vAlign w:val="center"/>
          </w:tcPr>
          <w:p>
            <w:pPr>
              <w:spacing w:line="276" w:lineRule="auto" w:before="0" w:after="0"/>
            </w:pPr>
            <w:r/>
            <w:r>
              <w:rPr>
                <w:rFonts w:ascii="Figtree" w:hAnsi="Figtree"/>
                <w:b w:val="0"/>
                <w:i w:val="0"/>
                <w:sz w:val="20"/>
              </w:rPr>
              <w:t>KYC provider, custody provider, smart contract audit (if required)</w:t>
            </w:r>
          </w:p>
        </w:tc>
      </w:tr>
    </w:tbl>
    <w:p>
      <w:pPr>
        <w:spacing w:before="0" w:after="0" w:line="120" w:lineRule="exact"/>
      </w:pPr>
    </w:p>
    <w:p>
      <w:pPr>
        <w:pStyle w:val="H3"/>
        <w:numPr>
          <w:ilvl w:val="2"/>
          <w:numId w:val="1"/>
        </w:numPr>
      </w:pPr>
      <w:r>
        <w:t>Cost Driver Matrix</w:t>
      </w:r>
    </w:p>
    <w:p>
      <w:r>
        <w:rPr>
          <w:rFonts w:ascii="Figtree" w:hAnsi="Figtree"/>
          <w:b w:val="0"/>
          <w:i w:val="0"/>
          <w:sz w:val="22"/>
        </w:rPr>
        <w:t>Several factors influence where Neptune's final pricing falls within the ranges described above.</w:t>
      </w:r>
    </w:p>
    <w:p>
      <w:r>
        <w:rPr>
          <w:rFonts w:ascii="Figtree" w:hAnsi="Figtree"/>
          <w:b/>
          <w:i w:val="0"/>
          <w:sz w:val="22"/>
        </w:rPr>
        <w:t>Factors that may increase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0"/>
        <w:gridCol w:w="3929"/>
        <w:gridCol w:w="30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Neptune</w:t>
            </w:r>
          </w:p>
        </w:tc>
      </w:tr>
      <w:tr>
        <w:trPr>
          <w:trHeight w:val="425" w:hRule="atLeast"/>
        </w:trPr>
        <w:tc>
          <w:tcPr>
            <w:tcW w:type="dxa" w:w="3249"/>
            <w:vAlign w:val="center"/>
          </w:tcPr>
          <w:p>
            <w:pPr>
              <w:spacing w:line="276" w:lineRule="auto" w:before="0" w:after="0"/>
            </w:pPr>
            <w:r/>
            <w:r>
              <w:rPr>
                <w:rFonts w:ascii="Figtree" w:hAnsi="Figtree"/>
                <w:b w:val="0"/>
                <w:i w:val="0"/>
                <w:sz w:val="20"/>
              </w:rPr>
              <w:t>Multi-entity deployment (60+ SPCs)</w:t>
            </w:r>
          </w:p>
        </w:tc>
        <w:tc>
          <w:tcPr>
            <w:tcW w:type="dxa" w:w="3249"/>
            <w:vAlign w:val="center"/>
          </w:tcPr>
          <w:p>
            <w:pPr>
              <w:spacing w:line="276" w:lineRule="auto" w:before="0" w:after="0"/>
            </w:pPr>
            <w:r/>
            <w:r>
              <w:rPr>
                <w:rFonts w:ascii="Figtree" w:hAnsi="Figtree"/>
                <w:b w:val="0"/>
                <w:i w:val="0"/>
                <w:sz w:val="20"/>
              </w:rPr>
              <w:t>Higher configuration and validation effort</w:t>
            </w:r>
          </w:p>
        </w:tc>
        <w:tc>
          <w:tcPr>
            <w:tcW w:type="dxa" w:w="3249"/>
            <w:vAlign w:val="center"/>
          </w:tcPr>
          <w:p>
            <w:pPr>
              <w:spacing w:line="276" w:lineRule="auto" w:before="0" w:after="0"/>
            </w:pPr>
            <w:r/>
            <w:r>
              <w:rPr>
                <w:rFonts w:ascii="Figtree" w:hAnsi="Figtree"/>
                <w:b w:val="0"/>
                <w:i w:val="0"/>
                <w:sz w:val="20"/>
              </w:rPr>
              <w:t>High: core requirement</w:t>
            </w:r>
          </w:p>
        </w:tc>
      </w:tr>
      <w:tr>
        <w:trPr>
          <w:trHeight w:val="425" w:hRule="atLeast"/>
        </w:trPr>
        <w:tc>
          <w:tcPr>
            <w:tcW w:type="dxa" w:w="3249"/>
            <w:vAlign w:val="center"/>
          </w:tcPr>
          <w:p>
            <w:pPr>
              <w:spacing w:line="276" w:lineRule="auto" w:before="0" w:after="0"/>
            </w:pPr>
            <w:r/>
            <w:r>
              <w:rPr>
                <w:rFonts w:ascii="Figtree" w:hAnsi="Figtree"/>
                <w:b w:val="0"/>
                <w:i w:val="0"/>
                <w:sz w:val="20"/>
              </w:rPr>
              <w:t>Multi-jurisdiction compliance</w:t>
            </w:r>
          </w:p>
        </w:tc>
        <w:tc>
          <w:tcPr>
            <w:tcW w:type="dxa" w:w="3249"/>
            <w:vAlign w:val="center"/>
          </w:tcPr>
          <w:p>
            <w:pPr>
              <w:spacing w:line="276" w:lineRule="auto" w:before="0" w:after="0"/>
            </w:pPr>
            <w:r/>
            <w:r>
              <w:rPr>
                <w:rFonts w:ascii="Figtree" w:hAnsi="Figtree"/>
                <w:b w:val="0"/>
                <w:i w:val="0"/>
                <w:sz w:val="20"/>
              </w:rPr>
              <w:t>Additional compliance module configuration per jurisdiction</w:t>
            </w:r>
          </w:p>
        </w:tc>
        <w:tc>
          <w:tcPr>
            <w:tcW w:type="dxa" w:w="3249"/>
            <w:vAlign w:val="center"/>
          </w:tcPr>
          <w:p>
            <w:pPr>
              <w:spacing w:line="276" w:lineRule="auto" w:before="0" w:after="0"/>
            </w:pPr>
            <w:r/>
            <w:r>
              <w:rPr>
                <w:rFonts w:ascii="Figtree" w:hAnsi="Figtree"/>
                <w:b w:val="0"/>
                <w:i w:val="0"/>
                <w:sz w:val="20"/>
              </w:rPr>
              <w:t>High: Marshall Islands, Jersey, flag state variations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audit requirements</w:t>
            </w:r>
          </w:p>
        </w:tc>
        <w:tc>
          <w:tcPr>
            <w:tcW w:type="dxa" w:w="3249"/>
            <w:vAlign w:val="center"/>
          </w:tcPr>
          <w:p>
            <w:pPr>
              <w:spacing w:line="276" w:lineRule="auto" w:before="0" w:after="0"/>
            </w:pPr>
            <w:r/>
            <w:r>
              <w:rPr>
                <w:rFonts w:ascii="Figtree" w:hAnsi="Figtree"/>
                <w:b w:val="0"/>
                <w:i w:val="0"/>
                <w:sz w:val="20"/>
              </w:rPr>
              <w:t>Smart contract audit, security assessment</w:t>
            </w:r>
          </w:p>
        </w:tc>
        <w:tc>
          <w:tcPr>
            <w:tcW w:type="dxa" w:w="3249"/>
            <w:vAlign w:val="center"/>
          </w:tcPr>
          <w:p>
            <w:pPr>
              <w:spacing w:line="276" w:lineRule="auto" w:before="0" w:after="0"/>
            </w:pPr>
            <w:r/>
            <w:r>
              <w:rPr>
                <w:rFonts w:ascii="Figtree" w:hAnsi="Figtree"/>
                <w:b w:val="0"/>
                <w:i w:val="0"/>
                <w:sz w:val="20"/>
              </w:rPr>
              <w:t>Medium: may be required by investors</w:t>
            </w:r>
          </w:p>
        </w:tc>
      </w:tr>
      <w:tr>
        <w:trPr>
          <w:trHeight w:val="425" w:hRule="atLeast"/>
        </w:trPr>
        <w:tc>
          <w:tcPr>
            <w:tcW w:type="dxa" w:w="3249"/>
            <w:vAlign w:val="center"/>
          </w:tcPr>
          <w:p>
            <w:pPr>
              <w:spacing w:line="276" w:lineRule="auto" w:before="0" w:after="0"/>
            </w:pPr>
            <w:r/>
            <w:r>
              <w:rPr>
                <w:rFonts w:ascii="Figtree" w:hAnsi="Figtree"/>
                <w:b w:val="0"/>
                <w:i w:val="0"/>
                <w:sz w:val="20"/>
              </w:rPr>
              <w:t>MindWave coordination</w:t>
            </w:r>
          </w:p>
        </w:tc>
        <w:tc>
          <w:tcPr>
            <w:tcW w:type="dxa" w:w="3249"/>
            <w:vAlign w:val="center"/>
          </w:tcPr>
          <w:p>
            <w:pPr>
              <w:spacing w:line="276" w:lineRule="auto" w:before="0" w:after="0"/>
            </w:pPr>
            <w:r/>
            <w:r>
              <w:rPr>
                <w:rFonts w:ascii="Figtree" w:hAnsi="Figtree"/>
                <w:b w:val="0"/>
                <w:i w:val="0"/>
                <w:sz w:val="20"/>
              </w:rPr>
              <w:t>SettleMint engineering time supporting MindWave integration</w:t>
            </w:r>
          </w:p>
        </w:tc>
        <w:tc>
          <w:tcPr>
            <w:tcW w:type="dxa" w:w="3249"/>
            <w:vAlign w:val="center"/>
          </w:tcPr>
          <w:p>
            <w:pPr>
              <w:spacing w:line="276" w:lineRule="auto" w:before="0" w:after="0"/>
            </w:pPr>
            <w:r/>
            <w:r>
              <w:rPr>
                <w:rFonts w:ascii="Figtree" w:hAnsi="Figtree"/>
                <w:b w:val="0"/>
                <w:i w:val="0"/>
                <w:sz w:val="20"/>
              </w:rPr>
              <w:t>Medium: depends on MindWave DALP familiarity</w:t>
            </w:r>
          </w:p>
        </w:tc>
      </w:tr>
      <w:tr>
        <w:trPr>
          <w:trHeight w:val="425" w:hRule="atLeast"/>
        </w:trPr>
        <w:tc>
          <w:tcPr>
            <w:tcW w:type="dxa" w:w="3249"/>
            <w:vAlign w:val="center"/>
          </w:tcPr>
          <w:p>
            <w:pPr>
              <w:spacing w:line="276" w:lineRule="auto" w:before="0" w:after="0"/>
            </w:pPr>
            <w:r/>
            <w:r>
              <w:rPr>
                <w:rFonts w:ascii="Figtree" w:hAnsi="Figtree"/>
                <w:b w:val="0"/>
                <w:i w:val="0"/>
                <w:sz w:val="20"/>
              </w:rPr>
              <w:t>Custom compliance module development</w:t>
            </w:r>
          </w:p>
        </w:tc>
        <w:tc>
          <w:tcPr>
            <w:tcW w:type="dxa" w:w="3249"/>
            <w:vAlign w:val="center"/>
          </w:tcPr>
          <w:p>
            <w:pPr>
              <w:spacing w:line="276" w:lineRule="auto" w:before="0" w:after="0"/>
            </w:pPr>
            <w:r/>
            <w:r>
              <w:rPr>
                <w:rFonts w:ascii="Figtree" w:hAnsi="Figtree"/>
                <w:b w:val="0"/>
                <w:i w:val="0"/>
                <w:sz w:val="20"/>
              </w:rPr>
              <w:t>If Neptune's legal structure requires modules beyond the standard 18</w:t>
            </w:r>
          </w:p>
        </w:tc>
        <w:tc>
          <w:tcPr>
            <w:tcW w:type="dxa" w:w="3249"/>
            <w:vAlign w:val="center"/>
          </w:tcPr>
          <w:p>
            <w:pPr>
              <w:spacing w:line="276" w:lineRule="auto" w:before="0" w:after="0"/>
            </w:pPr>
            <w:r/>
            <w:r>
              <w:rPr>
                <w:rFonts w:ascii="Figtree" w:hAnsi="Figtree"/>
                <w:b w:val="0"/>
                <w:i w:val="0"/>
                <w:sz w:val="20"/>
              </w:rPr>
              <w:t>Low: unlikely given current scope</w:t>
            </w:r>
          </w:p>
        </w:tc>
      </w:tr>
    </w:tbl>
    <w:p>
      <w:pPr>
        <w:spacing w:before="0" w:after="0" w:line="120" w:lineRule="exact"/>
      </w:pPr>
    </w:p>
    <w:p>
      <w:r>
        <w:rPr>
          <w:rFonts w:ascii="Figtree" w:hAnsi="Figtree"/>
          <w:b/>
          <w:i w:val="0"/>
          <w:sz w:val="22"/>
        </w:rPr>
        <w:t>Factors that may reduce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1"/>
        <w:gridCol w:w="4780"/>
        <w:gridCol w:w="27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Neptune</w:t>
            </w:r>
          </w:p>
        </w:tc>
      </w:tr>
      <w:tr>
        <w:trPr>
          <w:trHeight w:val="425" w:hRule="atLeast"/>
        </w:trPr>
        <w:tc>
          <w:tcPr>
            <w:tcW w:type="dxa" w:w="3249"/>
            <w:vAlign w:val="center"/>
          </w:tcPr>
          <w:p>
            <w:pPr>
              <w:spacing w:line="276" w:lineRule="auto" w:before="0" w:after="0"/>
            </w:pPr>
            <w:r/>
            <w:r>
              <w:rPr>
                <w:rFonts w:ascii="Figtree" w:hAnsi="Figtree"/>
                <w:b w:val="0"/>
                <w:i w:val="0"/>
                <w:sz w:val="20"/>
              </w:rPr>
              <w:t>SPC template standardization</w:t>
            </w:r>
          </w:p>
        </w:tc>
        <w:tc>
          <w:tcPr>
            <w:tcW w:type="dxa" w:w="3249"/>
            <w:vAlign w:val="center"/>
          </w:tcPr>
          <w:p>
            <w:pPr>
              <w:spacing w:line="276" w:lineRule="auto" w:before="0" w:after="0"/>
            </w:pPr>
            <w:r/>
            <w:r>
              <w:rPr>
                <w:rFonts w:ascii="Figtree" w:hAnsi="Figtree"/>
                <w:b w:val="0"/>
                <w:i w:val="0"/>
                <w:sz w:val="20"/>
              </w:rPr>
              <w:t>If most SPCs share the same compliance profile, configuration effort drops significantly</w:t>
            </w:r>
          </w:p>
        </w:tc>
        <w:tc>
          <w:tcPr>
            <w:tcW w:type="dxa" w:w="3249"/>
            <w:vAlign w:val="center"/>
          </w:tcPr>
          <w:p>
            <w:pPr>
              <w:spacing w:line="276" w:lineRule="auto" w:before="0" w:after="0"/>
            </w:pPr>
            <w:r/>
            <w:r>
              <w:rPr>
                <w:rFonts w:ascii="Figtree" w:hAnsi="Figtree"/>
                <w:b w:val="0"/>
                <w:i w:val="0"/>
                <w:sz w:val="20"/>
              </w:rPr>
              <w:t>High: push for standardization</w:t>
            </w:r>
          </w:p>
        </w:tc>
      </w:tr>
      <w:tr>
        <w:trPr>
          <w:trHeight w:val="425" w:hRule="atLeast"/>
        </w:trPr>
        <w:tc>
          <w:tcPr>
            <w:tcW w:type="dxa" w:w="3249"/>
            <w:vAlign w:val="center"/>
          </w:tcPr>
          <w:p>
            <w:pPr>
              <w:spacing w:line="276" w:lineRule="auto" w:before="0" w:after="0"/>
            </w:pPr>
            <w:r/>
            <w:r>
              <w:rPr>
                <w:rFonts w:ascii="Figtree" w:hAnsi="Figtree"/>
                <w:b w:val="0"/>
                <w:i w:val="0"/>
                <w:sz w:val="20"/>
              </w:rPr>
              <w:t>Managed SaaS deployment</w:t>
            </w:r>
          </w:p>
        </w:tc>
        <w:tc>
          <w:tcPr>
            <w:tcW w:type="dxa" w:w="3249"/>
            <w:vAlign w:val="center"/>
          </w:tcPr>
          <w:p>
            <w:pPr>
              <w:spacing w:line="276" w:lineRule="auto" w:before="0" w:after="0"/>
            </w:pPr>
            <w:r/>
            <w:r>
              <w:rPr>
                <w:rFonts w:ascii="Figtree" w:hAnsi="Figtree"/>
                <w:b w:val="0"/>
                <w:i w:val="0"/>
                <w:sz w:val="20"/>
              </w:rPr>
              <w:t>Eliminates infrastructure provisioning and management costs</w:t>
            </w:r>
          </w:p>
        </w:tc>
        <w:tc>
          <w:tcPr>
            <w:tcW w:type="dxa" w:w="3249"/>
            <w:vAlign w:val="center"/>
          </w:tcPr>
          <w:p>
            <w:pPr>
              <w:spacing w:line="276" w:lineRule="auto" w:before="0" w:after="0"/>
            </w:pPr>
            <w:r/>
            <w:r>
              <w:rPr>
                <w:rFonts w:ascii="Figtree" w:hAnsi="Figtree"/>
                <w:b w:val="0"/>
                <w:i w:val="0"/>
                <w:sz w:val="20"/>
              </w:rPr>
              <w:t>High: recommended model</w:t>
            </w:r>
          </w:p>
        </w:tc>
      </w:tr>
      <w:tr>
        <w:trPr>
          <w:trHeight w:val="425" w:hRule="atLeast"/>
        </w:trPr>
        <w:tc>
          <w:tcPr>
            <w:tcW w:type="dxa" w:w="3249"/>
            <w:vAlign w:val="center"/>
          </w:tcPr>
          <w:p>
            <w:pPr>
              <w:spacing w:line="276" w:lineRule="auto" w:before="0" w:after="0"/>
            </w:pPr>
            <w:r/>
            <w:r>
              <w:rPr>
                <w:rFonts w:ascii="Figtree" w:hAnsi="Figtree"/>
                <w:b w:val="0"/>
                <w:i w:val="0"/>
                <w:sz w:val="20"/>
              </w:rPr>
              <w:t>Multi-year commitment</w:t>
            </w:r>
          </w:p>
        </w:tc>
        <w:tc>
          <w:tcPr>
            <w:tcW w:type="dxa" w:w="3249"/>
            <w:vAlign w:val="center"/>
          </w:tcPr>
          <w:p>
            <w:pPr>
              <w:spacing w:line="276" w:lineRule="auto" w:before="0" w:after="0"/>
            </w:pPr>
            <w:r/>
            <w:r>
              <w:rPr>
                <w:rFonts w:ascii="Figtree" w:hAnsi="Figtree"/>
                <w:b w:val="0"/>
                <w:i w:val="0"/>
                <w:sz w:val="20"/>
              </w:rPr>
              <w:t>Longer license term provides pricing consideration</w:t>
            </w:r>
          </w:p>
        </w:tc>
        <w:tc>
          <w:tcPr>
            <w:tcW w:type="dxa" w:w="3249"/>
            <w:vAlign w:val="center"/>
          </w:tcPr>
          <w:p>
            <w:pPr>
              <w:spacing w:line="276" w:lineRule="auto" w:before="0" w:after="0"/>
            </w:pPr>
            <w:r/>
            <w:r>
              <w:rPr>
                <w:rFonts w:ascii="Figtree" w:hAnsi="Figtree"/>
                <w:b w:val="0"/>
                <w:i w:val="0"/>
                <w:sz w:val="20"/>
              </w:rPr>
              <w:t>Medium: depends on Neptune's procurement preference</w:t>
            </w:r>
          </w:p>
        </w:tc>
      </w:tr>
      <w:tr>
        <w:trPr>
          <w:trHeight w:val="425" w:hRule="atLeast"/>
        </w:trPr>
        <w:tc>
          <w:tcPr>
            <w:tcW w:type="dxa" w:w="3249"/>
            <w:vAlign w:val="center"/>
          </w:tcPr>
          <w:p>
            <w:pPr>
              <w:spacing w:line="276" w:lineRule="auto" w:before="0" w:after="0"/>
            </w:pPr>
            <w:r/>
            <w:r>
              <w:rPr>
                <w:rFonts w:ascii="Figtree" w:hAnsi="Figtree"/>
                <w:b w:val="0"/>
                <w:i w:val="0"/>
                <w:sz w:val="20"/>
              </w:rPr>
              <w:t>MindWave self-sufficiency</w:t>
            </w:r>
          </w:p>
        </w:tc>
        <w:tc>
          <w:tcPr>
            <w:tcW w:type="dxa" w:w="3249"/>
            <w:vAlign w:val="center"/>
          </w:tcPr>
          <w:p>
            <w:pPr>
              <w:spacing w:line="276" w:lineRule="auto" w:before="0" w:after="0"/>
            </w:pPr>
            <w:r/>
            <w:r>
              <w:rPr>
                <w:rFonts w:ascii="Figtree" w:hAnsi="Figtree"/>
                <w:b w:val="0"/>
                <w:i w:val="0"/>
                <w:sz w:val="20"/>
              </w:rPr>
              <w:t>If MindWave ramps quickly on DALP APIs, SettleMint coordination effort decreases</w:t>
            </w:r>
          </w:p>
        </w:tc>
        <w:tc>
          <w:tcPr>
            <w:tcW w:type="dxa" w:w="3249"/>
            <w:vAlign w:val="center"/>
          </w:tcPr>
          <w:p>
            <w:pPr>
              <w:spacing w:line="276" w:lineRule="auto" w:before="0" w:after="0"/>
            </w:pPr>
            <w:r/>
            <w:r>
              <w:rPr>
                <w:rFonts w:ascii="Figtree" w:hAnsi="Figtree"/>
                <w:b w:val="0"/>
                <w:i w:val="0"/>
                <w:sz w:val="20"/>
              </w:rPr>
              <w:t>Medium: depends on MindWave experience</w:t>
            </w:r>
          </w:p>
        </w:tc>
      </w:tr>
      <w:tr>
        <w:trPr>
          <w:trHeight w:val="425" w:hRule="atLeast"/>
        </w:trPr>
        <w:tc>
          <w:tcPr>
            <w:tcW w:type="dxa" w:w="3249"/>
            <w:vAlign w:val="center"/>
          </w:tcPr>
          <w:p>
            <w:pPr>
              <w:spacing w:line="276" w:lineRule="auto" w:before="0" w:after="0"/>
            </w:pPr>
            <w:r/>
            <w:r>
              <w:rPr>
                <w:rFonts w:ascii="Figtree" w:hAnsi="Figtree"/>
                <w:b w:val="0"/>
                <w:i w:val="0"/>
                <w:sz w:val="20"/>
              </w:rPr>
              <w:t>Phased investor onboarding</w:t>
            </w:r>
          </w:p>
        </w:tc>
        <w:tc>
          <w:tcPr>
            <w:tcW w:type="dxa" w:w="3249"/>
            <w:vAlign w:val="center"/>
          </w:tcPr>
          <w:p>
            <w:pPr>
              <w:spacing w:line="276" w:lineRule="auto" w:before="0" w:after="0"/>
            </w:pPr>
            <w:r/>
            <w:r>
              <w:rPr>
                <w:rFonts w:ascii="Figtree" w:hAnsi="Figtree"/>
                <w:b w:val="0"/>
                <w:i w:val="0"/>
                <w:sz w:val="20"/>
              </w:rPr>
              <w:t>Starting with 5 investors limits initial identity framework complexity</w:t>
            </w:r>
          </w:p>
        </w:tc>
        <w:tc>
          <w:tcPr>
            <w:tcW w:type="dxa" w:w="3249"/>
            <w:vAlign w:val="center"/>
          </w:tcPr>
          <w:p>
            <w:pPr>
              <w:spacing w:line="276" w:lineRule="auto" w:before="0" w:after="0"/>
            </w:pPr>
            <w:r/>
            <w:r>
              <w:rPr>
                <w:rFonts w:ascii="Figtree" w:hAnsi="Figtree"/>
                <w:b w:val="0"/>
                <w:i w:val="0"/>
                <w:sz w:val="20"/>
              </w:rPr>
              <w:t>High: current plan</w:t>
            </w:r>
          </w:p>
        </w:tc>
      </w:tr>
    </w:tbl>
    <w:p>
      <w:pPr>
        <w:spacing w:before="0" w:after="0" w:line="120" w:lineRule="exact"/>
      </w:pPr>
    </w:p>
    <w:p>
      <w:r>
        <w:br w:type="page"/>
      </w:r>
    </w:p>
    <w:p>
      <w:pPr>
        <w:pStyle w:val="H2"/>
        <w:numPr>
          <w:ilvl w:val="1"/>
          <w:numId w:val="1"/>
        </w:numPr>
      </w:pPr>
      <w:r>
        <w:t>Support and SLA Framework</w:t>
      </w:r>
    </w:p>
    <w:p>
      <w:pPr>
        <w:pStyle w:val="H3"/>
        <w:numPr>
          <w:ilvl w:val="2"/>
          <w:numId w:val="1"/>
        </w:numPr>
      </w:pPr>
      <w:r>
        <w:t>Recommended Tier: Premium Support</w:t>
      </w:r>
    </w:p>
    <w:p>
      <w:r>
        <w:rPr>
          <w:rFonts w:ascii="Figtree" w:hAnsi="Figtree"/>
          <w:b w:val="0"/>
          <w:i w:val="0"/>
          <w:sz w:val="22"/>
        </w:rPr>
        <w:t>For Neptune's engagement, SettleMint recommends Premium support. The recommendation is driven by three factors: the Posidonia timeline creates a compressed delivery window where faster incident response is essential; Neptune operates with a lean team without dedicated blockchain infrastructure expertise; and MindWave, as an implementation partner building on DALP's APIs, will benefit from direct access to a named SettleMint engineer who understands Neptune's specific configuration.</w:t>
      </w:r>
    </w:p>
    <w:p>
      <w:r>
        <w:rPr>
          <w:rFonts w:ascii="Figtree" w:hAnsi="Figtree"/>
          <w:b w:val="0"/>
          <w:i w:val="0"/>
          <w:sz w:val="22"/>
        </w:rPr>
        <w:t>Premium support provides extended coverage hours (07:00 to 22:00 CET weekdays, with on-call for critical incidents on weekends), a dedicated Slack channel for real-time communication, a designated support engineer familiar with Neptune's deployment, and monthly business reviews with technical deep-dives. This level of support aligns with the intensity of the initial deployment period and provides a stable operational framework once Neptune enters production.</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1"/>
        <w:gridCol w:w="2334"/>
        <w:gridCol w:w="3130"/>
        <w:gridCol w:w="25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(09:00 to 18:00 CET, Mon-Fri)</w:t>
            </w:r>
          </w:p>
        </w:tc>
        <w:tc>
          <w:tcPr>
            <w:tcW w:type="dxa" w:w="2436"/>
            <w:vAlign w:val="center"/>
          </w:tcPr>
          <w:p>
            <w:pPr>
              <w:spacing w:line="276" w:lineRule="auto" w:before="0" w:after="0"/>
            </w:pPr>
            <w:r/>
            <w:r>
              <w:rPr>
                <w:rFonts w:ascii="Figtree" w:hAnsi="Figtree"/>
                <w:b w:val="0"/>
                <w:i w:val="0"/>
                <w:sz w:val="20"/>
              </w:rPr>
              <w:t>Extended (07:00 to 22:00 CET, Mon-Fri;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support portal</w:t>
            </w:r>
          </w:p>
        </w:tc>
        <w:tc>
          <w:tcPr>
            <w:tcW w:type="dxa" w:w="2436"/>
            <w:vAlign w:val="center"/>
          </w:tcPr>
          <w:p>
            <w:pPr>
              <w:spacing w:line="276" w:lineRule="auto" w:before="0" w:after="0"/>
            </w:pPr>
            <w:r/>
            <w:r>
              <w:rPr>
                <w:rFonts w:ascii="Figtree" w:hAnsi="Figtree"/>
                <w:b w:val="0"/>
                <w:i w:val="0"/>
                <w:sz w:val="20"/>
              </w:rPr>
              <w:t>Email, portal, dedicated Slack, phone escalation</w:t>
            </w:r>
          </w:p>
        </w:tc>
        <w:tc>
          <w:tcPr>
            <w:tcW w:type="dxa" w:w="2436"/>
            <w:vAlign w:val="center"/>
          </w:tcPr>
          <w:p>
            <w:pPr>
              <w:spacing w:line="276" w:lineRule="auto" w:before="0" w:after="0"/>
            </w:pPr>
            <w:r/>
            <w:r>
              <w:rPr>
                <w:rFonts w:ascii="Figtree" w:hAnsi="Figtree"/>
                <w:b w:val="0"/>
                <w:i w:val="0"/>
                <w:sz w:val="20"/>
              </w:rPr>
              <w:t>Email, portal, Slack, phone, video escalation</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 release cycle</w:t>
            </w:r>
          </w:p>
        </w:tc>
        <w:tc>
          <w:tcPr>
            <w:tcW w:type="dxa" w:w="2436"/>
            <w:vAlign w:val="center"/>
          </w:tcPr>
          <w:p>
            <w:pPr>
              <w:spacing w:line="276" w:lineRule="auto" w:before="0" w:after="0"/>
            </w:pPr>
            <w:r/>
            <w:r>
              <w:rPr>
                <w:rFonts w:ascii="Figtree" w:hAnsi="Figtree"/>
                <w:b w:val="0"/>
                <w:i w:val="0"/>
                <w:sz w:val="20"/>
              </w:rPr>
              <w:t>Monthly; early access to release candidates</w:t>
            </w:r>
          </w:p>
        </w:tc>
        <w:tc>
          <w:tcPr>
            <w:tcW w:type="dxa" w:w="2436"/>
            <w:vAlign w:val="center"/>
          </w:tcPr>
          <w:p>
            <w:pPr>
              <w:spacing w:line="276" w:lineRule="auto" w:before="0" w:after="0"/>
            </w:pPr>
            <w:r/>
            <w:r>
              <w:rPr>
                <w:rFonts w:ascii="Figtree" w:hAnsi="Figtree"/>
                <w:b w:val="0"/>
                <w:i w:val="0"/>
                <w:sz w:val="20"/>
              </w:rPr>
              <w:t>Continuous delivery; staged rollouts</w:t>
            </w:r>
          </w:p>
        </w:tc>
      </w:tr>
      <w:tr>
        <w:trPr>
          <w:trHeight w:val="425" w:hRule="atLeast"/>
        </w:trPr>
        <w:tc>
          <w:tcPr>
            <w:tcW w:type="dxa" w:w="2436"/>
            <w:vAlign w:val="center"/>
          </w:tcPr>
          <w:p>
            <w:pPr>
              <w:spacing w:line="276" w:lineRule="auto" w:before="0" w:after="0"/>
            </w:pPr>
            <w:r/>
            <w:r>
              <w:rPr>
                <w:rFonts w:ascii="Figtree" w:hAnsi="Figtree"/>
                <w:b w:val="0"/>
                <w:i w:val="0"/>
                <w:sz w:val="20"/>
              </w:rPr>
              <w:t>Proactive monitoring</w:t>
            </w:r>
          </w:p>
        </w:tc>
        <w:tc>
          <w:tcPr>
            <w:tcW w:type="dxa" w:w="2436"/>
            <w:vAlign w:val="center"/>
          </w:tcPr>
          <w:p>
            <w:pPr>
              <w:spacing w:line="276" w:lineRule="auto" w:before="0" w:after="0"/>
            </w:pPr>
            <w:r/>
            <w:r>
              <w:rPr>
                <w:rFonts w:ascii="Figtree" w:hAnsi="Figtree"/>
                <w:b w:val="0"/>
                <w:i w:val="0"/>
                <w:sz w:val="20"/>
              </w:rPr>
              <w:t>Platform health, critical thresholds</w:t>
            </w:r>
          </w:p>
        </w:tc>
        <w:tc>
          <w:tcPr>
            <w:tcW w:type="dxa" w:w="2436"/>
            <w:vAlign w:val="center"/>
          </w:tcPr>
          <w:p>
            <w:pPr>
              <w:spacing w:line="276" w:lineRule="auto" w:before="0" w:after="0"/>
            </w:pPr>
            <w:r/>
            <w:r>
              <w:rPr>
                <w:rFonts w:ascii="Figtree" w:hAnsi="Figtree"/>
                <w:b w:val="0"/>
                <w:i w:val="0"/>
                <w:sz w:val="20"/>
              </w:rPr>
              <w:t>Enhanced with anomaly detection</w:t>
            </w:r>
          </w:p>
        </w:tc>
        <w:tc>
          <w:tcPr>
            <w:tcW w:type="dxa" w:w="2436"/>
            <w:vAlign w:val="center"/>
          </w:tcPr>
          <w:p>
            <w:pPr>
              <w:spacing w:line="276" w:lineRule="auto" w:before="0" w:after="0"/>
            </w:pPr>
            <w:r/>
            <w:r>
              <w:rPr>
                <w:rFonts w:ascii="Figtree" w:hAnsi="Figtree"/>
                <w:b w:val="0"/>
                <w:i w:val="0"/>
                <w:sz w:val="20"/>
              </w:rPr>
              <w:t>Full-stack observability, capacity planning</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Monthly review with technical deep-dive</w:t>
            </w:r>
          </w:p>
        </w:tc>
        <w:tc>
          <w:tcPr>
            <w:tcW w:type="dxa" w:w="2436"/>
            <w:vAlign w:val="center"/>
          </w:tcPr>
          <w:p>
            <w:pPr>
              <w:spacing w:line="276" w:lineRule="auto" w:before="0" w:after="0"/>
            </w:pPr>
            <w:r/>
            <w:r>
              <w:rPr>
                <w:rFonts w:ascii="Figtree" w:hAnsi="Figtree"/>
                <w:b w:val="0"/>
                <w:i w:val="0"/>
                <w:sz w:val="20"/>
              </w:rPr>
              <w:t>Bi-weekly review; named Customer Success Manager</w:t>
            </w:r>
          </w:p>
        </w:tc>
      </w:tr>
    </w:tbl>
    <w:p>
      <w:pPr>
        <w:spacing w:before="0" w:after="0" w:line="120" w:lineRule="exact"/>
      </w:pPr>
    </w:p>
    <w:p>
      <w:pPr>
        <w:pStyle w:val="H3"/>
        <w:numPr>
          <w:ilvl w:val="2"/>
          <w:numId w:val="1"/>
        </w:numPr>
      </w:pPr>
      <w:r>
        <w:t>Severity Definitions</w:t>
      </w:r>
    </w:p>
    <w:p>
      <w:r>
        <w:rPr>
          <w:rFonts w:ascii="Figtree" w:hAnsi="Figtree"/>
          <w:b w:val="0"/>
          <w:i w:val="0"/>
          <w:sz w:val="22"/>
        </w:rPr>
        <w:t>All incidents are classified according to a four-level severity model based on business impact, scope of affected users, and availability of workarounds.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2"/>
        <w:gridCol w:w="692"/>
        <w:gridCol w:w="2989"/>
        <w:gridCol w:w="469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Neptune-Specific Examples</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w:t>
            </w:r>
          </w:p>
        </w:tc>
        <w:tc>
          <w:tcPr>
            <w:tcW w:type="dxa" w:w="2436"/>
            <w:vAlign w:val="center"/>
          </w:tcPr>
          <w:p>
            <w:pPr>
              <w:spacing w:line="276" w:lineRule="auto" w:before="0" w:after="0"/>
            </w:pPr>
            <w:r/>
            <w:r>
              <w:rPr>
                <w:rFonts w:ascii="Figtree" w:hAnsi="Figtree"/>
                <w:b w:val="0"/>
                <w:i w:val="0"/>
                <w:sz w:val="20"/>
              </w:rPr>
              <w:t>Complete platform unavailability, data loss, compliance enforcement failure, or settlement failure</w:t>
            </w:r>
          </w:p>
        </w:tc>
        <w:tc>
          <w:tcPr>
            <w:tcW w:type="dxa" w:w="2436"/>
            <w:vAlign w:val="center"/>
          </w:tcPr>
          <w:p>
            <w:pPr>
              <w:spacing w:line="276" w:lineRule="auto" w:before="0" w:after="0"/>
            </w:pPr>
            <w:r/>
            <w:r>
              <w:rPr>
                <w:rFonts w:ascii="Figtree" w:hAnsi="Figtree"/>
                <w:b w:val="0"/>
                <w:i w:val="0"/>
                <w:sz w:val="20"/>
              </w:rPr>
              <w:t>DALP platform unresponsive; compliance module bypass allowing unauthorized transfer; SPC token minting failure in production; Key Guardian signing failure</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impact</w:t>
            </w:r>
          </w:p>
        </w:tc>
        <w:tc>
          <w:tcPr>
            <w:tcW w:type="dxa" w:w="2436"/>
            <w:vAlign w:val="center"/>
          </w:tcPr>
          <w:p>
            <w:pPr>
              <w:spacing w:line="276" w:lineRule="auto" w:before="0" w:after="0"/>
            </w:pPr>
            <w:r/>
            <w:r>
              <w:rPr>
                <w:rFonts w:ascii="Figtree" w:hAnsi="Figtree"/>
                <w:b w:val="0"/>
                <w:i w:val="0"/>
                <w:sz w:val="20"/>
              </w:rPr>
              <w:t>Significant degradation affecting critical workflows, no acceptable workaround</w:t>
            </w:r>
          </w:p>
        </w:tc>
        <w:tc>
          <w:tcPr>
            <w:tcW w:type="dxa" w:w="2436"/>
            <w:vAlign w:val="center"/>
          </w:tcPr>
          <w:p>
            <w:pPr>
              <w:spacing w:line="276" w:lineRule="auto" w:before="0" w:after="0"/>
            </w:pPr>
            <w:r/>
            <w:r>
              <w:rPr>
                <w:rFonts w:ascii="Figtree" w:hAnsi="Figtree"/>
                <w:b w:val="0"/>
                <w:i w:val="0"/>
                <w:sz w:val="20"/>
              </w:rPr>
              <w:t>Investor identity verification failures blocking onboarding; yield distribution failure; major API endpoint degradation affecting MindWave integration</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Functional issue affecting subset of workflows, workaround exists</w:t>
            </w:r>
          </w:p>
        </w:tc>
        <w:tc>
          <w:tcPr>
            <w:tcW w:type="dxa" w:w="2436"/>
            <w:vAlign w:val="center"/>
          </w:tcPr>
          <w:p>
            <w:pPr>
              <w:spacing w:line="276" w:lineRule="auto" w:before="0" w:after="0"/>
            </w:pPr>
            <w:r/>
            <w:r>
              <w:rPr>
                <w:rFonts w:ascii="Figtree" w:hAnsi="Figtree"/>
                <w:b w:val="0"/>
                <w:i w:val="0"/>
                <w:sz w:val="20"/>
              </w:rPr>
              <w:t>Reporting delay; non-critical API endpoint slowdown; dashboard rendering issues; batch SPC deployment delay with manual alternative</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 cosmetic</w:t>
            </w:r>
          </w:p>
        </w:tc>
        <w:tc>
          <w:tcPr>
            <w:tcW w:type="dxa" w:w="2436"/>
            <w:vAlign w:val="center"/>
          </w:tcPr>
          <w:p>
            <w:pPr>
              <w:spacing w:line="276" w:lineRule="auto" w:before="0" w:after="0"/>
            </w:pPr>
            <w:r/>
            <w:r>
              <w:rPr>
                <w:rFonts w:ascii="Figtree" w:hAnsi="Figtree"/>
                <w:b w:val="0"/>
                <w:i w:val="0"/>
                <w:sz w:val="20"/>
              </w:rPr>
              <w:t>No material operational impact</w:t>
            </w:r>
          </w:p>
        </w:tc>
        <w:tc>
          <w:tcPr>
            <w:tcW w:type="dxa" w:w="2436"/>
            <w:vAlign w:val="center"/>
          </w:tcPr>
          <w:p>
            <w:pPr>
              <w:spacing w:line="276" w:lineRule="auto" w:before="0" w:after="0"/>
            </w:pPr>
            <w:r/>
            <w:r>
              <w:rPr>
                <w:rFonts w:ascii="Figtree" w:hAnsi="Figtree"/>
                <w:b w:val="0"/>
                <w:i w:val="0"/>
                <w:sz w:val="20"/>
              </w:rPr>
              <w:t>UI cosmetic defect; documentation error; minor logging inconsistency; feature enhancement request</w:t>
            </w:r>
          </w:p>
        </w:tc>
      </w:tr>
    </w:tbl>
    <w:p>
      <w:pPr>
        <w:spacing w:before="0" w:after="0" w:line="120" w:lineRule="exact"/>
      </w:pPr>
    </w:p>
    <w:p>
      <w:pPr>
        <w:pStyle w:val="H3"/>
        <w:numPr>
          <w:ilvl w:val="2"/>
          <w:numId w:val="1"/>
        </w:numPr>
      </w:pPr>
      <w:r>
        <w:t>Response and Resolution SLA</w:t>
      </w:r>
    </w:p>
    <w:p>
      <w:r>
        <w:rPr>
          <w:rFonts w:ascii="Figtree" w:hAnsi="Figtree"/>
          <w:b/>
          <w:i w:val="0"/>
          <w:sz w:val="22"/>
        </w:rPr>
        <w:t>Response time targets</w:t>
      </w:r>
      <w:r>
        <w:rPr>
          <w:rFonts w:ascii="Figtree" w:hAnsi="Figtree"/>
          <w:b w:val="0"/>
          <w:i w:val="0"/>
          <w:sz w:val="22"/>
        </w:rPr>
        <w:t xml:space="preserve"> (measured from incident acknowledgment):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44"/>
        <w:gridCol w:w="2430"/>
        <w:gridCol w:w="2430"/>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bl>
    <w:p>
      <w:pPr>
        <w:spacing w:before="0" w:after="0" w:line="120" w:lineRule="exact"/>
      </w:pPr>
    </w:p>
    <w:p>
      <w:r>
        <w:rPr>
          <w:rFonts w:ascii="Figtree" w:hAnsi="Figtree"/>
          <w:b/>
          <w:i w:val="0"/>
          <w:sz w:val="22"/>
        </w:rPr>
        <w:t>Resolution targets</w:t>
      </w:r>
      <w:r>
        <w:rPr>
          <w:rFonts w:ascii="Figtree" w:hAnsi="Figtree"/>
          <w:b w:val="0"/>
          <w:i w:val="0"/>
          <w:sz w:val="22"/>
        </w:rPr>
        <w:t xml:space="preserve"> (time to restore service or provide a viable workaround):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6"/>
        <w:gridCol w:w="2502"/>
        <w:gridCol w:w="2346"/>
        <w:gridCol w:w="23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24 hours</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10 business days</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3"/>
        <w:numPr>
          <w:ilvl w:val="2"/>
          <w:numId w:val="1"/>
        </w:numPr>
      </w:pPr>
      <w:r>
        <w:t>Escalation Path</w:t>
      </w:r>
    </w:p>
    <w:p>
      <w:r>
        <w:rPr>
          <w:rFonts w:ascii="Figtree" w:hAnsi="Figtree"/>
          <w:b w:val="0"/>
          <w:i w:val="0"/>
          <w:sz w:val="22"/>
        </w:rPr>
        <w:t>Automatic escalation triggers are built into the support process:</w:t>
      </w:r>
    </w:p>
    <w:p>
      <w:pPr>
        <w:pStyle w:val="ListParagraph"/>
        <w:numPr>
          <w:ilvl w:val="0"/>
          <w:numId w:val="4"/>
        </w:numPr>
      </w:pPr>
      <w:r>
        <w:rPr>
          <w:rFonts w:ascii="Figtree" w:hAnsi="Figtree"/>
          <w:b w:val="0"/>
          <w:i w:val="0"/>
          <w:sz w:val="22"/>
        </w:rPr>
        <w:t>A P1 incident not acknowledged within the response target escalates immediately to the Support Engineering Manager.</w:t>
      </w:r>
    </w:p>
    <w:p>
      <w:pPr>
        <w:pStyle w:val="ListParagraph"/>
        <w:numPr>
          <w:ilvl w:val="0"/>
          <w:numId w:val="4"/>
        </w:numPr>
      </w:pPr>
      <w:r>
        <w:rPr>
          <w:rFonts w:ascii="Figtree" w:hAnsi="Figtree"/>
          <w:b w:val="0"/>
          <w:i w:val="0"/>
          <w:sz w:val="22"/>
        </w:rPr>
        <w:t>A P1 incident not resolved within the resolution target escalates to the VP Engineering with client notification.</w:t>
      </w:r>
    </w:p>
    <w:p>
      <w:pPr>
        <w:pStyle w:val="ListParagraph"/>
        <w:numPr>
          <w:ilvl w:val="0"/>
          <w:numId w:val="4"/>
        </w:numPr>
      </w:pPr>
      <w:r>
        <w:rPr>
          <w:rFonts w:ascii="Figtree" w:hAnsi="Figtree"/>
          <w:b w:val="0"/>
          <w:i w:val="0"/>
          <w:sz w:val="22"/>
        </w:rPr>
        <w:t>Recurring P1 or P2 incidents (three or more in 30 days) trigger a root cause review with the Solution Architect and a client briefing.</w:t>
      </w:r>
    </w:p>
    <w:p>
      <w:r>
        <w:rPr>
          <w:rFonts w:ascii="Figtree" w:hAnsi="Figtree"/>
          <w:b w:val="0"/>
          <w:i w:val="0"/>
          <w:sz w:val="22"/>
        </w:rPr>
        <w:t>Neptune may also escalate at any time through the defined four-level path: Designated Support Engineer, Support Engineering Manager, VP Engineering / Head of Customer Success, SettleMint Executive Management.</w:t>
      </w:r>
    </w:p>
    <w:p>
      <w:pPr>
        <w:pStyle w:val="H3"/>
        <w:numPr>
          <w:ilvl w:val="2"/>
          <w:numId w:val="1"/>
        </w:numPr>
      </w:pPr>
      <w:r>
        <w:t>Uptime Target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0"/>
        <w:gridCol w:w="2509"/>
        <w:gridCol w:w="46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 Monthly Downtime</w:t>
            </w:r>
          </w:p>
        </w:tc>
      </w:tr>
      <w:tr>
        <w:trPr>
          <w:trHeight w:val="425" w:hRule="atLeast"/>
        </w:trPr>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 minutes</w:t>
            </w:r>
          </w:p>
        </w:tc>
      </w:tr>
      <w:tr>
        <w:trPr>
          <w:trHeight w:val="425" w:hRule="atLeast"/>
        </w:trPr>
        <w:tc>
          <w:tcPr>
            <w:tcW w:type="dxa" w:w="3249"/>
            <w:vAlign w:val="center"/>
          </w:tcPr>
          <w:p>
            <w:pPr>
              <w:spacing w:line="276" w:lineRule="auto" w:before="0" w:after="0"/>
            </w:pPr>
            <w:r/>
            <w:r>
              <w:rPr>
                <w:rFonts w:ascii="Figtree" w:hAnsi="Figtree"/>
                <w:b w:val="0"/>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~22 minutes</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~4.3 minutes</w:t>
            </w:r>
          </w:p>
        </w:tc>
      </w:tr>
    </w:tbl>
    <w:p>
      <w:pPr>
        <w:spacing w:before="0" w:after="0" w:line="120" w:lineRule="exact"/>
      </w:pPr>
    </w:p>
    <w:p>
      <w:r>
        <w:rPr>
          <w:rFonts w:ascii="Figtree" w:hAnsi="Figtree"/>
          <w:b w:val="0"/>
          <w:i w:val="0"/>
          <w:sz w:val="22"/>
        </w:rPr>
        <w:t>Uptime is measured via synthetic monitoring against DALP's core services from multiple geographic locations. Monthly uptime reports are provided as part of the regular business review cycle. If SettleMint fails to meet the contracted uptime SLA, service credits are applied: 10% of monthly support fees for uptime below target but above 99.0%, 25% for below 99.0% but above 98.0%, and 50% for below 98.0%.</w:t>
      </w:r>
    </w:p>
    <w:p>
      <w:pPr>
        <w:pStyle w:val="H3"/>
        <w:numPr>
          <w:ilvl w:val="2"/>
          <w:numId w:val="1"/>
        </w:numPr>
      </w:pPr>
      <w:r>
        <w:t>Why Premium Support Matters for Posidonia Readiness</w:t>
      </w:r>
    </w:p>
    <w:p>
      <w:r>
        <w:rPr>
          <w:rFonts w:ascii="Figtree" w:hAnsi="Figtree"/>
          <w:b w:val="0"/>
          <w:i w:val="0"/>
          <w:sz w:val="22"/>
        </w:rPr>
        <w:t>The support tier selection is often treated as a procurement decision divorced from programme success. For Neptune, it is directly tied to Posidonia readiness. Three specific scenarios illustrate why Premium support is the minimum appropriate tier for this engagement.</w:t>
      </w:r>
    </w:p>
    <w:p>
      <w:r>
        <w:rPr>
          <w:rFonts w:ascii="Figtree" w:hAnsi="Figtree"/>
          <w:b/>
          <w:i w:val="0"/>
          <w:sz w:val="22"/>
        </w:rPr>
        <w:t>Scenario 1: Compliance module misconfiguration during bulk SPC deployment.</w:t>
      </w:r>
      <w:r>
        <w:rPr>
          <w:rFonts w:ascii="Figtree" w:hAnsi="Figtree"/>
          <w:b w:val="0"/>
          <w:i w:val="0"/>
          <w:sz w:val="22"/>
        </w:rPr>
        <w:t xml:space="preserve"> During Phase 1, Neptune will deploy 55 to 57 SPC equity tokens in rapid succession. If a compliance module is misconfigured (for example, a country allowlist that omits a valid investor jurisdiction), the misconfiguration could propagate across multiple SPCs before it is detected. Under Standard support with business-hours coverage and a 2-business-day response target for medium-severity issues, this misconfiguration could remain unresolved for days, blocking investor onboarding across affected SPCs. Under Premium support, the dedicated Slack channel enables same-day identification and resolution, and the named support engineer, who understands Neptune's compliance framework, can assess the impact across the fleet rather than treating each SPC as an isolated incident.</w:t>
      </w:r>
    </w:p>
    <w:p>
      <w:r>
        <w:rPr>
          <w:rFonts w:ascii="Figtree" w:hAnsi="Figtree"/>
          <w:b/>
          <w:i w:val="0"/>
          <w:sz w:val="22"/>
        </w:rPr>
        <w:t>Scenario 2: API integration issue during MindWave development sprint.</w:t>
      </w:r>
      <w:r>
        <w:rPr>
          <w:rFonts w:ascii="Figtree" w:hAnsi="Figtree"/>
          <w:b w:val="0"/>
          <w:i w:val="0"/>
          <w:sz w:val="22"/>
        </w:rPr>
        <w:t xml:space="preserve"> MindWave is building Neptune's investor portal against DALP's APIs on a compressed timeline. API integration issues are inevitable during development: authentication edge cases, webhook delivery timing, GraphQL query optimization, event ordering questions. Under Standard support, MindWave would submit these as support tickets and wait for email responses during business hours. Under Premium support, the dedicated Slack channel provides real-time back-and-forth between MindWave developers and SettleMint's named engineer, turning multi-day ticket exchanges into same-session resolutions.</w:t>
      </w:r>
    </w:p>
    <w:p>
      <w:r>
        <w:rPr>
          <w:rFonts w:ascii="Figtree" w:hAnsi="Figtree"/>
          <w:b/>
          <w:i w:val="0"/>
          <w:sz w:val="22"/>
        </w:rPr>
        <w:t>Scenario 3: Production incident during Posidonia week.</w:t>
      </w:r>
      <w:r>
        <w:rPr>
          <w:rFonts w:ascii="Figtree" w:hAnsi="Figtree"/>
          <w:b w:val="0"/>
          <w:i w:val="0"/>
          <w:sz w:val="22"/>
        </w:rPr>
        <w:t xml:space="preserve"> If a critical issue emerges during the Posidonia event itself (early June 2026), Neptune needs immediate response. A platform issue visible during a live demo or a compliance enforcement failure during a real transaction would undermine the credibility of the entire announcement. Premium support's extended hours and P1 weekend on-call coverage provide the safety net that Standard support's business-hours model cannot.</w:t>
      </w:r>
    </w:p>
    <w:p>
      <w:pPr>
        <w:pStyle w:val="H3"/>
        <w:numPr>
          <w:ilvl w:val="2"/>
          <w:numId w:val="1"/>
        </w:numPr>
      </w:pPr>
      <w:r>
        <w:t>Maintenance and Update Policy</w:t>
      </w:r>
    </w:p>
    <w:p>
      <w:r>
        <w:rPr>
          <w:rFonts w:ascii="Figtree" w:hAnsi="Figtree"/>
          <w:b w:val="0"/>
          <w:i w:val="0"/>
          <w:sz w:val="22"/>
        </w:rPr>
        <w:t>Scheduled maintenance runs during a standard window (Saturdays 02:00 to 06:00 CET, or a client-agreed alternative) with minimum 5 business days notice for standard maintenance and 10 business days for major upgrades. Emergency maintenance for critical security patches may occur outside standard windows with maximum practical advance notice.</w:t>
      </w:r>
    </w:p>
    <w:p>
      <w:r>
        <w:rPr>
          <w:rFonts w:ascii="Figtree" w:hAnsi="Figtree"/>
          <w:b w:val="0"/>
          <w:i w:val="0"/>
          <w:sz w:val="22"/>
        </w:rPr>
        <w:t>Under Premium support, Neptune receives monthly platform releases with early access to release candidates, staged rollouts from development to production, and dedicated update coordination. Security patches are applied on an accelerated timeline regardless of release cadence. Compliance module updates are coordinated with Neptune's compliance team and include regulatory impact assessment. All smart contract upgrades are managed through DALP's UUPS proxy-based upgrade framework.</w:t>
      </w:r>
    </w:p>
    <w:p>
      <w:r>
        <w:br w:type="page"/>
      </w:r>
    </w:p>
    <w:p>
      <w:pPr>
        <w:pStyle w:val="H2"/>
        <w:numPr>
          <w:ilvl w:val="1"/>
          <w:numId w:val="1"/>
        </w:numPr>
      </w:pPr>
      <w:r>
        <w:t>Implementation Investment</w:t>
      </w:r>
    </w:p>
    <w:p>
      <w:pPr>
        <w:pStyle w:val="H3"/>
        <w:numPr>
          <w:ilvl w:val="2"/>
          <w:numId w:val="1"/>
        </w:numPr>
      </w:pPr>
      <w:r>
        <w:t>Implementation Approach</w:t>
      </w:r>
    </w:p>
    <w:p>
      <w:r>
        <w:rPr>
          <w:rFonts w:ascii="Figtree" w:hAnsi="Figtree"/>
          <w:b w:val="0"/>
          <w:i w:val="0"/>
          <w:sz w:val="22"/>
        </w:rPr>
        <w:t>Neptune's implementation follows a compressed, four-phase approach designed to meet the Posidonia 2026 deadline. This is not SettleMint's standard 15 to 19 week methodology; it is an accelerated programme that front-loads foundation work and parallelizes SPC deployment with UI development. The compressed timeline is feasible because of three specific advantages: DALP's configuration-driven deployment model (no custom smart contract development required), the MindWave partnership (which takes UI development off SettleMint's critical path), and Neptune's relatively standardized SPC structure (which enables template-based bulk deployment).</w:t>
      </w:r>
    </w:p>
    <w:p>
      <w:pPr>
        <w:pStyle w:val="H3"/>
        <w:numPr>
          <w:ilvl w:val="2"/>
          <w:numId w:val="1"/>
        </w:numPr>
      </w:pPr>
      <w:r>
        <w:t>Phase 0: Foundation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0"/>
        <w:gridCol w:w="714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Objective</w:t>
            </w:r>
          </w:p>
        </w:tc>
        <w:tc>
          <w:tcPr>
            <w:tcW w:type="dxa" w:w="4873"/>
            <w:vAlign w:val="center"/>
          </w:tcPr>
          <w:p>
            <w:pPr>
              <w:spacing w:line="276" w:lineRule="auto" w:before="0" w:after="0"/>
            </w:pPr>
            <w:r/>
            <w:r>
              <w:rPr>
                <w:rFonts w:ascii="Figtree" w:hAnsi="Figtree"/>
                <w:b w:val="0"/>
                <w:i w:val="0"/>
                <w:sz w:val="20"/>
              </w:rPr>
              <w:t>Deploy DALP, configure identity and compliance framework, deploy 3 to 5 pilot SPC equity tokens, enable MindWave integration</w:t>
            </w:r>
          </w:p>
        </w:tc>
      </w:tr>
      <w:tr>
        <w:trPr>
          <w:trHeight w:val="425" w:hRule="atLeast"/>
        </w:trPr>
        <w:tc>
          <w:tcPr>
            <w:tcW w:type="dxa" w:w="4873"/>
            <w:vAlign w:val="center"/>
          </w:tcPr>
          <w:p>
            <w:pPr>
              <w:spacing w:line="276" w:lineRule="auto" w:before="0" w:after="0"/>
            </w:pPr>
            <w:r/>
            <w:r>
              <w:rPr>
                <w:rFonts w:ascii="Figtree" w:hAnsi="Figtree"/>
                <w:b/>
                <w:i w:val="0"/>
                <w:sz w:val="20"/>
              </w:rPr>
              <w:t>Duration</w:t>
            </w:r>
          </w:p>
        </w:tc>
        <w:tc>
          <w:tcPr>
            <w:tcW w:type="dxa" w:w="4873"/>
            <w:vAlign w:val="center"/>
          </w:tcPr>
          <w:p>
            <w:pPr>
              <w:spacing w:line="276" w:lineRule="auto" w:before="0" w:after="0"/>
            </w:pPr>
            <w:r/>
            <w:r>
              <w:rPr>
                <w:rFonts w:ascii="Figtree" w:hAnsi="Figtree"/>
                <w:b w:val="0"/>
                <w:i w:val="0"/>
                <w:sz w:val="20"/>
              </w:rPr>
              <w:t>6 weeks (March to April 2026)</w:t>
            </w:r>
          </w:p>
        </w:tc>
      </w:tr>
      <w:tr>
        <w:trPr>
          <w:trHeight w:val="425" w:hRule="atLeast"/>
        </w:trPr>
        <w:tc>
          <w:tcPr>
            <w:tcW w:type="dxa" w:w="4873"/>
            <w:vAlign w:val="center"/>
          </w:tcPr>
          <w:p>
            <w:pPr>
              <w:spacing w:line="276" w:lineRule="auto" w:before="0" w:after="0"/>
            </w:pPr>
            <w:r/>
            <w:r>
              <w:rPr>
                <w:rFonts w:ascii="Figtree" w:hAnsi="Figtree"/>
                <w:b/>
                <w:i w:val="0"/>
                <w:sz w:val="20"/>
              </w:rPr>
              <w:t>Investment component</w:t>
            </w:r>
          </w:p>
        </w:tc>
        <w:tc>
          <w:tcPr>
            <w:tcW w:type="dxa" w:w="4873"/>
            <w:vAlign w:val="center"/>
          </w:tcPr>
          <w:p>
            <w:pPr>
              <w:spacing w:line="276" w:lineRule="auto" w:before="0" w:after="0"/>
            </w:pPr>
            <w:r/>
            <w:r>
              <w:rPr>
                <w:rFonts w:ascii="Figtree" w:hAnsi="Figtree"/>
                <w:b/>
                <w:i w:val="0"/>
                <w:sz w:val="20"/>
              </w:rPr>
              <w:t>[TO CONFIRM]</w:t>
            </w:r>
            <w:r>
              <w:rPr>
                <w:rFonts w:ascii="Figtree" w:hAnsi="Figtree"/>
                <w:b w:val="0"/>
                <w:i w:val="0"/>
                <w:sz w:val="20"/>
              </w:rPr>
              <w:t xml:space="preserve"> — included in overall implementation investment</w:t>
            </w:r>
          </w:p>
        </w:tc>
      </w:tr>
    </w:tbl>
    <w:p>
      <w:pPr>
        <w:spacing w:before="0" w:after="0" w:line="120" w:lineRule="exact"/>
      </w:pPr>
    </w:p>
    <w:p>
      <w:r>
        <w:rPr>
          <w:rFonts w:ascii="Figtree" w:hAnsi="Figtree"/>
          <w:b/>
          <w:i w:val="0"/>
          <w:sz w:val="22"/>
        </w:rPr>
        <w:t>Key activities:</w:t>
      </w:r>
    </w:p>
    <w:p>
      <w:pPr>
        <w:pStyle w:val="ListParagraph"/>
        <w:numPr>
          <w:ilvl w:val="0"/>
          <w:numId w:val="4"/>
        </w:numPr>
      </w:pPr>
      <w:r>
        <w:rPr>
          <w:rFonts w:ascii="Figtree" w:hAnsi="Figtree"/>
          <w:b w:val="0"/>
          <w:i w:val="0"/>
          <w:sz w:val="22"/>
        </w:rPr>
        <w:t>Provision DALP Managed SaaS environment (development and production)</w:t>
      </w:r>
    </w:p>
    <w:p>
      <w:pPr>
        <w:pStyle w:val="ListParagraph"/>
        <w:numPr>
          <w:ilvl w:val="0"/>
          <w:numId w:val="4"/>
        </w:numPr>
      </w:pPr>
      <w:r>
        <w:rPr>
          <w:rFonts w:ascii="Figtree" w:hAnsi="Figtree"/>
          <w:b w:val="0"/>
          <w:i w:val="0"/>
          <w:sz w:val="22"/>
        </w:rPr>
        <w:t>Configure OnchainID identity registry for Neptune's investor structure</w:t>
      </w:r>
    </w:p>
    <w:p>
      <w:pPr>
        <w:pStyle w:val="ListParagraph"/>
        <w:numPr>
          <w:ilvl w:val="0"/>
          <w:numId w:val="4"/>
        </w:numPr>
      </w:pPr>
      <w:r>
        <w:rPr>
          <w:rFonts w:ascii="Figtree" w:hAnsi="Figtree"/>
          <w:b w:val="0"/>
          <w:i w:val="0"/>
          <w:sz w:val="22"/>
        </w:rPr>
        <w:t>Configure compliance framework: country allowlist modules for applicable jurisdictions, investor count caps, transfer approval workflows</w:t>
      </w:r>
    </w:p>
    <w:p>
      <w:pPr>
        <w:pStyle w:val="ListParagraph"/>
        <w:numPr>
          <w:ilvl w:val="0"/>
          <w:numId w:val="4"/>
        </w:numPr>
      </w:pPr>
      <w:r>
        <w:rPr>
          <w:rFonts w:ascii="Figtree" w:hAnsi="Figtree"/>
          <w:b w:val="0"/>
          <w:i w:val="0"/>
          <w:sz w:val="22"/>
        </w:rPr>
        <w:t>Deploy 3 to 5 pilot SPC equity tokens using the `createEquity()` factory pattern, selecting SPCs that represent different vessel types and flag states</w:t>
      </w:r>
    </w:p>
    <w:p>
      <w:pPr>
        <w:pStyle w:val="ListParagraph"/>
        <w:numPr>
          <w:ilvl w:val="0"/>
          <w:numId w:val="4"/>
        </w:numPr>
      </w:pPr>
      <w:r>
        <w:rPr>
          <w:rFonts w:ascii="Figtree" w:hAnsi="Figtree"/>
          <w:b w:val="0"/>
          <w:i w:val="0"/>
          <w:sz w:val="22"/>
        </w:rPr>
        <w:t>Configure RBAC across Neptune's organizational roles (governance, compliance, operations, administration)</w:t>
      </w:r>
    </w:p>
    <w:p>
      <w:pPr>
        <w:pStyle w:val="ListParagraph"/>
        <w:numPr>
          <w:ilvl w:val="0"/>
          <w:numId w:val="4"/>
        </w:numPr>
      </w:pPr>
      <w:r>
        <w:rPr>
          <w:rFonts w:ascii="Figtree" w:hAnsi="Figtree"/>
          <w:b w:val="0"/>
          <w:i w:val="0"/>
          <w:sz w:val="22"/>
        </w:rPr>
        <w:t>Provide MindWave with API documentation, SDK access, and sandbox environment credentials</w:t>
      </w:r>
    </w:p>
    <w:p>
      <w:pPr>
        <w:pStyle w:val="ListParagraph"/>
        <w:numPr>
          <w:ilvl w:val="0"/>
          <w:numId w:val="4"/>
        </w:numPr>
      </w:pPr>
      <w:r>
        <w:rPr>
          <w:rFonts w:ascii="Figtree" w:hAnsi="Figtree"/>
          <w:b w:val="0"/>
          <w:i w:val="0"/>
          <w:sz w:val="22"/>
        </w:rPr>
        <w:t>MindWave begins custom UI development against DALP APIs</w:t>
      </w:r>
    </w:p>
    <w:p>
      <w:r>
        <w:rPr>
          <w:rFonts w:ascii="Figtree" w:hAnsi="Figtree"/>
          <w:b/>
          <w:i w:val="0"/>
          <w:sz w:val="22"/>
        </w:rPr>
        <w:t>Deliverables:</w:t>
      </w:r>
    </w:p>
    <w:p>
      <w:pPr>
        <w:pStyle w:val="ListParagraph"/>
        <w:numPr>
          <w:ilvl w:val="0"/>
          <w:numId w:val="4"/>
        </w:numPr>
      </w:pPr>
      <w:r>
        <w:rPr>
          <w:rFonts w:ascii="Figtree" w:hAnsi="Figtree"/>
          <w:b w:val="0"/>
          <w:i w:val="0"/>
          <w:sz w:val="22"/>
        </w:rPr>
        <w:t>Provisioned DALP environment (development + production)</w:t>
      </w:r>
    </w:p>
    <w:p>
      <w:pPr>
        <w:pStyle w:val="ListParagraph"/>
        <w:numPr>
          <w:ilvl w:val="0"/>
          <w:numId w:val="4"/>
        </w:numPr>
      </w:pPr>
      <w:r>
        <w:rPr>
          <w:rFonts w:ascii="Figtree" w:hAnsi="Figtree"/>
          <w:b w:val="0"/>
          <w:i w:val="0"/>
          <w:sz w:val="22"/>
        </w:rPr>
        <w:t>Identity and compliance framework configuration document</w:t>
      </w:r>
    </w:p>
    <w:p>
      <w:pPr>
        <w:pStyle w:val="ListParagraph"/>
        <w:numPr>
          <w:ilvl w:val="0"/>
          <w:numId w:val="4"/>
        </w:numPr>
      </w:pPr>
      <w:r>
        <w:rPr>
          <w:rFonts w:ascii="Figtree" w:hAnsi="Figtree"/>
          <w:b w:val="0"/>
          <w:i w:val="0"/>
          <w:sz w:val="22"/>
        </w:rPr>
        <w:t>3 to 5 deployed pilot SPC equity tokens with full compliance module configuration</w:t>
      </w:r>
    </w:p>
    <w:p>
      <w:pPr>
        <w:pStyle w:val="ListParagraph"/>
        <w:numPr>
          <w:ilvl w:val="0"/>
          <w:numId w:val="4"/>
        </w:numPr>
      </w:pPr>
      <w:r>
        <w:rPr>
          <w:rFonts w:ascii="Figtree" w:hAnsi="Figtree"/>
          <w:b w:val="0"/>
          <w:i w:val="0"/>
          <w:sz w:val="22"/>
        </w:rPr>
        <w:t>MindWave integration guide and sandbox access</w:t>
      </w:r>
    </w:p>
    <w:p>
      <w:pPr>
        <w:pStyle w:val="ListParagraph"/>
        <w:numPr>
          <w:ilvl w:val="0"/>
          <w:numId w:val="4"/>
        </w:numPr>
      </w:pPr>
      <w:r>
        <w:rPr>
          <w:rFonts w:ascii="Figtree" w:hAnsi="Figtree"/>
          <w:b w:val="0"/>
          <w:i w:val="0"/>
          <w:sz w:val="22"/>
        </w:rPr>
        <w:t>Phase 0 validation report</w:t>
      </w:r>
    </w:p>
    <w:p>
      <w:r>
        <w:rPr>
          <w:rFonts w:ascii="Figtree" w:hAnsi="Figtree"/>
          <w:b/>
          <w:i w:val="0"/>
          <w:sz w:val="22"/>
        </w:rPr>
        <w:t>Acceptance gate:</w:t>
      </w:r>
      <w:r>
        <w:rPr>
          <w:rFonts w:ascii="Figtree" w:hAnsi="Figtree"/>
          <w:b w:val="0"/>
          <w:i w:val="0"/>
          <w:sz w:val="22"/>
        </w:rPr>
        <w:t xml:space="preserve"> Pilot SPC tokens deployed and operational, compliance modules enforce configured rules correctly, MindWave has API access and can query token state.</w:t>
      </w:r>
    </w:p>
    <w:p>
      <w:pPr>
        <w:pStyle w:val="H3"/>
        <w:numPr>
          <w:ilvl w:val="2"/>
          <w:numId w:val="1"/>
        </w:numPr>
      </w:pPr>
      <w:r>
        <w:t>Phase 0 Detailed Activities</w:t>
      </w:r>
    </w:p>
    <w:p>
      <w:r>
        <w:rPr>
          <w:rFonts w:ascii="Figtree" w:hAnsi="Figtree"/>
          <w:b/>
          <w:i w:val="0"/>
          <w:sz w:val="22"/>
        </w:rPr>
        <w:t>Week 1-2: Environment and Identity Setup</w:t>
      </w:r>
    </w:p>
    <w:p>
      <w:r>
        <w:rPr>
          <w:rFonts w:ascii="Figtree" w:hAnsi="Figtree"/>
          <w:b w:val="0"/>
          <w:i w:val="0"/>
          <w:sz w:val="22"/>
        </w:rPr>
        <w:t>The first two weeks focus on getting the DALP platform operational and establishing the identity framework that underpins the entire programme. SettleMint provisions the Managed SaaS environment, which includes the DALP dApp (web administration interface), the DAPI (Durable API service for programmatic access), the indexer (for querying on-chain data), the signer service (for transaction signing), and the observability stack (Grafana dashboards, VictoriaMetrics for metrics, Loki for logs, Tempo for traces).</w:t>
      </w:r>
    </w:p>
    <w:p>
      <w:r>
        <w:rPr>
          <w:rFonts w:ascii="Figtree" w:hAnsi="Figtree"/>
          <w:b w:val="0"/>
          <w:i w:val="0"/>
          <w:sz w:val="22"/>
        </w:rPr>
        <w:t>Simultaneously, the OnchainID identity registry is configured. This is the foundational layer for investor management: every investor who will hold SPC equity tokens must have an OnchainID identity established in the registry. The identity registry supports claim-based verification, where investor credentials (KYC verification, accreditation status, jurisdictional eligibility) are issued as claims on the identity. For Neptune's initial 5 investors, this means establishing their identities, issuing the relevant claims, and configuring the identity registry to recognize these claims for compliance purposes.</w:t>
      </w:r>
    </w:p>
    <w:p>
      <w:r>
        <w:rPr>
          <w:rFonts w:ascii="Figtree" w:hAnsi="Figtree"/>
          <w:b w:val="0"/>
          <w:i w:val="0"/>
          <w:sz w:val="22"/>
        </w:rPr>
        <w:t>The RBAC (Role-Based Access Control) model is configured during this period. Neptune defines the roles that will interact with the platform: who can deploy new SPC tokens, who can configure compliance modules, who can approve investor onboarding, who can initiate yield distributions, and who can view reporting. The RBAC model supports hierarchical organization structures, meaning Neptune can map its existing organizational hierarchy onto DALP's role model.</w:t>
      </w:r>
    </w:p>
    <w:p>
      <w:r>
        <w:rPr>
          <w:rFonts w:ascii="Figtree" w:hAnsi="Figtree"/>
          <w:b/>
          <w:i w:val="0"/>
          <w:sz w:val="22"/>
        </w:rPr>
        <w:t>Week 3-4: Compliance Framework Configuration</w:t>
      </w:r>
    </w:p>
    <w:p>
      <w:r>
        <w:rPr>
          <w:rFonts w:ascii="Figtree" w:hAnsi="Figtree"/>
          <w:b w:val="0"/>
          <w:i w:val="0"/>
          <w:sz w:val="22"/>
        </w:rPr>
        <w:t>The compliance framework is the heart of the tokenization programme. Each SPC equity token must have compliance modules configured that reflect the legal and regulatory requirements applicable to that specific SPC. The compliance modules enforce rules ex-ante: before any transfer is executed, the smart contract checks that the transfer complies with all configured rules. If any rule fails, the transfer is blocked.</w:t>
      </w:r>
    </w:p>
    <w:p>
      <w:r>
        <w:rPr>
          <w:rFonts w:ascii="Figtree" w:hAnsi="Figtree"/>
          <w:b w:val="0"/>
          <w:i w:val="0"/>
          <w:sz w:val="22"/>
        </w:rPr>
        <w:t>For Neptune, the relevant compliance modules include: CountryAllowListComplianceModule to restrict investor participation to approved jurisdictions (initially the jurisdictions of the 5 institutional investors), InvestorCountComplianceModule to enforce the maximum number of investors per SPC as permitted under the applicable securities exemption, TransferApprovalComplianceModule to require governance approval for any secondary market transfers, TokenSupplyLimitComplianceModule to cap the total token supply at the SPC's authorized equity value, SMARTIdentityVerificationComplianceModule to enforce KYC/AML verification before any token holding is permitted, CappedComplianceModule to limit the maximum tokens any single investor can hold, and TimeLockComplianceModule to enforce any lock-up periods applicable to the SPC's financing structure.</w:t>
      </w:r>
    </w:p>
    <w:p>
      <w:r>
        <w:rPr>
          <w:rFonts w:ascii="Figtree" w:hAnsi="Figtree"/>
          <w:b w:val="0"/>
          <w:i w:val="0"/>
          <w:sz w:val="22"/>
        </w:rPr>
        <w:t>The compliance framework configuration in Phase 0 establishes the standard template that will be applied to all 60 SPCs. This template represents the "80 percent case": the compliance rules that apply to the majority of SPCs. For any SPCs with unique requirements (for example, an SPC with investors from a jurisdiction not covered by the standard template), the compliance framework supports adding SPC-specific modules on top of the template.</w:t>
      </w:r>
    </w:p>
    <w:p>
      <w:r>
        <w:rPr>
          <w:rFonts w:ascii="Figtree" w:hAnsi="Figtree"/>
          <w:b/>
          <w:i w:val="0"/>
          <w:sz w:val="22"/>
        </w:rPr>
        <w:t>Week 5-6: Pilot SPC Deployment</w:t>
      </w:r>
    </w:p>
    <w:p>
      <w:r>
        <w:rPr>
          <w:rFonts w:ascii="Figtree" w:hAnsi="Figtree"/>
          <w:b w:val="0"/>
          <w:i w:val="0"/>
          <w:sz w:val="22"/>
        </w:rPr>
        <w:t>The final two weeks of Phase 0 focus on deploying the first 3 to 5 pilot SPC equity tokens. These pilots are selected to represent different vessel types, flag states, and financing structures, providing coverage of the variation Neptune expects across the full fleet. Deploying these pilots validates the entire chain: the compliance configuration, the identity framework, the RBAC model, and the operational procedures.</w:t>
      </w:r>
    </w:p>
    <w:p>
      <w:r>
        <w:rPr>
          <w:rFonts w:ascii="Figtree" w:hAnsi="Figtree"/>
          <w:b w:val="0"/>
          <w:i w:val="0"/>
          <w:sz w:val="22"/>
        </w:rPr>
        <w:t>Each pilot SPC is deployed using the `createEquity()` function, which creates a complete ERC-3643 token contract with: a proxy contract for upgradeability, an access manager for role-based permissions, a token identity containing metadata about the SPC and its underlying vessel, and a trusted issuers registry specifying which identities are authorized to receive tokens from this SPC.</w:t>
      </w:r>
    </w:p>
    <w:p>
      <w:r>
        <w:rPr>
          <w:rFonts w:ascii="Figtree" w:hAnsi="Figtree"/>
          <w:b w:val="0"/>
          <w:i w:val="0"/>
          <w:sz w:val="22"/>
        </w:rPr>
        <w:t>The pilot deployment also includes minting an initial token supply and allocating it to the initial investors. For the 5 investors, this means their OnchainID identities are verified, their eligibility claims are confirmed, and tokens representing their SPC ownership are minted and transferred to their wallets.</w:t>
      </w:r>
    </w:p>
    <w:p>
      <w:r>
        <w:rPr>
          <w:rFonts w:ascii="Figtree" w:hAnsi="Figtree"/>
          <w:b w:val="0"/>
          <w:i w:val="0"/>
          <w:sz w:val="22"/>
        </w:rPr>
        <w:t>MindWave uses the pilot deployment period to validate their API integration. The integration guide and sandbox access provided in Week 2 enable MindWave to begin building the investor portal UI against the development environment. By the end of Phase 0, MindWave should be able to query token balances, view transaction history, and initiate transfers through the API, validating that the integration approach is sound before they invest in building the full portal.</w:t>
      </w:r>
    </w:p>
    <w:p>
      <w:pPr>
        <w:pStyle w:val="H3"/>
        <w:numPr>
          <w:ilvl w:val="2"/>
          <w:numId w:val="1"/>
        </w:numPr>
      </w:pPr>
      <w:r>
        <w:t>Phase 1: SPC Fleet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9"/>
        <w:gridCol w:w="696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Objective</w:t>
            </w:r>
          </w:p>
        </w:tc>
        <w:tc>
          <w:tcPr>
            <w:tcW w:type="dxa" w:w="4873"/>
            <w:vAlign w:val="center"/>
          </w:tcPr>
          <w:p>
            <w:pPr>
              <w:spacing w:line="276" w:lineRule="auto" w:before="0" w:after="0"/>
            </w:pPr>
            <w:r/>
            <w:r>
              <w:rPr>
                <w:rFonts w:ascii="Figtree" w:hAnsi="Figtree"/>
                <w:b w:val="0"/>
                <w:i w:val="0"/>
                <w:sz w:val="20"/>
              </w:rPr>
              <w:t>Deploy remaining SPCs, configure compliance per entity, set up yield distribution, onboard initial investors</w:t>
            </w:r>
          </w:p>
        </w:tc>
      </w:tr>
      <w:tr>
        <w:trPr>
          <w:trHeight w:val="425" w:hRule="atLeast"/>
        </w:trPr>
        <w:tc>
          <w:tcPr>
            <w:tcW w:type="dxa" w:w="4873"/>
            <w:vAlign w:val="center"/>
          </w:tcPr>
          <w:p>
            <w:pPr>
              <w:spacing w:line="276" w:lineRule="auto" w:before="0" w:after="0"/>
            </w:pPr>
            <w:r/>
            <w:r>
              <w:rPr>
                <w:rFonts w:ascii="Figtree" w:hAnsi="Figtree"/>
                <w:b/>
                <w:i w:val="0"/>
                <w:sz w:val="20"/>
              </w:rPr>
              <w:t>Duration</w:t>
            </w:r>
          </w:p>
        </w:tc>
        <w:tc>
          <w:tcPr>
            <w:tcW w:type="dxa" w:w="4873"/>
            <w:vAlign w:val="center"/>
          </w:tcPr>
          <w:p>
            <w:pPr>
              <w:spacing w:line="276" w:lineRule="auto" w:before="0" w:after="0"/>
            </w:pPr>
            <w:r/>
            <w:r>
              <w:rPr>
                <w:rFonts w:ascii="Figtree" w:hAnsi="Figtree"/>
                <w:b w:val="0"/>
                <w:i w:val="0"/>
                <w:sz w:val="20"/>
              </w:rPr>
              <w:t>6 weeks (April to May 2026)</w:t>
            </w:r>
          </w:p>
        </w:tc>
      </w:tr>
      <w:tr>
        <w:trPr>
          <w:trHeight w:val="425" w:hRule="atLeast"/>
        </w:trPr>
        <w:tc>
          <w:tcPr>
            <w:tcW w:type="dxa" w:w="4873"/>
            <w:vAlign w:val="center"/>
          </w:tcPr>
          <w:p>
            <w:pPr>
              <w:spacing w:line="276" w:lineRule="auto" w:before="0" w:after="0"/>
            </w:pPr>
            <w:r/>
            <w:r>
              <w:rPr>
                <w:rFonts w:ascii="Figtree" w:hAnsi="Figtree"/>
                <w:b/>
                <w:i w:val="0"/>
                <w:sz w:val="20"/>
              </w:rPr>
              <w:t>Investment component</w:t>
            </w:r>
          </w:p>
        </w:tc>
        <w:tc>
          <w:tcPr>
            <w:tcW w:type="dxa" w:w="4873"/>
            <w:vAlign w:val="center"/>
          </w:tcPr>
          <w:p>
            <w:pPr>
              <w:spacing w:line="276" w:lineRule="auto" w:before="0" w:after="0"/>
            </w:pPr>
            <w:r/>
            <w:r>
              <w:rPr>
                <w:rFonts w:ascii="Figtree" w:hAnsi="Figtree"/>
                <w:b/>
                <w:i w:val="0"/>
                <w:sz w:val="20"/>
              </w:rPr>
              <w:t>[TO CONFIRM]</w:t>
            </w:r>
            <w:r>
              <w:rPr>
                <w:rFonts w:ascii="Figtree" w:hAnsi="Figtree"/>
                <w:b w:val="0"/>
                <w:i w:val="0"/>
                <w:sz w:val="20"/>
              </w:rPr>
              <w:t xml:space="preserve"> — included in overall implementation investment</w:t>
            </w:r>
          </w:p>
        </w:tc>
      </w:tr>
    </w:tbl>
    <w:p>
      <w:pPr>
        <w:spacing w:before="0" w:after="0" w:line="120" w:lineRule="exact"/>
      </w:pPr>
    </w:p>
    <w:p>
      <w:r>
        <w:rPr>
          <w:rFonts w:ascii="Figtree" w:hAnsi="Figtree"/>
          <w:b/>
          <w:i w:val="0"/>
          <w:sz w:val="22"/>
        </w:rPr>
        <w:t>Key activities:</w:t>
      </w:r>
    </w:p>
    <w:p>
      <w:pPr>
        <w:pStyle w:val="ListParagraph"/>
        <w:numPr>
          <w:ilvl w:val="0"/>
          <w:numId w:val="4"/>
        </w:numPr>
      </w:pPr>
      <w:r>
        <w:rPr>
          <w:rFonts w:ascii="Figtree" w:hAnsi="Figtree"/>
          <w:b w:val="0"/>
          <w:i w:val="0"/>
          <w:sz w:val="22"/>
        </w:rPr>
        <w:t>Bulk deployment of remaining 55 to 57 SPC equity tokens via scripted `createEquity()` calls</w:t>
      </w:r>
    </w:p>
    <w:p>
      <w:pPr>
        <w:pStyle w:val="ListParagraph"/>
        <w:numPr>
          <w:ilvl w:val="0"/>
          <w:numId w:val="4"/>
        </w:numPr>
      </w:pPr>
      <w:r>
        <w:rPr>
          <w:rFonts w:ascii="Figtree" w:hAnsi="Figtree"/>
          <w:b w:val="0"/>
          <w:i w:val="0"/>
          <w:sz w:val="22"/>
        </w:rPr>
        <w:t>Configure compliance modules per SPC where jurisdiction-specific rules vary from the standard template</w:t>
      </w:r>
    </w:p>
    <w:p>
      <w:pPr>
        <w:pStyle w:val="ListParagraph"/>
        <w:numPr>
          <w:ilvl w:val="0"/>
          <w:numId w:val="4"/>
        </w:numPr>
      </w:pPr>
      <w:r>
        <w:rPr>
          <w:rFonts w:ascii="Figtree" w:hAnsi="Figtree"/>
          <w:b w:val="0"/>
          <w:i w:val="0"/>
          <w:sz w:val="22"/>
        </w:rPr>
        <w:t>Set up yield distribution mechanism for SPC dividends using DALP's airdrop and fixed yield schedule capabilities</w:t>
      </w:r>
    </w:p>
    <w:p>
      <w:pPr>
        <w:pStyle w:val="ListParagraph"/>
        <w:numPr>
          <w:ilvl w:val="0"/>
          <w:numId w:val="4"/>
        </w:numPr>
      </w:pPr>
      <w:r>
        <w:rPr>
          <w:rFonts w:ascii="Figtree" w:hAnsi="Figtree"/>
          <w:b w:val="0"/>
          <w:i w:val="0"/>
          <w:sz w:val="22"/>
        </w:rPr>
        <w:t>Onboard 5 investors: identity verification, wallet setup, claim issuance via OnchainID</w:t>
      </w:r>
    </w:p>
    <w:p>
      <w:pPr>
        <w:pStyle w:val="ListParagraph"/>
        <w:numPr>
          <w:ilvl w:val="0"/>
          <w:numId w:val="4"/>
        </w:numPr>
      </w:pPr>
      <w:r>
        <w:rPr>
          <w:rFonts w:ascii="Figtree" w:hAnsi="Figtree"/>
          <w:b w:val="0"/>
          <w:i w:val="0"/>
          <w:sz w:val="22"/>
        </w:rPr>
        <w:t>Integration testing: minting, transfers, compliance enforcement checks across all 60 SPCs</w:t>
      </w:r>
    </w:p>
    <w:p>
      <w:pPr>
        <w:pStyle w:val="ListParagraph"/>
        <w:numPr>
          <w:ilvl w:val="0"/>
          <w:numId w:val="4"/>
        </w:numPr>
      </w:pPr>
      <w:r>
        <w:rPr>
          <w:rFonts w:ascii="Figtree" w:hAnsi="Figtree"/>
          <w:b w:val="0"/>
          <w:i w:val="0"/>
          <w:sz w:val="22"/>
        </w:rPr>
        <w:t>MindWave delivers investor portal MVP with connectivity to DALP APIs</w:t>
      </w:r>
    </w:p>
    <w:p>
      <w:pPr>
        <w:pStyle w:val="ListParagraph"/>
        <w:numPr>
          <w:ilvl w:val="0"/>
          <w:numId w:val="4"/>
        </w:numPr>
      </w:pPr>
      <w:r>
        <w:rPr>
          <w:rFonts w:ascii="Figtree" w:hAnsi="Figtree"/>
          <w:b w:val="0"/>
          <w:i w:val="0"/>
          <w:sz w:val="22"/>
        </w:rPr>
        <w:t>SPC metadata mapping: vessel details (IMO number, vessel class, flag state, charter party details) linked to corresponding equity tokens</w:t>
      </w:r>
    </w:p>
    <w:p>
      <w:r>
        <w:rPr>
          <w:rFonts w:ascii="Figtree" w:hAnsi="Figtree"/>
          <w:b/>
          <w:i w:val="0"/>
          <w:sz w:val="22"/>
        </w:rPr>
        <w:t>Deliverables:</w:t>
      </w:r>
    </w:p>
    <w:p>
      <w:pPr>
        <w:pStyle w:val="ListParagraph"/>
        <w:numPr>
          <w:ilvl w:val="0"/>
          <w:numId w:val="4"/>
        </w:numPr>
      </w:pPr>
      <w:r>
        <w:rPr>
          <w:rFonts w:ascii="Figtree" w:hAnsi="Figtree"/>
          <w:b w:val="0"/>
          <w:i w:val="0"/>
          <w:sz w:val="22"/>
        </w:rPr>
        <w:t>All 60+ SPC equity tokens deployed and configured</w:t>
      </w:r>
    </w:p>
    <w:p>
      <w:pPr>
        <w:pStyle w:val="ListParagraph"/>
        <w:numPr>
          <w:ilvl w:val="0"/>
          <w:numId w:val="4"/>
        </w:numPr>
      </w:pPr>
      <w:r>
        <w:rPr>
          <w:rFonts w:ascii="Figtree" w:hAnsi="Figtree"/>
          <w:b w:val="0"/>
          <w:i w:val="0"/>
          <w:sz w:val="22"/>
        </w:rPr>
        <w:t>Yield distribution mechanism operational</w:t>
      </w:r>
    </w:p>
    <w:p>
      <w:pPr>
        <w:pStyle w:val="ListParagraph"/>
        <w:numPr>
          <w:ilvl w:val="0"/>
          <w:numId w:val="4"/>
        </w:numPr>
      </w:pPr>
      <w:r>
        <w:rPr>
          <w:rFonts w:ascii="Figtree" w:hAnsi="Figtree"/>
          <w:b w:val="0"/>
          <w:i w:val="0"/>
          <w:sz w:val="22"/>
        </w:rPr>
        <w:t>5 investor identities verified and registered in the identity registry</w:t>
      </w:r>
    </w:p>
    <w:p>
      <w:pPr>
        <w:pStyle w:val="ListParagraph"/>
        <w:numPr>
          <w:ilvl w:val="0"/>
          <w:numId w:val="4"/>
        </w:numPr>
      </w:pPr>
      <w:r>
        <w:rPr>
          <w:rFonts w:ascii="Figtree" w:hAnsi="Figtree"/>
          <w:b w:val="0"/>
          <w:i w:val="0"/>
          <w:sz w:val="22"/>
        </w:rPr>
        <w:t>Integration test results across all SPCs</w:t>
      </w:r>
    </w:p>
    <w:p>
      <w:pPr>
        <w:pStyle w:val="ListParagraph"/>
        <w:numPr>
          <w:ilvl w:val="0"/>
          <w:numId w:val="4"/>
        </w:numPr>
      </w:pPr>
      <w:r>
        <w:rPr>
          <w:rFonts w:ascii="Figtree" w:hAnsi="Figtree"/>
          <w:b w:val="0"/>
          <w:i w:val="0"/>
          <w:sz w:val="22"/>
        </w:rPr>
        <w:t>MindWave investor portal MVP (MindWave deliverable, not SettleMint)</w:t>
      </w:r>
    </w:p>
    <w:p>
      <w:r>
        <w:rPr>
          <w:rFonts w:ascii="Figtree" w:hAnsi="Figtree"/>
          <w:b/>
          <w:i w:val="0"/>
          <w:sz w:val="22"/>
        </w:rPr>
        <w:t>Acceptance gate:</w:t>
      </w:r>
      <w:r>
        <w:rPr>
          <w:rFonts w:ascii="Figtree" w:hAnsi="Figtree"/>
          <w:b w:val="0"/>
          <w:i w:val="0"/>
          <w:sz w:val="22"/>
        </w:rPr>
        <w:t xml:space="preserve"> All 60 SPC tokens deployed, compliance modules enforce correctly per SPC, at least 1 SPC has minted tokens distributed to verified investors, yield distribution tested end-to-end.</w:t>
      </w:r>
    </w:p>
    <w:p>
      <w:pPr>
        <w:pStyle w:val="H3"/>
        <w:numPr>
          <w:ilvl w:val="2"/>
          <w:numId w:val="1"/>
        </w:numPr>
      </w:pPr>
      <w:r>
        <w:t>Phase 1 Detailed Activities</w:t>
      </w:r>
    </w:p>
    <w:p>
      <w:r>
        <w:rPr>
          <w:rFonts w:ascii="Figtree" w:hAnsi="Figtree"/>
          <w:b/>
          <w:i w:val="0"/>
          <w:sz w:val="22"/>
        </w:rPr>
        <w:t>Week 1-2: Bulk Deployment Preparation</w:t>
      </w:r>
    </w:p>
    <w:p>
      <w:r>
        <w:rPr>
          <w:rFonts w:ascii="Figtree" w:hAnsi="Figtree"/>
          <w:b w:val="0"/>
          <w:i w:val="0"/>
          <w:sz w:val="22"/>
        </w:rPr>
        <w:t>Before the bulk deployment of the remaining 55 to 57 SPCs begins, several preparatory activities must be completed. First, the SPC data template must be populated with vessel details for all 60 SPCs: IMO number, vessel name, vessel class, flag state, gross tonnage, year built, charter party details (if applicable), and the SPC's jurisdiction of incorporation. This data is used to populate the token metadata for each SPC equity token.</w:t>
      </w:r>
    </w:p>
    <w:p>
      <w:r>
        <w:rPr>
          <w:rFonts w:ascii="Figtree" w:hAnsi="Figtree"/>
          <w:b w:val="0"/>
          <w:i w:val="0"/>
          <w:sz w:val="22"/>
        </w:rPr>
        <w:t>Second, the compliance template established during Phase 0 is reviewed against each SPC to identify any variations. Most SPCs will conform to the standard template, but any SPCs with unique investor jurisdictions, unusual financing structures, or flag states with specific regulatory requirements must be flagged for custom compliance configuration.</w:t>
      </w:r>
    </w:p>
    <w:p>
      <w:r>
        <w:rPr>
          <w:rFonts w:ascii="Figtree" w:hAnsi="Figtree"/>
          <w:b w:val="0"/>
          <w:i w:val="0"/>
          <w:sz w:val="22"/>
        </w:rPr>
        <w:t>Third, the scripting infrastructure for bulk deployment is validated. The `createEquity()` function is designed to be called programmatically, enabling automated SPC deployment. The scripts must be tested against the development environment before they are run against production.</w:t>
      </w:r>
    </w:p>
    <w:p>
      <w:r>
        <w:rPr>
          <w:rFonts w:ascii="Figtree" w:hAnsi="Figtree"/>
          <w:b/>
          <w:i w:val="0"/>
          <w:sz w:val="22"/>
        </w:rPr>
        <w:t>Week 3-4: Bulk Deployment Execution</w:t>
      </w:r>
    </w:p>
    <w:p>
      <w:r>
        <w:rPr>
          <w:rFonts w:ascii="Figtree" w:hAnsi="Figtree"/>
          <w:b w:val="0"/>
          <w:i w:val="0"/>
          <w:sz w:val="22"/>
        </w:rPr>
        <w:t>The bulk deployment is executed in batches. Rather than deploying all 55 remaining SPCs simultaneously, the deployment proceeds in groups of 10 to 15, with validation checkpoints between batches. This approach ensures that any deployment issues are caught early and do not propagate across the entire fleet.</w:t>
      </w:r>
    </w:p>
    <w:p>
      <w:r>
        <w:rPr>
          <w:rFonts w:ascii="Figtree" w:hAnsi="Figtree"/>
          <w:b w:val="0"/>
          <w:i w:val="0"/>
          <w:sz w:val="22"/>
        </w:rPr>
        <w:t>For each batch: the SPC data is ingested, the compliance modules are configured (standard template for most SPCs, custom modules for any variations), the token contract is deployed via `createEquity()`, the token metadata is populated, and the deployment is validated through a smoke test that confirms the contract exists, the compliance modules are active, and the token is queryable via the API.</w:t>
      </w:r>
    </w:p>
    <w:p>
      <w:r>
        <w:rPr>
          <w:rFonts w:ascii="Figtree" w:hAnsi="Figtree"/>
          <w:b w:val="0"/>
          <w:i w:val="0"/>
          <w:sz w:val="22"/>
        </w:rPr>
        <w:t>By the end of Week 4, all 60 SPC equity tokens should be deployed and operational in the production environment.</w:t>
      </w:r>
    </w:p>
    <w:p>
      <w:r>
        <w:rPr>
          <w:rFonts w:ascii="Figtree" w:hAnsi="Figtree"/>
          <w:b/>
          <w:i w:val="0"/>
          <w:sz w:val="22"/>
        </w:rPr>
        <w:t>Week 5-6: Yield Distribution and Integration Testing</w:t>
      </w:r>
    </w:p>
    <w:p>
      <w:r>
        <w:rPr>
          <w:rFonts w:ascii="Figtree" w:hAnsi="Figtree"/>
          <w:b w:val="0"/>
          <w:i w:val="0"/>
          <w:sz w:val="22"/>
        </w:rPr>
        <w:t>The yield distribution mechanism uses DALP's airdrop capability to distribute SPC dividends to token holders. When an SPC generates distributable income (from charter hire, vessel sale proceeds, or other sources), the yield distribution process begins at Neptune's instruction: the distribution amount and per-token allocation are specified, DALP's airdrop function calculates the allocation for each token holder based on their token balance at the snapshot date, and the tokens are distributed to all eligible holders in a single atomic transaction.</w:t>
      </w:r>
    </w:p>
    <w:p>
      <w:r>
        <w:rPr>
          <w:rFonts w:ascii="Figtree" w:hAnsi="Figtree"/>
          <w:b w:val="0"/>
          <w:i w:val="0"/>
          <w:sz w:val="22"/>
        </w:rPr>
        <w:t>For the pilot yield distribution, Neptune specifies a nominal distribution to validate the mechanism end-to-end. The actual distribution amounts will vary by SPC based on their individual financial performance, but the mechanism is proven through the pilot.</w:t>
      </w:r>
    </w:p>
    <w:p>
      <w:r>
        <w:rPr>
          <w:rFonts w:ascii="Figtree" w:hAnsi="Figtree"/>
          <w:b w:val="0"/>
          <w:i w:val="0"/>
          <w:sz w:val="22"/>
        </w:rPr>
        <w:t>Simultaneously, MindWave completes the investor portal MVP. The MVP includes: investor login and identity verification, a dashboard showing the investor's token holdings across all SPCs they participate in, transaction history for each SPC, yield distribution notifications and history, and basic compliance status indicators. The MVP connects to DALP via the API, polling for updates and displaying real-time data.</w:t>
      </w:r>
    </w:p>
    <w:p>
      <w:r>
        <w:rPr>
          <w:rFonts w:ascii="Figtree" w:hAnsi="Figtree"/>
          <w:b w:val="0"/>
          <w:i w:val="0"/>
          <w:sz w:val="22"/>
        </w:rPr>
        <w:t>Integration testing across all 60 SPCs validates that: minting works across all contracts, transfers are correctly processed and compliance-checked, yield distributions reach all eligible holders, the API responds correctly under load, and the MindWave investor portal correctly reflects on-chain state.</w:t>
      </w:r>
    </w:p>
    <w:p>
      <w:pPr>
        <w:pStyle w:val="H3"/>
        <w:numPr>
          <w:ilvl w:val="2"/>
          <w:numId w:val="1"/>
        </w:numPr>
      </w:pPr>
      <w:r>
        <w:t>Phase 2: Posidonia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9"/>
        <w:gridCol w:w="58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Objective</w:t>
            </w:r>
          </w:p>
        </w:tc>
        <w:tc>
          <w:tcPr>
            <w:tcW w:type="dxa" w:w="4873"/>
            <w:vAlign w:val="center"/>
          </w:tcPr>
          <w:p>
            <w:pPr>
              <w:spacing w:line="276" w:lineRule="auto" w:before="0" w:after="0"/>
            </w:pPr>
            <w:r/>
            <w:r>
              <w:rPr>
                <w:rFonts w:ascii="Figtree" w:hAnsi="Figtree"/>
                <w:b w:val="0"/>
                <w:i w:val="0"/>
                <w:sz w:val="20"/>
              </w:rPr>
              <w:t>Production readiness for Posidonia announcement</w:t>
            </w:r>
          </w:p>
        </w:tc>
      </w:tr>
      <w:tr>
        <w:trPr>
          <w:trHeight w:val="425" w:hRule="atLeast"/>
        </w:trPr>
        <w:tc>
          <w:tcPr>
            <w:tcW w:type="dxa" w:w="4873"/>
            <w:vAlign w:val="center"/>
          </w:tcPr>
          <w:p>
            <w:pPr>
              <w:spacing w:line="276" w:lineRule="auto" w:before="0" w:after="0"/>
            </w:pPr>
            <w:r/>
            <w:r>
              <w:rPr>
                <w:rFonts w:ascii="Figtree" w:hAnsi="Figtree"/>
                <w:b/>
                <w:i w:val="0"/>
                <w:sz w:val="20"/>
              </w:rPr>
              <w:t>Duration</w:t>
            </w:r>
          </w:p>
        </w:tc>
        <w:tc>
          <w:tcPr>
            <w:tcW w:type="dxa" w:w="4873"/>
            <w:vAlign w:val="center"/>
          </w:tcPr>
          <w:p>
            <w:pPr>
              <w:spacing w:line="276" w:lineRule="auto" w:before="0" w:after="0"/>
            </w:pPr>
            <w:r/>
            <w:r>
              <w:rPr>
                <w:rFonts w:ascii="Figtree" w:hAnsi="Figtree"/>
                <w:b w:val="0"/>
                <w:i w:val="0"/>
                <w:sz w:val="20"/>
              </w:rPr>
              <w:t>2 to 3 weeks (late May to early June 2026)</w:t>
            </w:r>
          </w:p>
        </w:tc>
      </w:tr>
      <w:tr>
        <w:trPr>
          <w:trHeight w:val="425" w:hRule="atLeast"/>
        </w:trPr>
        <w:tc>
          <w:tcPr>
            <w:tcW w:type="dxa" w:w="4873"/>
            <w:vAlign w:val="center"/>
          </w:tcPr>
          <w:p>
            <w:pPr>
              <w:spacing w:line="276" w:lineRule="auto" w:before="0" w:after="0"/>
            </w:pPr>
            <w:r/>
            <w:r>
              <w:rPr>
                <w:rFonts w:ascii="Figtree" w:hAnsi="Figtree"/>
                <w:b/>
                <w:i w:val="0"/>
                <w:sz w:val="20"/>
              </w:rPr>
              <w:t>Investment component</w:t>
            </w:r>
          </w:p>
        </w:tc>
        <w:tc>
          <w:tcPr>
            <w:tcW w:type="dxa" w:w="4873"/>
            <w:vAlign w:val="center"/>
          </w:tcPr>
          <w:p>
            <w:pPr>
              <w:spacing w:line="276" w:lineRule="auto" w:before="0" w:after="0"/>
            </w:pPr>
            <w:r/>
            <w:r>
              <w:rPr>
                <w:rFonts w:ascii="Figtree" w:hAnsi="Figtree"/>
                <w:b w:val="0"/>
                <w:i w:val="0"/>
                <w:sz w:val="20"/>
              </w:rPr>
              <w:t>Included in production platform license</w:t>
            </w:r>
          </w:p>
        </w:tc>
      </w:tr>
    </w:tbl>
    <w:p>
      <w:pPr>
        <w:spacing w:before="0" w:after="0" w:line="120" w:lineRule="exact"/>
      </w:pPr>
    </w:p>
    <w:p>
      <w:r>
        <w:rPr>
          <w:rFonts w:ascii="Figtree" w:hAnsi="Figtree"/>
          <w:b/>
          <w:i w:val="0"/>
          <w:sz w:val="22"/>
        </w:rPr>
        <w:t>Key activities:</w:t>
      </w:r>
    </w:p>
    <w:p>
      <w:pPr>
        <w:pStyle w:val="ListParagraph"/>
        <w:numPr>
          <w:ilvl w:val="0"/>
          <w:numId w:val="4"/>
        </w:numPr>
      </w:pPr>
      <w:r>
        <w:rPr>
          <w:rFonts w:ascii="Figtree" w:hAnsi="Figtree"/>
          <w:b w:val="0"/>
          <w:i w:val="0"/>
          <w:sz w:val="22"/>
        </w:rPr>
        <w:t>Final production validation across all 60 SPCs</w:t>
      </w:r>
    </w:p>
    <w:p>
      <w:pPr>
        <w:pStyle w:val="ListParagraph"/>
        <w:numPr>
          <w:ilvl w:val="0"/>
          <w:numId w:val="4"/>
        </w:numPr>
      </w:pPr>
      <w:r>
        <w:rPr>
          <w:rFonts w:ascii="Figtree" w:hAnsi="Figtree"/>
          <w:b w:val="0"/>
          <w:i w:val="0"/>
          <w:sz w:val="22"/>
        </w:rPr>
        <w:t>Investor portal functional testing and polish</w:t>
      </w:r>
    </w:p>
    <w:p>
      <w:pPr>
        <w:pStyle w:val="ListParagraph"/>
        <w:numPr>
          <w:ilvl w:val="0"/>
          <w:numId w:val="4"/>
        </w:numPr>
      </w:pPr>
      <w:r>
        <w:rPr>
          <w:rFonts w:ascii="Figtree" w:hAnsi="Figtree"/>
          <w:b w:val="0"/>
          <w:i w:val="0"/>
          <w:sz w:val="22"/>
        </w:rPr>
        <w:t>At least 1 SPC with minted tokens, active investors, and a completed distribution cycle</w:t>
      </w:r>
    </w:p>
    <w:p>
      <w:pPr>
        <w:pStyle w:val="ListParagraph"/>
        <w:numPr>
          <w:ilvl w:val="0"/>
          <w:numId w:val="4"/>
        </w:numPr>
      </w:pPr>
      <w:r>
        <w:rPr>
          <w:rFonts w:ascii="Figtree" w:hAnsi="Figtree"/>
          <w:b w:val="0"/>
          <w:i w:val="0"/>
          <w:sz w:val="22"/>
        </w:rPr>
        <w:t>Announcement preparation: scope, supporting materials, demo readiness</w:t>
      </w:r>
    </w:p>
    <w:p>
      <w:pPr>
        <w:pStyle w:val="ListParagraph"/>
        <w:numPr>
          <w:ilvl w:val="0"/>
          <w:numId w:val="4"/>
        </w:numPr>
      </w:pPr>
      <w:r>
        <w:rPr>
          <w:rFonts w:ascii="Figtree" w:hAnsi="Figtree"/>
          <w:b w:val="0"/>
          <w:i w:val="0"/>
          <w:sz w:val="22"/>
        </w:rPr>
        <w:t>Hypercare support activation for the Posidonia period</w:t>
      </w:r>
    </w:p>
    <w:p>
      <w:r>
        <w:rPr>
          <w:rFonts w:ascii="Figtree" w:hAnsi="Figtree"/>
          <w:b/>
          <w:i w:val="0"/>
          <w:sz w:val="22"/>
        </w:rPr>
        <w:t>Deliverables:</w:t>
      </w:r>
    </w:p>
    <w:p>
      <w:pPr>
        <w:pStyle w:val="ListParagraph"/>
        <w:numPr>
          <w:ilvl w:val="0"/>
          <w:numId w:val="4"/>
        </w:numPr>
      </w:pPr>
      <w:r>
        <w:rPr>
          <w:rFonts w:ascii="Figtree" w:hAnsi="Figtree"/>
          <w:b w:val="0"/>
          <w:i w:val="0"/>
          <w:sz w:val="22"/>
        </w:rPr>
        <w:t>All 60 SPCs live in production</w:t>
      </w:r>
    </w:p>
    <w:p>
      <w:pPr>
        <w:pStyle w:val="ListParagraph"/>
        <w:numPr>
          <w:ilvl w:val="0"/>
          <w:numId w:val="4"/>
        </w:numPr>
      </w:pPr>
      <w:r>
        <w:rPr>
          <w:rFonts w:ascii="Figtree" w:hAnsi="Figtree"/>
          <w:b w:val="0"/>
          <w:i w:val="0"/>
          <w:sz w:val="22"/>
        </w:rPr>
        <w:t>Investor portal accessible to verified investors</w:t>
      </w:r>
    </w:p>
    <w:p>
      <w:pPr>
        <w:pStyle w:val="ListParagraph"/>
        <w:numPr>
          <w:ilvl w:val="0"/>
          <w:numId w:val="4"/>
        </w:numPr>
      </w:pPr>
      <w:r>
        <w:rPr>
          <w:rFonts w:ascii="Figtree" w:hAnsi="Figtree"/>
          <w:b w:val="0"/>
          <w:i w:val="0"/>
          <w:sz w:val="22"/>
        </w:rPr>
        <w:t>At least 1 SPC demonstrating full lifecycle (creation, minting, investor allocation, compliance enforcement, yield distribution)</w:t>
      </w:r>
    </w:p>
    <w:p>
      <w:pPr>
        <w:pStyle w:val="ListParagraph"/>
        <w:numPr>
          <w:ilvl w:val="0"/>
          <w:numId w:val="4"/>
        </w:numPr>
      </w:pPr>
      <w:r>
        <w:rPr>
          <w:rFonts w:ascii="Figtree" w:hAnsi="Figtree"/>
          <w:b w:val="0"/>
          <w:i w:val="0"/>
          <w:sz w:val="22"/>
        </w:rPr>
        <w:t>Posidonia announcement scope confirmed</w:t>
      </w:r>
    </w:p>
    <w:p>
      <w:r>
        <w:rPr>
          <w:rFonts w:ascii="Figtree" w:hAnsi="Figtree"/>
          <w:b/>
          <w:i w:val="0"/>
          <w:sz w:val="22"/>
        </w:rPr>
        <w:t>Acceptance gate:</w:t>
      </w:r>
      <w:r>
        <w:rPr>
          <w:rFonts w:ascii="Figtree" w:hAnsi="Figtree"/>
          <w:b w:val="0"/>
          <w:i w:val="0"/>
          <w:sz w:val="22"/>
        </w:rPr>
        <w:t xml:space="preserve"> Neptune is confident that the announcement is credible, the platform is operational, and a live demo can be conducted.</w:t>
      </w:r>
    </w:p>
    <w:p>
      <w:pPr>
        <w:pStyle w:val="H3"/>
        <w:numPr>
          <w:ilvl w:val="2"/>
          <w:numId w:val="1"/>
        </w:numPr>
      </w:pPr>
      <w:r>
        <w:t>What the Posidonia Announcement Will Demonstrate</w:t>
      </w:r>
    </w:p>
    <w:p>
      <w:r>
        <w:rPr>
          <w:rFonts w:ascii="Figtree" w:hAnsi="Figtree"/>
          <w:b w:val="0"/>
          <w:i w:val="0"/>
          <w:sz w:val="22"/>
        </w:rPr>
        <w:t>The Posidonia announcement is not just a press release. It is a live demonstration of a functioning digital asset infrastructure. For the announcement to be credible, several things must be operational and demonstrable.</w:t>
      </w:r>
    </w:p>
    <w:p>
      <w:pPr>
        <w:pStyle w:val="H3"/>
        <w:numPr>
          <w:ilvl w:val="2"/>
          <w:numId w:val="1"/>
        </w:numPr>
      </w:pPr>
      <w:r>
        <w:t>What Happens After Posidonia</w:t>
      </w:r>
    </w:p>
    <w:p>
      <w:r>
        <w:rPr>
          <w:rFonts w:ascii="Figtree" w:hAnsi="Figtree"/>
          <w:b w:val="0"/>
          <w:i w:val="0"/>
          <w:sz w:val="22"/>
        </w:rPr>
        <w:t>The Posidonia announcement is a milestone, not the finish line. Phase 3 begins immediately after Posidonia and focuses on scaling the tokenized fleet and expanding the investor base.</w:t>
      </w:r>
    </w:p>
    <w:p>
      <w:r>
        <w:rPr>
          <w:rFonts w:ascii="Figtree" w:hAnsi="Figtree"/>
          <w:b/>
          <w:i w:val="0"/>
          <w:sz w:val="22"/>
        </w:rPr>
        <w:t>Affiliate fleet expansion.</w:t>
      </w:r>
      <w:r>
        <w:rPr>
          <w:rFonts w:ascii="Figtree" w:hAnsi="Figtree"/>
          <w:b w:val="0"/>
          <w:i w:val="0"/>
          <w:sz w:val="22"/>
        </w:rPr>
        <w:t xml:space="preserve"> Neptune's vision includes expanding from 60 SPCs to 200 to 300 vessels across affiliate fleets. This expansion requires additional SPC deployment, new compliance configurations for any new jurisdictions, and integration with additional banking relationships. The DALP platform is designed for this scale; adding 200 additional SPCs is a configuration exercise, not a development project.</w:t>
      </w:r>
    </w:p>
    <w:p>
      <w:r>
        <w:rPr>
          <w:rFonts w:ascii="Figtree" w:hAnsi="Figtree"/>
          <w:b/>
          <w:i w:val="0"/>
          <w:sz w:val="22"/>
        </w:rPr>
        <w:t>Secondary trading capability.</w:t>
      </w:r>
      <w:r>
        <w:rPr>
          <w:rFonts w:ascii="Figtree" w:hAnsi="Figtree"/>
          <w:b w:val="0"/>
          <w:i w:val="0"/>
          <w:sz w:val="22"/>
        </w:rPr>
        <w:t xml:space="preserve"> As the investor base expands beyond the initial 5 investors, the need for secondary trading capability increases. Neptune may choose to integrate with a licensed exchange for secondary market trading, or operate a peer-to-peer transfer model where investors can transfer tokens directly to other verified investors. DALP supports both models through its compliance and settlement infrastructure.</w:t>
      </w:r>
    </w:p>
    <w:p>
      <w:r>
        <w:rPr>
          <w:rFonts w:ascii="Figtree" w:hAnsi="Figtree"/>
          <w:b/>
          <w:i w:val="0"/>
          <w:sz w:val="22"/>
        </w:rPr>
        <w:t>White-label potential.</w:t>
      </w:r>
      <w:r>
        <w:rPr>
          <w:rFonts w:ascii="Figtree" w:hAnsi="Figtree"/>
          <w:b w:val="0"/>
          <w:i w:val="0"/>
          <w:sz w:val="22"/>
        </w:rPr>
        <w:t xml:space="preserve"> Neptune's tokenization platform has potential as a white-label offering for other shipping companies. If other ship owners want to tokenize their fleets using Neptune's infrastructure, DALP's multi-tenant architecture can support this model. This is a strategic optionality that the Posidonia announcement enables but does not commit to.</w:t>
      </w:r>
    </w:p>
    <w:p>
      <w:pPr>
        <w:pStyle w:val="H3"/>
        <w:numPr>
          <w:ilvl w:val="2"/>
          <w:numId w:val="1"/>
        </w:numPr>
      </w:pPr>
      <w:r>
        <w:t>Why MindWave Is Critical to Success</w:t>
      </w:r>
    </w:p>
    <w:p>
      <w:r>
        <w:rPr>
          <w:rFonts w:ascii="Figtree" w:hAnsi="Figtree"/>
          <w:b w:val="0"/>
          <w:i w:val="0"/>
          <w:sz w:val="22"/>
        </w:rPr>
        <w:t>Neptune's partnership with MindWave is a strategic advantage that directly enables the Posidonia timeline. While SettleMint provides the platform infrastructure, MindWave provides the custom investor-facing application that makes the programme visible and usable.</w:t>
      </w:r>
    </w:p>
    <w:p>
      <w:r>
        <w:rPr>
          <w:rFonts w:ascii="Figtree" w:hAnsi="Figtree"/>
          <w:b w:val="0"/>
          <w:i w:val="0"/>
          <w:sz w:val="22"/>
        </w:rPr>
        <w:t>MindWave's responsibilities include: building the investor portal web application that Neptune's investors will use to view their holdings, execute transfers, and monitor distributions; integrating the investor portal with DALP's APIs to ensure real-time data synchronization; designing the user experience to meet the expectations of institutional maritime investors; and providing ongoing maintenance and enhancement of the investor portal post-launch.</w:t>
      </w:r>
    </w:p>
    <w:p>
      <w:r>
        <w:rPr>
          <w:rFonts w:ascii="Figtree" w:hAnsi="Figtree"/>
          <w:b w:val="0"/>
          <w:i w:val="0"/>
          <w:sz w:val="22"/>
        </w:rPr>
        <w:t>SettleMint's responsibility is to ensure that the APIs MindWave consumes are stable, well-documented, and responsive. SettleMint will provide a dedicated integration engineer during Phase 0 to support MindWave's development, including API documentation, sandbox environment access, and real-time support through the Premium support Slack channel.</w:t>
      </w:r>
    </w:p>
    <w:p>
      <w:r>
        <w:rPr>
          <w:rFonts w:ascii="Figtree" w:hAnsi="Figtree"/>
          <w:b w:val="0"/>
          <w:i w:val="0"/>
          <w:sz w:val="22"/>
        </w:rPr>
        <w:t>The division of responsibility is clear: SettleMint owns the platform; MindWave owns the portal. This separation is important because it means Neptune is not dependent on SettleMint for custom application development, and it means SettleMint can focus on platform reliability and compliance rather than UI/UX.</w:t>
      </w:r>
    </w:p>
    <w:p>
      <w:r>
        <w:rPr>
          <w:rFonts w:ascii="Figtree" w:hAnsi="Figtree"/>
          <w:b w:val="0"/>
          <w:i w:val="0"/>
          <w:sz w:val="22"/>
        </w:rPr>
        <w:t>First, all 60 SPC equity tokens must be deployed and accessible on-chain. Investors and attendees should be able to verify, using a blockchain explorer, that Neptune's SPC fleet exists as tokenized entities on the blockchain. This is not a demo environment or a test network; it is the production network where real transactions will occur.</w:t>
      </w:r>
    </w:p>
    <w:p>
      <w:r>
        <w:rPr>
          <w:rFonts w:ascii="Figtree" w:hAnsi="Figtree"/>
          <w:b w:val="0"/>
          <w:i w:val="0"/>
          <w:sz w:val="22"/>
        </w:rPr>
        <w:t>Second, at least one SPC must demonstrate a complete token lifecycle: token creation, initial minting and allocation to investors, compliance-enforced transfers (where investors can transfer tokens to other verified investors and see the compliance module automatically validate the transfer), and yield distribution (where the investor portal shows a dividend or distribution event that was executed through the platform).</w:t>
      </w:r>
    </w:p>
    <w:p>
      <w:r>
        <w:rPr>
          <w:rFonts w:ascii="Figtree" w:hAnsi="Figtree"/>
          <w:b w:val="0"/>
          <w:i w:val="0"/>
          <w:sz w:val="22"/>
        </w:rPr>
        <w:t>Third, the investor portal must be functional for the initial 5 investors. They should be able to log in, view their token holdings, see transaction history, and understand their compliance status. For Posidonia, a live demo with one of the initial investors would be the strongest possible validation of the platform's operational readiness.</w:t>
      </w:r>
    </w:p>
    <w:p>
      <w:r>
        <w:rPr>
          <w:rFonts w:ascii="Figtree" w:hAnsi="Figtree"/>
          <w:b w:val="0"/>
          <w:i w:val="0"/>
          <w:sz w:val="22"/>
        </w:rPr>
        <w:t>Fourth, the demo environment for Posidonia should show the administration view: how Neptune's team manages the fleet of 60 SPCs from a single console, how compliance is monitored, how new investors are onboarded, and how yield distributions are initiated. This is the operational capability that distinguishes a production system from a proof-of-concept.</w:t>
      </w:r>
    </w:p>
    <w:p>
      <w:pPr>
        <w:pStyle w:val="H3"/>
        <w:numPr>
          <w:ilvl w:val="2"/>
          <w:numId w:val="1"/>
        </w:numPr>
      </w:pPr>
      <w:r>
        <w:t>Phase 3: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66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Objective</w:t>
            </w:r>
          </w:p>
        </w:tc>
        <w:tc>
          <w:tcPr>
            <w:tcW w:type="dxa" w:w="4873"/>
            <w:vAlign w:val="center"/>
          </w:tcPr>
          <w:p>
            <w:pPr>
              <w:spacing w:line="276" w:lineRule="auto" w:before="0" w:after="0"/>
            </w:pPr>
            <w:r/>
            <w:r>
              <w:rPr>
                <w:rFonts w:ascii="Figtree" w:hAnsi="Figtree"/>
                <w:b w:val="0"/>
                <w:i w:val="0"/>
                <w:sz w:val="20"/>
              </w:rPr>
              <w:t>Expand to affiliate fleet, enable secondary trading, explore white-label potential</w:t>
            </w:r>
          </w:p>
        </w:tc>
      </w:tr>
      <w:tr>
        <w:trPr>
          <w:trHeight w:val="425" w:hRule="atLeast"/>
        </w:trPr>
        <w:tc>
          <w:tcPr>
            <w:tcW w:type="dxa" w:w="4873"/>
            <w:vAlign w:val="center"/>
          </w:tcPr>
          <w:p>
            <w:pPr>
              <w:spacing w:line="276" w:lineRule="auto" w:before="0" w:after="0"/>
            </w:pPr>
            <w:r/>
            <w:r>
              <w:rPr>
                <w:rFonts w:ascii="Figtree" w:hAnsi="Figtree"/>
                <w:b/>
                <w:i w:val="0"/>
                <w:sz w:val="20"/>
              </w:rPr>
              <w:t>Duration</w:t>
            </w:r>
          </w:p>
        </w:tc>
        <w:tc>
          <w:tcPr>
            <w:tcW w:type="dxa" w:w="4873"/>
            <w:vAlign w:val="center"/>
          </w:tcPr>
          <w:p>
            <w:pPr>
              <w:spacing w:line="276" w:lineRule="auto" w:before="0" w:after="0"/>
            </w:pPr>
            <w:r/>
            <w:r>
              <w:rPr>
                <w:rFonts w:ascii="Figtree" w:hAnsi="Figtree"/>
                <w:b w:val="0"/>
                <w:i w:val="0"/>
                <w:sz w:val="20"/>
              </w:rPr>
              <w:t>Post-Posidonia, ongoing</w:t>
            </w:r>
          </w:p>
        </w:tc>
      </w:tr>
      <w:tr>
        <w:trPr>
          <w:trHeight w:val="425" w:hRule="atLeast"/>
        </w:trPr>
        <w:tc>
          <w:tcPr>
            <w:tcW w:type="dxa" w:w="4873"/>
            <w:vAlign w:val="center"/>
          </w:tcPr>
          <w:p>
            <w:pPr>
              <w:spacing w:line="276" w:lineRule="auto" w:before="0" w:after="0"/>
            </w:pPr>
            <w:r/>
            <w:r>
              <w:rPr>
                <w:rFonts w:ascii="Figtree" w:hAnsi="Figtree"/>
                <w:b/>
                <w:i w:val="0"/>
                <w:sz w:val="20"/>
              </w:rPr>
              <w:t>Investment component</w:t>
            </w:r>
          </w:p>
        </w:tc>
        <w:tc>
          <w:tcPr>
            <w:tcW w:type="dxa" w:w="4873"/>
            <w:vAlign w:val="center"/>
          </w:tcPr>
          <w:p>
            <w:pPr>
              <w:spacing w:line="276" w:lineRule="auto" w:before="0" w:after="0"/>
            </w:pPr>
            <w:r/>
            <w:r>
              <w:rPr>
                <w:rFonts w:ascii="Figtree" w:hAnsi="Figtree"/>
                <w:b w:val="0"/>
                <w:i w:val="0"/>
                <w:sz w:val="20"/>
              </w:rPr>
              <w:t xml:space="preserve">Production platform license + additional implementation scope as needed </w:t>
            </w:r>
            <w:r>
              <w:rPr>
                <w:rFonts w:ascii="Figtree" w:hAnsi="Figtree"/>
                <w:b/>
                <w:i w:val="0"/>
                <w:sz w:val="20"/>
              </w:rPr>
              <w:t>[TO CONFIRM]</w:t>
            </w:r>
          </w:p>
        </w:tc>
      </w:tr>
    </w:tbl>
    <w:p>
      <w:pPr>
        <w:spacing w:before="0" w:after="0" w:line="120" w:lineRule="exact"/>
      </w:pPr>
    </w:p>
    <w:p>
      <w:r>
        <w:rPr>
          <w:rFonts w:ascii="Figtree" w:hAnsi="Figtree"/>
          <w:b/>
          <w:i w:val="0"/>
          <w:sz w:val="22"/>
        </w:rPr>
        <w:t>Key activities:</w:t>
      </w:r>
    </w:p>
    <w:p>
      <w:pPr>
        <w:pStyle w:val="ListParagraph"/>
        <w:numPr>
          <w:ilvl w:val="0"/>
          <w:numId w:val="4"/>
        </w:numPr>
      </w:pPr>
      <w:r>
        <w:rPr>
          <w:rFonts w:ascii="Figtree" w:hAnsi="Figtree"/>
          <w:b w:val="0"/>
          <w:i w:val="0"/>
          <w:sz w:val="22"/>
        </w:rPr>
        <w:t>Extend tokenization to affiliate fleet (200 to 300 additional vessels)</w:t>
      </w:r>
    </w:p>
    <w:p>
      <w:pPr>
        <w:pStyle w:val="ListParagraph"/>
        <w:numPr>
          <w:ilvl w:val="0"/>
          <w:numId w:val="4"/>
        </w:numPr>
      </w:pPr>
      <w:r>
        <w:rPr>
          <w:rFonts w:ascii="Figtree" w:hAnsi="Figtree"/>
          <w:b w:val="0"/>
          <w:i w:val="0"/>
          <w:sz w:val="22"/>
        </w:rPr>
        <w:t>Develop secondary trading capability (transfer approval workflows, potential integration with licensed exchange)</w:t>
      </w:r>
    </w:p>
    <w:p>
      <w:pPr>
        <w:pStyle w:val="ListParagraph"/>
        <w:numPr>
          <w:ilvl w:val="0"/>
          <w:numId w:val="4"/>
        </w:numPr>
      </w:pPr>
      <w:r>
        <w:rPr>
          <w:rFonts w:ascii="Figtree" w:hAnsi="Figtree"/>
          <w:b w:val="0"/>
          <w:i w:val="0"/>
          <w:sz w:val="22"/>
        </w:rPr>
        <w:t>Add fleet-level fund tokens for aggregate exposure products</w:t>
      </w:r>
    </w:p>
    <w:p>
      <w:pPr>
        <w:pStyle w:val="ListParagraph"/>
        <w:numPr>
          <w:ilvl w:val="0"/>
          <w:numId w:val="4"/>
        </w:numPr>
      </w:pPr>
      <w:r>
        <w:rPr>
          <w:rFonts w:ascii="Figtree" w:hAnsi="Figtree"/>
          <w:b w:val="0"/>
          <w:i w:val="0"/>
          <w:sz w:val="22"/>
        </w:rPr>
        <w:t>Explore corporate instrument issuance at the holding company level</w:t>
      </w:r>
    </w:p>
    <w:p>
      <w:pPr>
        <w:pStyle w:val="ListParagraph"/>
        <w:numPr>
          <w:ilvl w:val="0"/>
          <w:numId w:val="4"/>
        </w:numPr>
      </w:pPr>
      <w:r>
        <w:rPr>
          <w:rFonts w:ascii="Figtree" w:hAnsi="Figtree"/>
          <w:b w:val="0"/>
          <w:i w:val="0"/>
          <w:sz w:val="22"/>
        </w:rPr>
        <w:t>Evaluate white-label platform model for other shipping companies</w:t>
      </w:r>
    </w:p>
    <w:p>
      <w:pPr>
        <w:pStyle w:val="ListParagraph"/>
        <w:numPr>
          <w:ilvl w:val="0"/>
          <w:numId w:val="4"/>
        </w:numPr>
      </w:pPr>
      <w:r>
        <w:rPr>
          <w:rFonts w:ascii="Figtree" w:hAnsi="Figtree"/>
          <w:b w:val="0"/>
          <w:i w:val="0"/>
          <w:sz w:val="22"/>
        </w:rPr>
        <w:t>Expand investor base beyond initial 5</w:t>
      </w:r>
    </w:p>
    <w:p>
      <w:r>
        <w:rPr>
          <w:rFonts w:ascii="Figtree" w:hAnsi="Figtree"/>
          <w:b/>
          <w:i w:val="0"/>
          <w:sz w:val="22"/>
        </w:rPr>
        <w:t>Deliverables:</w:t>
      </w:r>
      <w:r>
        <w:rPr>
          <w:rFonts w:ascii="Figtree" w:hAnsi="Figtree"/>
          <w:b w:val="0"/>
          <w:i w:val="0"/>
          <w:sz w:val="22"/>
        </w:rPr>
        <w:t xml:space="preserve"> Scoped per engagement based on Phase 3 priorities.</w:t>
      </w:r>
    </w:p>
    <w:p>
      <w:pPr>
        <w:pStyle w:val="H3"/>
        <w:numPr>
          <w:ilvl w:val="2"/>
          <w:numId w:val="1"/>
        </w:numPr>
      </w:pPr>
      <w:r>
        <w:t>Implementation 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7"/>
        <w:gridCol w:w="1112"/>
        <w:gridCol w:w="46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0: Foundation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 xml:space="preserve">Included in implementation investment </w:t>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Phase 1: SPC Fleet Deployment</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 xml:space="preserve">Included in implementation investment </w:t>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Phase 2: Posidonia Readiness</w:t>
            </w:r>
          </w:p>
        </w:tc>
        <w:tc>
          <w:tcPr>
            <w:tcW w:type="dxa" w:w="3249"/>
            <w:vAlign w:val="center"/>
          </w:tcPr>
          <w:p>
            <w:pPr>
              <w:spacing w:line="276" w:lineRule="auto" w:before="0" w:after="0"/>
            </w:pPr>
            <w:r/>
            <w:r>
              <w:rPr>
                <w:rFonts w:ascii="Figtree" w:hAnsi="Figtree"/>
                <w:b w:val="0"/>
                <w:i w:val="0"/>
                <w:sz w:val="20"/>
              </w:rPr>
              <w:t>2 to 3 weeks</w:t>
            </w:r>
          </w:p>
        </w:tc>
        <w:tc>
          <w:tcPr>
            <w:tcW w:type="dxa" w:w="3249"/>
            <w:vAlign w:val="center"/>
          </w:tcPr>
          <w:p>
            <w:pPr>
              <w:spacing w:line="276" w:lineRule="auto" w:before="0" w:after="0"/>
            </w:pPr>
            <w:r/>
            <w:r>
              <w:rPr>
                <w:rFonts w:ascii="Figtree" w:hAnsi="Figtree"/>
                <w:b w:val="0"/>
                <w:i w:val="0"/>
                <w:sz w:val="20"/>
              </w:rPr>
              <w:t>Included in production license</w:t>
            </w:r>
          </w:p>
        </w:tc>
      </w:tr>
      <w:tr>
        <w:trPr>
          <w:trHeight w:val="425" w:hRule="atLeast"/>
        </w:trPr>
        <w:tc>
          <w:tcPr>
            <w:tcW w:type="dxa" w:w="3249"/>
            <w:vAlign w:val="center"/>
          </w:tcPr>
          <w:p>
            <w:pPr>
              <w:spacing w:line="276" w:lineRule="auto" w:before="0" w:after="0"/>
            </w:pPr>
            <w:r/>
            <w:r>
              <w:rPr>
                <w:rFonts w:ascii="Figtree" w:hAnsi="Figtree"/>
                <w:b w:val="0"/>
                <w:i w:val="0"/>
                <w:sz w:val="20"/>
              </w:rPr>
              <w:t>Phase 3: Scale</w:t>
            </w:r>
          </w:p>
        </w:tc>
        <w:tc>
          <w:tcPr>
            <w:tcW w:type="dxa" w:w="3249"/>
            <w:vAlign w:val="center"/>
          </w:tcPr>
          <w:p>
            <w:pPr>
              <w:spacing w:line="276" w:lineRule="auto" w:before="0" w:after="0"/>
            </w:pPr>
            <w:r/>
            <w:r>
              <w:rPr>
                <w:rFonts w:ascii="Figtree" w:hAnsi="Figtree"/>
                <w:b w:val="0"/>
                <w:i w:val="0"/>
                <w:sz w:val="20"/>
              </w:rPr>
              <w:t>Ongoing</w:t>
            </w:r>
          </w:p>
        </w:tc>
        <w:tc>
          <w:tcPr>
            <w:tcW w:type="dxa" w:w="3249"/>
            <w:vAlign w:val="center"/>
          </w:tcPr>
          <w:p>
            <w:pPr>
              <w:spacing w:line="276" w:lineRule="auto" w:before="0" w:after="0"/>
            </w:pPr>
            <w:r/>
            <w:r>
              <w:rPr>
                <w:rFonts w:ascii="Figtree" w:hAnsi="Figtree"/>
                <w:b w:val="0"/>
                <w:i w:val="0"/>
                <w:sz w:val="20"/>
              </w:rPr>
              <w:t xml:space="preserve">Scoped separately </w:t>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i w:val="0"/>
                <w:sz w:val="20"/>
              </w:rPr>
              <w:t>Total implementation (Phases 0 + 1)</w:t>
            </w:r>
          </w:p>
        </w:tc>
        <w:tc>
          <w:tcPr>
            <w:tcW w:type="dxa" w:w="3249"/>
            <w:vAlign w:val="center"/>
          </w:tcPr>
          <w:p>
            <w:pPr>
              <w:spacing w:line="276" w:lineRule="auto" w:before="0" w:after="0"/>
            </w:pPr>
            <w:r/>
            <w:r>
              <w:rPr>
                <w:rFonts w:ascii="Figtree" w:hAnsi="Figtree"/>
                <w:b/>
                <w:i w:val="0"/>
                <w:sz w:val="20"/>
              </w:rPr>
              <w:t>~12 weeks</w:t>
            </w:r>
          </w:p>
        </w:tc>
        <w:tc>
          <w:tcPr>
            <w:tcW w:type="dxa" w:w="3249"/>
            <w:vAlign w:val="center"/>
          </w:tcPr>
          <w:p>
            <w:pPr>
              <w:spacing w:line="276" w:lineRule="auto" w:before="0" w:after="0"/>
            </w:pPr>
            <w:r/>
            <w:r>
              <w:rPr>
                <w:rFonts w:ascii="Figtree" w:hAnsi="Figtree"/>
                <w:b/>
                <w:i w:val="0"/>
                <w:sz w:val="20"/>
              </w:rPr>
              <w:t>€50,000 to €80,000 [TO CONFIRM]</w:t>
            </w:r>
          </w:p>
        </w:tc>
      </w:tr>
    </w:tbl>
    <w:p>
      <w:pPr>
        <w:spacing w:before="0" w:after="0" w:line="120" w:lineRule="exact"/>
      </w:pPr>
    </w:p>
    <w:p>
      <w:pPr>
        <w:pStyle w:val="H3"/>
        <w:numPr>
          <w:ilvl w:val="2"/>
          <w:numId w:val="1"/>
        </w:numPr>
      </w:pPr>
      <w:r>
        <w:t>What Accelerates Delivery</w:t>
      </w:r>
    </w:p>
    <w:p>
      <w:r>
        <w:rPr>
          <w:rFonts w:ascii="Figtree" w:hAnsi="Figtree"/>
          <w:b w:val="0"/>
          <w:i w:val="0"/>
          <w:sz w:val="22"/>
        </w:rPr>
        <w:t>Several factors specific to Neptune's engagement can compress the implementation timeline:</w:t>
      </w:r>
    </w:p>
    <w:p>
      <w:pPr>
        <w:pStyle w:val="ListParagraph"/>
        <w:numPr>
          <w:ilvl w:val="0"/>
          <w:numId w:val="4"/>
        </w:numPr>
      </w:pPr>
      <w:r>
        <w:rPr>
          <w:rFonts w:ascii="Figtree" w:hAnsi="Figtree"/>
          <w:b/>
          <w:i w:val="0"/>
          <w:sz w:val="22"/>
        </w:rPr>
        <w:t>Standardized SPC templates.</w:t>
      </w:r>
      <w:r>
        <w:rPr>
          <w:rFonts w:ascii="Figtree" w:hAnsi="Figtree"/>
          <w:b w:val="0"/>
          <w:i w:val="0"/>
          <w:sz w:val="22"/>
        </w:rPr>
        <w:t xml:space="preserve"> If the majority of SPCs share the same compliance profile (jurisdiction rules, investor caps, transfer restrictions), template-based deployment reduces per-SPC configuration time from hours to minutes. The first 3 to 5 SPCs establish the templates; the remaining 55 apply them.</w:t>
      </w:r>
    </w:p>
    <w:p>
      <w:pPr>
        <w:pStyle w:val="ListParagraph"/>
        <w:numPr>
          <w:ilvl w:val="0"/>
          <w:numId w:val="4"/>
        </w:numPr>
      </w:pPr>
      <w:r>
        <w:rPr>
          <w:rFonts w:ascii="Figtree" w:hAnsi="Figtree"/>
          <w:b/>
          <w:i w:val="0"/>
          <w:sz w:val="22"/>
        </w:rPr>
        <w:t>Clear legal structure.</w:t>
      </w:r>
      <w:r>
        <w:rPr>
          <w:rFonts w:ascii="Figtree" w:hAnsi="Figtree"/>
          <w:b w:val="0"/>
          <w:i w:val="0"/>
          <w:sz w:val="22"/>
        </w:rPr>
        <w:t xml:space="preserve"> If Papandreou delivers definitive guidance on token structure per SPC and investor eligibility rules by end of March, the compliance configuration can begin immediately in Phase 0 rather than blocking Phase 1.</w:t>
      </w:r>
    </w:p>
    <w:p>
      <w:pPr>
        <w:pStyle w:val="ListParagraph"/>
        <w:numPr>
          <w:ilvl w:val="0"/>
          <w:numId w:val="4"/>
        </w:numPr>
      </w:pPr>
      <w:r>
        <w:rPr>
          <w:rFonts w:ascii="Figtree" w:hAnsi="Figtree"/>
          <w:b/>
          <w:i w:val="0"/>
          <w:sz w:val="22"/>
        </w:rPr>
        <w:t>MindWave DALP familiarity.</w:t>
      </w:r>
      <w:r>
        <w:rPr>
          <w:rFonts w:ascii="Figtree" w:hAnsi="Figtree"/>
          <w:b w:val="0"/>
          <w:i w:val="0"/>
          <w:sz w:val="22"/>
        </w:rPr>
        <w:t xml:space="preserve"> If MindWave has prior experience with DALP's APIs or comparable platforms, the integration ramp-up in Phase 0 is measured in days rather than weeks. If not, SettleMint's integration documentation and sandbox environment minimize the learning curve.</w:t>
      </w:r>
    </w:p>
    <w:p>
      <w:pPr>
        <w:pStyle w:val="ListParagraph"/>
        <w:numPr>
          <w:ilvl w:val="0"/>
          <w:numId w:val="4"/>
        </w:numPr>
      </w:pPr>
      <w:r>
        <w:rPr>
          <w:rFonts w:ascii="Figtree" w:hAnsi="Figtree"/>
          <w:b/>
          <w:i w:val="0"/>
          <w:sz w:val="22"/>
        </w:rPr>
        <w:t>Neptune data readiness.</w:t>
      </w:r>
      <w:r>
        <w:rPr>
          <w:rFonts w:ascii="Figtree" w:hAnsi="Figtree"/>
          <w:b w:val="0"/>
          <w:i w:val="0"/>
          <w:sz w:val="22"/>
        </w:rPr>
        <w:t xml:space="preserve"> A standardized SPC data template (vessel name, IMO number, flag state, charter details, jurisdiction) provided early enables automated SPC deployment scripting.</w:t>
      </w:r>
    </w:p>
    <w:p>
      <w:pPr>
        <w:pStyle w:val="H3"/>
        <w:numPr>
          <w:ilvl w:val="2"/>
          <w:numId w:val="1"/>
        </w:numPr>
      </w:pPr>
      <w:r>
        <w:t>Timeline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95"/>
        <w:gridCol w:w="765"/>
        <w:gridCol w:w="765"/>
        <w:gridCol w:w="57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Legal structuring delay (Papandreou)</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Engage immediately; parallel-track Phase 0 technical work while legal analysis proceeds; define "minimum viable legal clarity" for Phase 0</w:t>
            </w:r>
          </w:p>
        </w:tc>
      </w:tr>
      <w:tr>
        <w:trPr>
          <w:trHeight w:val="425" w:hRule="atLeast"/>
        </w:trPr>
        <w:tc>
          <w:tcPr>
            <w:tcW w:type="dxa" w:w="2436"/>
            <w:vAlign w:val="center"/>
          </w:tcPr>
          <w:p>
            <w:pPr>
              <w:spacing w:line="276" w:lineRule="auto" w:before="0" w:after="0"/>
            </w:pPr>
            <w:r/>
            <w:r>
              <w:rPr>
                <w:rFonts w:ascii="Figtree" w:hAnsi="Figtree"/>
                <w:b w:val="0"/>
                <w:i w:val="0"/>
                <w:sz w:val="20"/>
              </w:rPr>
              <w:t>60 jurisdiction configurations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Push for SPC standardization; group SPCs by compliance profile to reduce unique configurations</w:t>
            </w:r>
          </w:p>
        </w:tc>
      </w:tr>
      <w:tr>
        <w:trPr>
          <w:trHeight w:val="425" w:hRule="atLeast"/>
        </w:trPr>
        <w:tc>
          <w:tcPr>
            <w:tcW w:type="dxa" w:w="2436"/>
            <w:vAlign w:val="center"/>
          </w:tcPr>
          <w:p>
            <w:pPr>
              <w:spacing w:line="276" w:lineRule="auto" w:before="0" w:after="0"/>
            </w:pPr>
            <w:r/>
            <w:r>
              <w:rPr>
                <w:rFonts w:ascii="Figtree" w:hAnsi="Figtree"/>
                <w:b w:val="0"/>
                <w:i w:val="0"/>
                <w:sz w:val="20"/>
              </w:rPr>
              <w:t>MindWave ramp-up time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Provide comprehensive API documentation and sandbox in Phase 0; assign SettleMint engineer for MindWave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requirement</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Determine audit requirement early; if required, engage auditor in parallel with Phase 1; DALP contracts are pre-audited</w:t>
            </w:r>
          </w:p>
        </w:tc>
      </w:tr>
      <w:tr>
        <w:trPr>
          <w:trHeight w:val="425" w:hRule="atLeast"/>
        </w:trPr>
        <w:tc>
          <w:tcPr>
            <w:tcW w:type="dxa" w:w="2436"/>
            <w:vAlign w:val="center"/>
          </w:tcPr>
          <w:p>
            <w:pPr>
              <w:spacing w:line="276" w:lineRule="auto" w:before="0" w:after="0"/>
            </w:pPr>
            <w:r/>
            <w:r>
              <w:rPr>
                <w:rFonts w:ascii="Figtree" w:hAnsi="Figtree"/>
                <w:b w:val="0"/>
                <w:i w:val="0"/>
                <w:sz w:val="20"/>
              </w:rPr>
              <w:t>Investor KYC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KYC process for 5 investors as soon as identity framework is configured in Phase 0</w:t>
            </w:r>
          </w:p>
        </w:tc>
      </w:tr>
      <w:tr>
        <w:trPr>
          <w:trHeight w:val="425" w:hRule="atLeast"/>
        </w:trPr>
        <w:tc>
          <w:tcPr>
            <w:tcW w:type="dxa" w:w="2436"/>
            <w:vAlign w:val="center"/>
          </w:tcPr>
          <w:p>
            <w:pPr>
              <w:spacing w:line="276" w:lineRule="auto" w:before="0" w:after="0"/>
            </w:pPr>
            <w:r/>
            <w:r>
              <w:rPr>
                <w:rFonts w:ascii="Figtree" w:hAnsi="Figtree"/>
                <w:b w:val="0"/>
                <w:i w:val="0"/>
                <w:sz w:val="20"/>
              </w:rPr>
              <w:t>Neptune SPC data availability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Request standardized SPC data template in the scoping workshop; begin with available data for pilot SPCs</w:t>
            </w:r>
          </w:p>
        </w:tc>
      </w:tr>
    </w:tbl>
    <w:p>
      <w:pPr>
        <w:spacing w:before="0" w:after="0" w:line="120" w:lineRule="exact"/>
      </w:pPr>
    </w:p>
    <w:p>
      <w:pPr>
        <w:pStyle w:val="H3"/>
        <w:numPr>
          <w:ilvl w:val="2"/>
          <w:numId w:val="1"/>
        </w:numPr>
      </w:pPr>
      <w:r>
        <w:t>RACI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82"/>
        <w:gridCol w:w="1067"/>
        <w:gridCol w:w="747"/>
        <w:gridCol w:w="853"/>
        <w:gridCol w:w="192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Neptune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MindWave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Legal (Papandreou)</w:t>
            </w:r>
          </w:p>
        </w:tc>
      </w:tr>
      <w:tr>
        <w:trPr>
          <w:trHeight w:val="425" w:hRule="atLeast"/>
        </w:trPr>
        <w:tc>
          <w:tcPr>
            <w:tcW w:type="dxa" w:w="1949"/>
            <w:vAlign w:val="center"/>
          </w:tcPr>
          <w:p>
            <w:pPr>
              <w:spacing w:line="276" w:lineRule="auto" w:before="0" w:after="0"/>
            </w:pPr>
            <w:r/>
            <w:r>
              <w:rPr>
                <w:rFonts w:ascii="Figtree" w:hAnsi="Figtree"/>
                <w:b w:val="0"/>
                <w:i w:val="0"/>
                <w:sz w:val="20"/>
              </w:rPr>
              <w:t>DALP platform deployment and configuration</w:t>
            </w:r>
          </w:p>
        </w:tc>
        <w:tc>
          <w:tcPr>
            <w:tcW w:type="dxa" w:w="1949"/>
            <w:vAlign w:val="center"/>
          </w:tcPr>
          <w:p>
            <w:pPr>
              <w:spacing w:line="276" w:lineRule="auto" w:before="0" w:after="0"/>
            </w:pPr>
            <w:r/>
            <w:r>
              <w:rPr>
                <w:rFonts w:ascii="Figtree" w:hAnsi="Figtree"/>
                <w:b/>
                <w:i w:val="0"/>
                <w:sz w:val="20"/>
              </w:rPr>
              <w:t>R/A</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Identity and compliance framework design</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SPC equity token deployment</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Compliance module configuration (per SPC)</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Investor portal development</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Nathek core banking integration</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Investor onboarding (KYC/identity)</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Legal token structure definition</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i w:val="0"/>
                <w:sz w:val="20"/>
              </w:rPr>
              <w:t>R</w:t>
            </w:r>
          </w:p>
        </w:tc>
      </w:tr>
      <w:tr>
        <w:trPr>
          <w:trHeight w:val="425" w:hRule="atLeast"/>
        </w:trPr>
        <w:tc>
          <w:tcPr>
            <w:tcW w:type="dxa" w:w="1949"/>
            <w:vAlign w:val="center"/>
          </w:tcPr>
          <w:p>
            <w:pPr>
              <w:spacing w:line="276" w:lineRule="auto" w:before="0" w:after="0"/>
            </w:pPr>
            <w:r/>
            <w:r>
              <w:rPr>
                <w:rFonts w:ascii="Figtree" w:hAnsi="Figtree"/>
                <w:b w:val="0"/>
                <w:i w:val="0"/>
                <w:sz w:val="20"/>
              </w:rPr>
              <w:t>Jurisdiction and regulatory analysis</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i w:val="0"/>
                <w:sz w:val="20"/>
              </w:rPr>
              <w:t>R</w:t>
            </w:r>
          </w:p>
        </w:tc>
      </w:tr>
      <w:tr>
        <w:trPr>
          <w:trHeight w:val="425" w:hRule="atLeast"/>
        </w:trPr>
        <w:tc>
          <w:tcPr>
            <w:tcW w:type="dxa" w:w="1949"/>
            <w:vAlign w:val="center"/>
          </w:tcPr>
          <w:p>
            <w:pPr>
              <w:spacing w:line="276" w:lineRule="auto" w:before="0" w:after="0"/>
            </w:pPr>
            <w:r/>
            <w:r>
              <w:rPr>
                <w:rFonts w:ascii="Figtree" w:hAnsi="Figtree"/>
                <w:b w:val="0"/>
                <w:i w:val="0"/>
                <w:sz w:val="20"/>
              </w:rPr>
              <w:t>Yield distribution configuration</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Posidonia announcement preparation</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i w:val="0"/>
                <w:sz w:val="20"/>
              </w:rPr>
              <w:t>R/A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Phase 3 scoping and planning</w:t>
            </w:r>
          </w:p>
        </w:tc>
        <w:tc>
          <w:tcPr>
            <w:tcW w:type="dxa" w:w="1949"/>
            <w:vAlign w:val="center"/>
          </w:tcPr>
          <w:p>
            <w:pPr>
              <w:spacing w:line="276" w:lineRule="auto" w:before="0" w:after="0"/>
            </w:pPr>
            <w:r/>
            <w:r>
              <w:rPr>
                <w:rFonts w:ascii="Figtree" w:hAnsi="Figtree"/>
                <w:b/>
                <w:i w:val="0"/>
                <w:sz w:val="20"/>
              </w:rPr>
              <w:t>R</w:t>
            </w:r>
          </w:p>
        </w:tc>
        <w:tc>
          <w:tcPr>
            <w:tcW w:type="dxa" w:w="1949"/>
            <w:vAlign w:val="center"/>
          </w:tcPr>
          <w:p>
            <w:pPr>
              <w:spacing w:line="276" w:lineRule="auto" w:before="0" w:after="0"/>
            </w:pPr>
            <w:r/>
            <w:r>
              <w:rPr>
                <w:rFonts w:ascii="Figtree" w:hAnsi="Figtree"/>
                <w:b/>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bl>
    <w:p>
      <w:pPr>
        <w:spacing w:before="0" w:after="0" w:line="120" w:lineRule="exact"/>
      </w:pPr>
    </w:p>
    <w:p>
      <w:r>
        <w:rPr>
          <w:rFonts w:ascii="Figtree" w:hAnsi="Figtree"/>
          <w:b w:val="0"/>
          <w:i/>
          <w:sz w:val="22"/>
        </w:rPr>
        <w:t>R = Responsible, A = Accountable, C = Consulted, I = Informed</w:t>
      </w:r>
    </w:p>
    <w:p>
      <w:r>
        <w:br w:type="page"/>
      </w:r>
    </w:p>
    <w:p>
      <w:pPr>
        <w:pStyle w:val="H2"/>
        <w:numPr>
          <w:ilvl w:val="1"/>
          <w:numId w:val="1"/>
        </w:numPr>
      </w:pPr>
      <w:r>
        <w:t>Total Cost of Ownership</w:t>
      </w:r>
    </w:p>
    <w:p>
      <w:pPr>
        <w:pStyle w:val="H3"/>
        <w:numPr>
          <w:ilvl w:val="2"/>
          <w:numId w:val="1"/>
        </w:numPr>
      </w:pPr>
      <w:r>
        <w:t>TCO Framework</w:t>
      </w:r>
    </w:p>
    <w:p>
      <w:r>
        <w:rPr>
          <w:rFonts w:ascii="Figtree" w:hAnsi="Figtree"/>
          <w:b w:val="0"/>
          <w:i w:val="0"/>
          <w:sz w:val="22"/>
        </w:rPr>
        <w:t>When evaluating the DALP investment, Neptune should consider the total cost of ownership across all cost categories, not just the platform license in isolation. The TCO framework encompasses five components:</w:t>
      </w:r>
    </w:p>
    <w:p>
      <w:pPr>
        <w:pStyle w:val="ListParagraph"/>
        <w:numPr>
          <w:ilvl w:val="0"/>
          <w:numId w:val="6"/>
        </w:numPr>
      </w:pPr>
      <w:r>
        <w:rPr>
          <w:rFonts w:ascii="Figtree" w:hAnsi="Figtree"/>
          <w:b/>
          <w:i w:val="0"/>
          <w:sz w:val="22"/>
        </w:rPr>
        <w:t>Platform license:</w:t>
      </w:r>
      <w:r>
        <w:rPr>
          <w:rFonts w:ascii="Figtree" w:hAnsi="Figtree"/>
          <w:b w:val="0"/>
          <w:i w:val="0"/>
          <w:sz w:val="22"/>
        </w:rPr>
        <w:t xml:space="preserve"> The recurring cost of the DALP platform (development phase and production phase).</w:t>
      </w:r>
    </w:p>
    <w:p>
      <w:pPr>
        <w:pStyle w:val="ListParagraph"/>
        <w:numPr>
          <w:ilvl w:val="0"/>
          <w:numId w:val="6"/>
        </w:numPr>
      </w:pPr>
      <w:r>
        <w:rPr>
          <w:rFonts w:ascii="Figtree" w:hAnsi="Figtree"/>
          <w:b/>
          <w:i w:val="0"/>
          <w:sz w:val="22"/>
        </w:rPr>
        <w:t>Implementation services:</w:t>
      </w:r>
      <w:r>
        <w:rPr>
          <w:rFonts w:ascii="Figtree" w:hAnsi="Figtree"/>
          <w:b w:val="0"/>
          <w:i w:val="0"/>
          <w:sz w:val="22"/>
        </w:rPr>
        <w:t xml:space="preserve"> The one-time cost of deploying and configuring the platform for Neptune's specific requirements.</w:t>
      </w:r>
    </w:p>
    <w:p>
      <w:pPr>
        <w:pStyle w:val="ListParagraph"/>
        <w:numPr>
          <w:ilvl w:val="0"/>
          <w:numId w:val="6"/>
        </w:numPr>
      </w:pPr>
      <w:r>
        <w:rPr>
          <w:rFonts w:ascii="Figtree" w:hAnsi="Figtree"/>
          <w:b/>
          <w:i w:val="0"/>
          <w:sz w:val="22"/>
        </w:rPr>
        <w:t>Support and maintenance:</w:t>
      </w:r>
      <w:r>
        <w:rPr>
          <w:rFonts w:ascii="Figtree" w:hAnsi="Figtree"/>
          <w:b w:val="0"/>
          <w:i w:val="0"/>
          <w:sz w:val="22"/>
        </w:rPr>
        <w:t xml:space="preserve"> Ongoing support covered by the production license and support tier selection.</w:t>
      </w:r>
    </w:p>
    <w:p>
      <w:pPr>
        <w:pStyle w:val="ListParagraph"/>
        <w:numPr>
          <w:ilvl w:val="0"/>
          <w:numId w:val="6"/>
        </w:numPr>
      </w:pPr>
      <w:r>
        <w:rPr>
          <w:rFonts w:ascii="Figtree" w:hAnsi="Figtree"/>
          <w:b/>
          <w:i w:val="0"/>
          <w:sz w:val="22"/>
        </w:rPr>
        <w:t>Infrastructure:</w:t>
      </w:r>
      <w:r>
        <w:rPr>
          <w:rFonts w:ascii="Figtree" w:hAnsi="Figtree"/>
          <w:b w:val="0"/>
          <w:i w:val="0"/>
          <w:sz w:val="22"/>
        </w:rPr>
        <w:t xml:space="preserve"> For Managed SaaS, included in the platform license. For self-managed models, borne by Neptune.</w:t>
      </w:r>
    </w:p>
    <w:p>
      <w:pPr>
        <w:pStyle w:val="ListParagraph"/>
        <w:numPr>
          <w:ilvl w:val="0"/>
          <w:numId w:val="6"/>
        </w:numPr>
      </w:pPr>
      <w:r>
        <w:rPr>
          <w:rFonts w:ascii="Figtree" w:hAnsi="Figtree"/>
          <w:b/>
          <w:i w:val="0"/>
          <w:sz w:val="22"/>
        </w:rPr>
        <w:t>Third-party costs:</w:t>
      </w:r>
      <w:r>
        <w:rPr>
          <w:rFonts w:ascii="Figtree" w:hAnsi="Figtree"/>
          <w:b w:val="0"/>
          <w:i w:val="0"/>
          <w:sz w:val="22"/>
        </w:rPr>
        <w:t xml:space="preserve"> KYC/AML provider fees, custody provider fees, smart contract audit fees (if required), and any other external service costs.</w:t>
      </w:r>
    </w:p>
    <w:p>
      <w:pPr>
        <w:pStyle w:val="H3"/>
        <w:numPr>
          <w:ilvl w:val="2"/>
          <w:numId w:val="1"/>
        </w:numPr>
      </w:pPr>
      <w:r>
        <w:t>Three-Year TCO Model</w:t>
      </w:r>
    </w:p>
    <w:p>
      <w:r>
        <w:rPr>
          <w:rFonts w:ascii="Figtree" w:hAnsi="Figtree"/>
          <w:b w:val="0"/>
          <w:i w:val="0"/>
          <w:sz w:val="22"/>
        </w:rPr>
        <w:t xml:space="preserve">The table below presents a three-year projection based on the working commercial figures. All amounts are </w:t>
      </w:r>
      <w:r>
        <w:rPr>
          <w:rFonts w:ascii="Figtree" w:hAnsi="Figtree"/>
          <w:b/>
          <w:i w:val="0"/>
          <w:sz w:val="22"/>
        </w:rPr>
        <w:t>[TO CONFIRM]</w:t>
      </w:r>
      <w:r>
        <w:rPr>
          <w:rFonts w:ascii="Figtree" w:hAnsi="Figtree"/>
          <w:b w:val="0"/>
          <w:i w:val="0"/>
          <w:sz w:val="22"/>
        </w:rPr>
        <w:t xml:space="preserve"> and will be finalized following the scoping workshop.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3"/>
        <w:gridCol w:w="1773"/>
        <w:gridCol w:w="1773"/>
        <w:gridCol w:w="1773"/>
        <w:gridCol w:w="12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(development phase, ~6 months)</w:t>
            </w:r>
          </w:p>
        </w:tc>
        <w:tc>
          <w:tcPr>
            <w:tcW w:type="dxa" w:w="1949"/>
            <w:vAlign w:val="center"/>
          </w:tcPr>
          <w:p>
            <w:pPr>
              <w:spacing w:line="276" w:lineRule="auto" w:before="0" w:after="0"/>
            </w:pPr>
            <w:r/>
            <w:r>
              <w:rPr>
                <w:rFonts w:ascii="Figtree" w:hAnsi="Figtree"/>
                <w:b w:val="0"/>
                <w:i w:val="0"/>
                <w:sz w:val="20"/>
              </w:rPr>
              <w:t xml:space="preserve">~€48,000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(production phase)</w:t>
            </w:r>
          </w:p>
        </w:tc>
        <w:tc>
          <w:tcPr>
            <w:tcW w:type="dxa" w:w="1949"/>
            <w:vAlign w:val="center"/>
          </w:tcPr>
          <w:p>
            <w:pPr>
              <w:spacing w:line="276" w:lineRule="auto" w:before="0" w:after="0"/>
            </w:pPr>
            <w:r/>
            <w:r>
              <w:rPr>
                <w:rFonts w:ascii="Figtree" w:hAnsi="Figtree"/>
                <w:b w:val="0"/>
                <w:i w:val="0"/>
                <w:sz w:val="20"/>
              </w:rPr>
              <w:t xml:space="preserve">~€60,000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~€120,000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~€120,000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 xml:space="preserve">€50,000 to €80,000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€50,000 to €80,000</w:t>
            </w:r>
          </w:p>
        </w:tc>
      </w:tr>
      <w:tr>
        <w:trPr>
          <w:trHeight w:val="425" w:hRule="atLeast"/>
        </w:trPr>
        <w:tc>
          <w:tcPr>
            <w:tcW w:type="dxa" w:w="1949"/>
            <w:vAlign w:val="center"/>
          </w:tcPr>
          <w:p>
            <w:pPr>
              <w:spacing w:line="276" w:lineRule="auto" w:before="0" w:after="0"/>
            </w:pPr>
            <w:r/>
            <w:r>
              <w:rPr>
                <w:rFonts w:ascii="Figtree" w:hAnsi="Figtree"/>
                <w:b w:val="0"/>
                <w:i w:val="0"/>
                <w:sz w:val="20"/>
              </w:rPr>
              <w:t>Support (Premium, included in production license)</w:t>
            </w:r>
          </w:p>
        </w:tc>
        <w:tc>
          <w:tcPr>
            <w:tcW w:type="dxa" w:w="1949"/>
            <w:vAlign w:val="center"/>
          </w:tcPr>
          <w:p>
            <w:pPr>
              <w:spacing w:line="276" w:lineRule="auto" w:before="0" w:after="0"/>
            </w:pPr>
            <w:r/>
            <w:r>
              <w:rPr>
                <w:rFonts w:ascii="Figtree" w:hAnsi="Figtree"/>
                <w:b w:val="0"/>
                <w:i w:val="0"/>
                <w:sz w:val="20"/>
              </w:rPr>
              <w:t xml:space="preserve">Included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Included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Included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(Managed SaaS, 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Third-party costs (KYC, custody, audit)</w:t>
            </w:r>
          </w:p>
        </w:tc>
        <w:tc>
          <w:tcPr>
            <w:tcW w:type="dxa" w:w="1949"/>
            <w:vAlign w:val="center"/>
          </w:tcPr>
          <w:p>
            <w:pPr>
              <w:spacing w:line="276" w:lineRule="auto" w:before="0" w:after="0"/>
            </w:pPr>
            <w:r/>
            <w:r>
              <w:rPr>
                <w:rFonts w:ascii="Figtree" w:hAnsi="Figtree"/>
                <w:b w:val="0"/>
                <w:i w:val="0"/>
                <w:sz w:val="20"/>
              </w:rPr>
              <w:t xml:space="preserve">€15,000 to €30,000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€10,000 to €15,000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€10,000 to €15,000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€35,000 to €60,000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~€173,000 to €218,000</w:t>
            </w:r>
          </w:p>
        </w:tc>
        <w:tc>
          <w:tcPr>
            <w:tcW w:type="dxa" w:w="1949"/>
            <w:vAlign w:val="center"/>
          </w:tcPr>
          <w:p>
            <w:pPr>
              <w:spacing w:line="276" w:lineRule="auto" w:before="0" w:after="0"/>
            </w:pPr>
            <w:r/>
            <w:r>
              <w:rPr>
                <w:rFonts w:ascii="Figtree" w:hAnsi="Figtree"/>
                <w:b/>
                <w:i w:val="0"/>
                <w:sz w:val="20"/>
              </w:rPr>
              <w:t>~€130,000 to €135,000</w:t>
            </w:r>
          </w:p>
        </w:tc>
        <w:tc>
          <w:tcPr>
            <w:tcW w:type="dxa" w:w="1949"/>
            <w:vAlign w:val="center"/>
          </w:tcPr>
          <w:p>
            <w:pPr>
              <w:spacing w:line="276" w:lineRule="auto" w:before="0" w:after="0"/>
            </w:pPr>
            <w:r/>
            <w:r>
              <w:rPr>
                <w:rFonts w:ascii="Figtree" w:hAnsi="Figtree"/>
                <w:b/>
                <w:i w:val="0"/>
                <w:sz w:val="20"/>
              </w:rPr>
              <w:t>~€130,000 to €135,000</w:t>
            </w:r>
          </w:p>
        </w:tc>
        <w:tc>
          <w:tcPr>
            <w:tcW w:type="dxa" w:w="1949"/>
            <w:vAlign w:val="center"/>
          </w:tcPr>
          <w:p>
            <w:pPr>
              <w:spacing w:line="276" w:lineRule="auto" w:before="0" w:after="0"/>
            </w:pPr>
            <w:r/>
            <w:r>
              <w:rPr>
                <w:rFonts w:ascii="Figtree" w:hAnsi="Figtree"/>
                <w:b/>
                <w:i w:val="0"/>
                <w:sz w:val="20"/>
              </w:rPr>
              <w:t>~€433,000 to €488,000</w:t>
            </w:r>
          </w:p>
        </w:tc>
      </w:tr>
    </w:tbl>
    <w:p>
      <w:pPr>
        <w:spacing w:before="0" w:after="0" w:line="120" w:lineRule="exact"/>
      </w:pPr>
    </w:p>
    <w:p>
      <w:r>
        <w:rPr>
          <w:rFonts w:ascii="Figtree" w:hAnsi="Figtree"/>
          <w:b w:val="0"/>
          <w:i w:val="0"/>
          <w:sz w:val="22"/>
        </w:rPr>
        <w:t>Year 1 carries the heaviest investment due to the implementation services and the development-phase license during initial deployment. Years 2 and 3 settle into a steady production cost of approximately €10,000 to €11,000 per month for the platform license, plus third-party costs that Neptune would incur regardless of the platform choice.</w:t>
      </w:r>
    </w:p>
    <w:p>
      <w:pPr>
        <w:pStyle w:val="H3"/>
        <w:numPr>
          <w:ilvl w:val="2"/>
          <w:numId w:val="1"/>
        </w:numPr>
      </w:pPr>
      <w:r>
        <w:t>Understanding the TCO Components</w:t>
      </w:r>
    </w:p>
    <w:p>
      <w:r>
        <w:rPr>
          <w:rFonts w:ascii="Figtree" w:hAnsi="Figtree"/>
          <w:b/>
          <w:i w:val="0"/>
          <w:sz w:val="22"/>
        </w:rPr>
        <w:t>Platform license.</w:t>
      </w:r>
      <w:r>
        <w:rPr>
          <w:rFonts w:ascii="Figtree" w:hAnsi="Figtree"/>
          <w:b w:val="0"/>
          <w:i w:val="0"/>
          <w:sz w:val="22"/>
        </w:rPr>
        <w:t xml:space="preserve"> The development-phase license (~€8,000/month) covers the period from platform provisioning through production go-live, approximately six months. This reflects a reduced rate for the implementation period when the platform is not yet generating business value. The production-phase license (~€10,000/month) applies from go-live onward and provides full access to all platform capabilities under the Enterprise tier. The annual production license is approximately €120,000, providing budget predictability for Neptune's financial planning.</w:t>
      </w:r>
    </w:p>
    <w:p>
      <w:r>
        <w:rPr>
          <w:rFonts w:ascii="Figtree" w:hAnsi="Figtree"/>
          <w:b/>
          <w:i w:val="0"/>
          <w:sz w:val="22"/>
        </w:rPr>
        <w:t>Implementation services.</w:t>
      </w:r>
      <w:r>
        <w:rPr>
          <w:rFonts w:ascii="Figtree" w:hAnsi="Figtree"/>
          <w:b w:val="0"/>
          <w:i w:val="0"/>
          <w:sz w:val="22"/>
        </w:rPr>
        <w:t xml:space="preserve"> The €50,000 to €80,000 implementation investment covers Phases 0 and 1: platform deployment, identity framework setup, compliance module configuration, pilot SPC deployment, bulk SPC deployment, yield distribution configuration, and investor onboarding setup. This is a fixed-price scope with defined deliverables and acceptance criteria. The range reflects uncertainty in the degree of SPC standardization: at the low end, if most SPCs share the same compliance profile, configuration is fast; at the high end, if each SPC requires unique compliance rules, configuration effort increases proportionally.</w:t>
      </w:r>
    </w:p>
    <w:p>
      <w:r>
        <w:rPr>
          <w:rFonts w:ascii="Figtree" w:hAnsi="Figtree"/>
          <w:b/>
          <w:i w:val="0"/>
          <w:sz w:val="22"/>
        </w:rPr>
        <w:t>Support.</w:t>
      </w:r>
      <w:r>
        <w:rPr>
          <w:rFonts w:ascii="Figtree" w:hAnsi="Figtree"/>
          <w:b w:val="0"/>
          <w:i w:val="0"/>
          <w:sz w:val="22"/>
        </w:rPr>
        <w:t xml:space="preserve"> Under the Enterprise tier with Premium support, the support cost is included in the production platform license. This is a meaningful inclusion: for an equivalent support tier purchased separately, Neptune would typically pay 15 to 25 percent of the platform license value annually. Including it in the license simplifies procurement and ensures Neptune has the support level the Posidonia timeline demands without a separate negotiation.</w:t>
      </w:r>
    </w:p>
    <w:p>
      <w:r>
        <w:rPr>
          <w:rFonts w:ascii="Figtree" w:hAnsi="Figtree"/>
          <w:b/>
          <w:i w:val="0"/>
          <w:sz w:val="22"/>
        </w:rPr>
        <w:t>Infrastructure.</w:t>
      </w:r>
      <w:r>
        <w:rPr>
          <w:rFonts w:ascii="Figtree" w:hAnsi="Figtree"/>
          <w:b w:val="0"/>
          <w:i w:val="0"/>
          <w:sz w:val="22"/>
        </w:rPr>
        <w:t xml:space="preserve"> Managed SaaS deployment includes all infrastructure costs within the platform license. This covers the Kubernetes cluster, database instances, object storage, blockchain node connectivity, observability stack, networking, security, and 24/7 infrastructure operations. For comparison, a self-managed Private Cloud deployment would require Neptune to provision and operate these components separately, with estimated annual infrastructure costs of €40,000 to €80,000 depending on sizing and cloud provider.</w:t>
      </w:r>
    </w:p>
    <w:p>
      <w:r>
        <w:rPr>
          <w:rFonts w:ascii="Figtree" w:hAnsi="Figtree"/>
          <w:b/>
          <w:i w:val="0"/>
          <w:sz w:val="22"/>
        </w:rPr>
        <w:t>Third-party costs.</w:t>
      </w:r>
      <w:r>
        <w:rPr>
          <w:rFonts w:ascii="Figtree" w:hAnsi="Figtree"/>
          <w:b w:val="0"/>
          <w:i w:val="0"/>
          <w:sz w:val="22"/>
        </w:rPr>
        <w:t xml:space="preserve"> These are the costs that DALP does not cover because they involve external service providers: KYC/AML verification (identity verification providers charge per verification, typically €5 to €20 per investor depending on depth of due diligence), custody provider fees (if Neptune uses a third-party custodian rather than self-custody, fees vary by provider and asset volume), and smart contract audit (if required by Neptune's investor community or regulatory context, typically €30,000 to €80,000 for a focused audit of Neptune's specific SPC configurations). These costs are variable and depend on Neptune's choices for custody, KYC provider, and audit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9"/>
        <w:gridCol w:w="2080"/>
        <w:gridCol w:w="2080"/>
        <w:gridCol w:w="2080"/>
        <w:gridCol w:w="20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Total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~€173,000 to €218,000</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~€130,000 to €135,000</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~€130,000 to €135,000</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~€433,000 to €488,000</w:t>
            </w:r>
          </w:p>
        </w:tc>
      </w:tr>
    </w:tbl>
    <w:p>
      <w:pPr>
        <w:spacing w:before="0" w:after="0" w:line="120" w:lineRule="exact"/>
      </w:pPr>
    </w:p>
    <w:p>
      <w:r>
        <w:rPr>
          <w:rFonts w:ascii="Figtree" w:hAnsi="Figtree"/>
          <w:b w:val="0"/>
          <w:i w:val="0"/>
          <w:sz w:val="22"/>
        </w:rPr>
        <w:t>Year 1 carries the heaviest investment due to the implementation services and the development-phase license during initial deployment. Years 2 and 3 settle into a steady production cost of approximately €10,000 to €11,000 per month for the platform license, plus third-party costs that Neptune would incur regardless of the platform choice.</w:t>
      </w:r>
    </w:p>
    <w:p>
      <w:pPr>
        <w:pStyle w:val="H3"/>
        <w:numPr>
          <w:ilvl w:val="2"/>
          <w:numId w:val="1"/>
        </w:numPr>
      </w:pPr>
      <w:r>
        <w:t>Five-Year TCO Model</w:t>
      </w:r>
    </w:p>
    <w:p>
      <w:r>
        <w:rPr>
          <w:rFonts w:ascii="Figtree" w:hAnsi="Figtree"/>
          <w:b w:val="0"/>
          <w:i w:val="0"/>
          <w:sz w:val="22"/>
        </w:rPr>
        <w:t>The five-year projection illustrates how costs evolve as Neptune scales from 60 SPCs to 200 to 300 vessels across the affiliate fleet.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4"/>
        <w:gridCol w:w="1824"/>
        <w:gridCol w:w="1824"/>
        <w:gridCol w:w="1824"/>
        <w:gridCol w:w="130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Years 1-3 Total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 xml:space="preserve">~€348,000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~€120,000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~€120,000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~€588,000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(initial + Phase 3 expansion)</w:t>
            </w:r>
          </w:p>
        </w:tc>
        <w:tc>
          <w:tcPr>
            <w:tcW w:type="dxa" w:w="1949"/>
            <w:vAlign w:val="center"/>
          </w:tcPr>
          <w:p>
            <w:pPr>
              <w:spacing w:line="276" w:lineRule="auto" w:before="0" w:after="0"/>
            </w:pPr>
            <w:r/>
            <w:r>
              <w:rPr>
                <w:rFonts w:ascii="Figtree" w:hAnsi="Figtree"/>
                <w:b w:val="0"/>
                <w:i w:val="0"/>
                <w:sz w:val="20"/>
              </w:rPr>
              <w:t xml:space="preserve">€50,000 to €80,000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€20,000 to €40,000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€70,000 to €120,000</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 xml:space="preserve">Included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Included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Included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Third-party costs</w:t>
            </w:r>
          </w:p>
        </w:tc>
        <w:tc>
          <w:tcPr>
            <w:tcW w:type="dxa" w:w="1949"/>
            <w:vAlign w:val="center"/>
          </w:tcPr>
          <w:p>
            <w:pPr>
              <w:spacing w:line="276" w:lineRule="auto" w:before="0" w:after="0"/>
            </w:pPr>
            <w:r/>
            <w:r>
              <w:rPr>
                <w:rFonts w:ascii="Figtree" w:hAnsi="Figtree"/>
                <w:b w:val="0"/>
                <w:i w:val="0"/>
                <w:sz w:val="20"/>
              </w:rPr>
              <w:t xml:space="preserve">€35,000 to €60,000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€10,000 to €15,000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 xml:space="preserve">€10,000 to €15,000 </w:t>
            </w:r>
            <w:r>
              <w:rPr>
                <w:rFonts w:ascii="Figtree" w:hAnsi="Figtree"/>
                <w:b/>
                <w:i w:val="0"/>
                <w:sz w:val="20"/>
              </w:rPr>
              <w:t>[TO CONFIRM]</w:t>
            </w:r>
          </w:p>
        </w:tc>
        <w:tc>
          <w:tcPr>
            <w:tcW w:type="dxa" w:w="1949"/>
            <w:vAlign w:val="center"/>
          </w:tcPr>
          <w:p>
            <w:pPr>
              <w:spacing w:line="276" w:lineRule="auto" w:before="0" w:after="0"/>
            </w:pPr>
            <w:r/>
            <w:r>
              <w:rPr>
                <w:rFonts w:ascii="Figtree" w:hAnsi="Figtree"/>
                <w:b w:val="0"/>
                <w:i w:val="0"/>
                <w:sz w:val="20"/>
              </w:rPr>
              <w:t>€55,000 to €90,000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~€433,000 to €488,000</w:t>
            </w:r>
          </w:p>
        </w:tc>
        <w:tc>
          <w:tcPr>
            <w:tcW w:type="dxa" w:w="1949"/>
            <w:vAlign w:val="center"/>
          </w:tcPr>
          <w:p>
            <w:pPr>
              <w:spacing w:line="276" w:lineRule="auto" w:before="0" w:after="0"/>
            </w:pPr>
            <w:r/>
            <w:r>
              <w:rPr>
                <w:rFonts w:ascii="Figtree" w:hAnsi="Figtree"/>
                <w:b/>
                <w:i w:val="0"/>
                <w:sz w:val="20"/>
              </w:rPr>
              <w:t>~€150,000 to €175,000</w:t>
            </w:r>
          </w:p>
        </w:tc>
        <w:tc>
          <w:tcPr>
            <w:tcW w:type="dxa" w:w="1949"/>
            <w:vAlign w:val="center"/>
          </w:tcPr>
          <w:p>
            <w:pPr>
              <w:spacing w:line="276" w:lineRule="auto" w:before="0" w:after="0"/>
            </w:pPr>
            <w:r/>
            <w:r>
              <w:rPr>
                <w:rFonts w:ascii="Figtree" w:hAnsi="Figtree"/>
                <w:b/>
                <w:i w:val="0"/>
                <w:sz w:val="20"/>
              </w:rPr>
              <w:t>~€130,000 to €135,000</w:t>
            </w:r>
          </w:p>
        </w:tc>
        <w:tc>
          <w:tcPr>
            <w:tcW w:type="dxa" w:w="1949"/>
            <w:vAlign w:val="center"/>
          </w:tcPr>
          <w:p>
            <w:pPr>
              <w:spacing w:line="276" w:lineRule="auto" w:before="0" w:after="0"/>
            </w:pPr>
            <w:r/>
            <w:r>
              <w:rPr>
                <w:rFonts w:ascii="Figtree" w:hAnsi="Figtree"/>
                <w:b/>
                <w:i w:val="0"/>
                <w:sz w:val="20"/>
              </w:rPr>
              <w:t>~€713,000 to €798,000</w:t>
            </w:r>
          </w:p>
        </w:tc>
      </w:tr>
    </w:tbl>
    <w:p>
      <w:pPr>
        <w:spacing w:before="0" w:after="0" w:line="120" w:lineRule="exact"/>
      </w:pPr>
    </w:p>
    <w:p>
      <w:r>
        <w:rPr>
          <w:rFonts w:ascii="Figtree" w:hAnsi="Figtree"/>
          <w:b w:val="0"/>
          <w:i w:val="0"/>
          <w:sz w:val="22"/>
        </w:rPr>
        <w:t>The critical insight in the five-year model is cost-per-SPC economics. At 60 SPCs, the annual platform cost is approximately €2,000 per SPC per year. At 200 vessels, it drops to approximately €600 per SPC per year. At 300 vessels, approximately €400. The platform licensing model means Neptune's unit economics improve continuously as the fleet grows, with no incremental platform cost per additional SPC or vessel.</w:t>
      </w:r>
    </w:p>
    <w:p>
      <w:r>
        <w:rPr>
          <w:rFonts w:ascii="Figtree" w:hAnsi="Figtree"/>
          <w:b w:val="0"/>
          <w:i w:val="0"/>
          <w:sz w:val="22"/>
        </w:rPr>
        <w:t>Year 4 includes a modest implementation investment for Phase 3 expansion to the affiliate fleet, covering additional compliance configurations, new jurisdiction templates, and secondary trading capability setup. Year 5 assumes steady-state operations.</w:t>
      </w:r>
    </w:p>
    <w:p>
      <w:pPr>
        <w:pStyle w:val="H3"/>
        <w:numPr>
          <w:ilvl w:val="2"/>
          <w:numId w:val="1"/>
        </w:numPr>
      </w:pPr>
      <w:r>
        <w:t>Comparative Analysis: DALP vs. Build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3"/>
        <w:gridCol w:w="3511"/>
        <w:gridCol w:w="37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first SPC deployment</w:t>
            </w:r>
          </w:p>
        </w:tc>
        <w:tc>
          <w:tcPr>
            <w:tcW w:type="dxa" w:w="3249"/>
            <w:vAlign w:val="center"/>
          </w:tcPr>
          <w:p>
            <w:pPr>
              <w:spacing w:line="276" w:lineRule="auto" w:before="0" w:after="0"/>
            </w:pPr>
            <w:r/>
            <w:r>
              <w:rPr>
                <w:rFonts w:ascii="Figtree" w:hAnsi="Figtree"/>
                <w:b w:val="0"/>
                <w:i w:val="0"/>
                <w:sz w:val="20"/>
              </w:rPr>
              <w:t>12 to 18 months</w:t>
            </w:r>
          </w:p>
        </w:tc>
        <w:tc>
          <w:tcPr>
            <w:tcW w:type="dxa" w:w="3249"/>
            <w:vAlign w:val="center"/>
          </w:tcPr>
          <w:p>
            <w:pPr>
              <w:spacing w:line="276" w:lineRule="auto" w:before="0" w:after="0"/>
            </w:pPr>
            <w:r/>
            <w:r>
              <w:rPr>
                <w:rFonts w:ascii="Figtree" w:hAnsi="Figtree"/>
                <w:b w:val="0"/>
                <w:i w:val="0"/>
                <w:sz w:val="20"/>
              </w:rPr>
              <w:t>6 to 8 weeks (Phase 0)</w:t>
            </w:r>
          </w:p>
        </w:tc>
      </w:tr>
      <w:tr>
        <w:trPr>
          <w:trHeight w:val="425" w:hRule="atLeast"/>
        </w:trPr>
        <w:tc>
          <w:tcPr>
            <w:tcW w:type="dxa" w:w="3249"/>
            <w:vAlign w:val="center"/>
          </w:tcPr>
          <w:p>
            <w:pPr>
              <w:spacing w:line="276" w:lineRule="auto" w:before="0" w:after="0"/>
            </w:pPr>
            <w:r/>
            <w:r>
              <w:rPr>
                <w:rFonts w:ascii="Figtree" w:hAnsi="Figtree"/>
                <w:b w:val="0"/>
                <w:i w:val="0"/>
                <w:sz w:val="20"/>
              </w:rPr>
              <w:t>Time to 60 SPCs deployed</w:t>
            </w:r>
          </w:p>
        </w:tc>
        <w:tc>
          <w:tcPr>
            <w:tcW w:type="dxa" w:w="3249"/>
            <w:vAlign w:val="center"/>
          </w:tcPr>
          <w:p>
            <w:pPr>
              <w:spacing w:line="276" w:lineRule="auto" w:before="0" w:after="0"/>
            </w:pPr>
            <w:r/>
            <w:r>
              <w:rPr>
                <w:rFonts w:ascii="Figtree" w:hAnsi="Figtree"/>
                <w:b w:val="0"/>
                <w:i w:val="0"/>
                <w:sz w:val="20"/>
              </w:rPr>
              <w:t>18 to 24 months</w:t>
            </w:r>
          </w:p>
        </w:tc>
        <w:tc>
          <w:tcPr>
            <w:tcW w:type="dxa" w:w="3249"/>
            <w:vAlign w:val="center"/>
          </w:tcPr>
          <w:p>
            <w:pPr>
              <w:spacing w:line="276" w:lineRule="auto" w:before="0" w:after="0"/>
            </w:pPr>
            <w:r/>
            <w:r>
              <w:rPr>
                <w:rFonts w:ascii="Figtree" w:hAnsi="Figtree"/>
                <w:b w:val="0"/>
                <w:i w:val="0"/>
                <w:sz w:val="20"/>
              </w:rPr>
              <w:t>12 weeks (Phase 0 + Phase 1)</w:t>
            </w:r>
          </w:p>
        </w:tc>
      </w:tr>
      <w:tr>
        <w:trPr>
          <w:trHeight w:val="425" w:hRule="atLeast"/>
        </w:trPr>
        <w:tc>
          <w:tcPr>
            <w:tcW w:type="dxa" w:w="3249"/>
            <w:vAlign w:val="center"/>
          </w:tcPr>
          <w:p>
            <w:pPr>
              <w:spacing w:line="276" w:lineRule="auto" w:before="0" w:after="0"/>
            </w:pPr>
            <w:r/>
            <w:r>
              <w:rPr>
                <w:rFonts w:ascii="Figtree" w:hAnsi="Figtree"/>
                <w:b w:val="0"/>
                <w:i w:val="0"/>
                <w:sz w:val="20"/>
              </w:rPr>
              <w:t>Engineering team required</w:t>
            </w:r>
          </w:p>
        </w:tc>
        <w:tc>
          <w:tcPr>
            <w:tcW w:type="dxa" w:w="3249"/>
            <w:vAlign w:val="center"/>
          </w:tcPr>
          <w:p>
            <w:pPr>
              <w:spacing w:line="276" w:lineRule="auto" w:before="0" w:after="0"/>
            </w:pPr>
            <w:r/>
            <w:r>
              <w:rPr>
                <w:rFonts w:ascii="Figtree" w:hAnsi="Figtree"/>
                <w:b w:val="0"/>
                <w:i w:val="0"/>
                <w:sz w:val="20"/>
              </w:rPr>
              <w:t>6 to 12 full-time engineers (smart contracts, backend, security, DevOps)</w:t>
            </w:r>
          </w:p>
        </w:tc>
        <w:tc>
          <w:tcPr>
            <w:tcW w:type="dxa" w:w="3249"/>
            <w:vAlign w:val="center"/>
          </w:tcPr>
          <w:p>
            <w:pPr>
              <w:spacing w:line="276" w:lineRule="auto" w:before="0" w:after="0"/>
            </w:pPr>
            <w:r/>
            <w:r>
              <w:rPr>
                <w:rFonts w:ascii="Figtree" w:hAnsi="Figtree"/>
                <w:b w:val="0"/>
                <w:i w:val="0"/>
                <w:sz w:val="20"/>
              </w:rPr>
              <w:t>Neptune integration team + MindWave + SettleMint (implementation phase only)</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team</w:t>
            </w:r>
          </w:p>
        </w:tc>
        <w:tc>
          <w:tcPr>
            <w:tcW w:type="dxa" w:w="3249"/>
            <w:vAlign w:val="center"/>
          </w:tcPr>
          <w:p>
            <w:pPr>
              <w:spacing w:line="276" w:lineRule="auto" w:before="0" w:after="0"/>
            </w:pPr>
            <w:r/>
            <w:r>
              <w:rPr>
                <w:rFonts w:ascii="Figtree" w:hAnsi="Figtree"/>
                <w:b w:val="0"/>
                <w:i w:val="0"/>
                <w:sz w:val="20"/>
              </w:rPr>
              <w:t>3 to 5 full-time engineers permanently</w:t>
            </w:r>
          </w:p>
        </w:tc>
        <w:tc>
          <w:tcPr>
            <w:tcW w:type="dxa" w:w="3249"/>
            <w:vAlign w:val="center"/>
          </w:tcPr>
          <w:p>
            <w:pPr>
              <w:spacing w:line="276" w:lineRule="auto" w:before="0" w:after="0"/>
            </w:pPr>
            <w:r/>
            <w:r>
              <w:rPr>
                <w:rFonts w:ascii="Figtree" w:hAnsi="Figtree"/>
                <w:b w:val="0"/>
                <w:i w:val="0"/>
                <w:sz w:val="20"/>
              </w:rPr>
              <w:t>Covered by SettleMint support and platform updates</w:t>
            </w:r>
          </w:p>
        </w:tc>
      </w:tr>
      <w:tr>
        <w:trPr>
          <w:trHeight w:val="425" w:hRule="atLeast"/>
        </w:trPr>
        <w:tc>
          <w:tcPr>
            <w:tcW w:type="dxa" w:w="3249"/>
            <w:vAlign w:val="center"/>
          </w:tcPr>
          <w:p>
            <w:pPr>
              <w:spacing w:line="276" w:lineRule="auto" w:before="0" w:after="0"/>
            </w:pPr>
            <w:r/>
            <w:r>
              <w:rPr>
                <w:rFonts w:ascii="Figtree" w:hAnsi="Figtree"/>
                <w:b w:val="0"/>
                <w:i w:val="0"/>
                <w:sz w:val="20"/>
              </w:rPr>
              <w:t>Annual engineering cost (fully loaded)</w:t>
            </w:r>
          </w:p>
        </w:tc>
        <w:tc>
          <w:tcPr>
            <w:tcW w:type="dxa" w:w="3249"/>
            <w:vAlign w:val="center"/>
          </w:tcPr>
          <w:p>
            <w:pPr>
              <w:spacing w:line="276" w:lineRule="auto" w:before="0" w:after="0"/>
            </w:pPr>
            <w:r/>
            <w:r>
              <w:rPr>
                <w:rFonts w:ascii="Figtree" w:hAnsi="Figtree"/>
                <w:b w:val="0"/>
                <w:i w:val="0"/>
                <w:sz w:val="20"/>
              </w:rPr>
              <w:t>€600,000 to €1,200,000</w:t>
            </w:r>
          </w:p>
        </w:tc>
        <w:tc>
          <w:tcPr>
            <w:tcW w:type="dxa" w:w="3249"/>
            <w:vAlign w:val="center"/>
          </w:tcPr>
          <w:p>
            <w:pPr>
              <w:spacing w:line="276" w:lineRule="auto" w:before="0" w:after="0"/>
            </w:pPr>
            <w:r/>
            <w:r>
              <w:rPr>
                <w:rFonts w:ascii="Figtree" w:hAnsi="Figtree"/>
                <w:b w:val="0"/>
                <w:i w:val="0"/>
                <w:sz w:val="20"/>
              </w:rPr>
              <w:t>€0 (no permanent engineering headcount)</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Custom build per jurisdiction</w:t>
            </w:r>
          </w:p>
        </w:tc>
        <w:tc>
          <w:tcPr>
            <w:tcW w:type="dxa" w:w="3249"/>
            <w:vAlign w:val="center"/>
          </w:tcPr>
          <w:p>
            <w:pPr>
              <w:spacing w:line="276" w:lineRule="auto" w:before="0" w:after="0"/>
            </w:pPr>
            <w:r/>
            <w:r>
              <w:rPr>
                <w:rFonts w:ascii="Figtree" w:hAnsi="Figtree"/>
                <w:b w:val="0"/>
                <w:i w:val="0"/>
                <w:sz w:val="20"/>
              </w:rPr>
              <w:t>18 module types included; configured per SPC</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costs</w:t>
            </w:r>
          </w:p>
        </w:tc>
        <w:tc>
          <w:tcPr>
            <w:tcW w:type="dxa" w:w="3249"/>
            <w:vAlign w:val="center"/>
          </w:tcPr>
          <w:p>
            <w:pPr>
              <w:spacing w:line="276" w:lineRule="auto" w:before="0" w:after="0"/>
            </w:pPr>
            <w:r/>
            <w:r>
              <w:rPr>
                <w:rFonts w:ascii="Figtree" w:hAnsi="Figtree"/>
                <w:b w:val="0"/>
                <w:i w:val="0"/>
                <w:sz w:val="20"/>
              </w:rPr>
              <w:t>€50,000 to €150,000 per audit cycle (multiple cycles expected)</w:t>
            </w:r>
          </w:p>
        </w:tc>
        <w:tc>
          <w:tcPr>
            <w:tcW w:type="dxa" w:w="3249"/>
            <w:vAlign w:val="center"/>
          </w:tcPr>
          <w:p>
            <w:pPr>
              <w:spacing w:line="276" w:lineRule="auto" w:before="0" w:after="0"/>
            </w:pPr>
            <w:r/>
            <w:r>
              <w:rPr>
                <w:rFonts w:ascii="Figtree" w:hAnsi="Figtree"/>
                <w:b w:val="0"/>
                <w:i w:val="0"/>
                <w:sz w:val="20"/>
              </w:rPr>
              <w:t>Covered by SettleMint's ongoing security processes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credibility</w:t>
            </w:r>
          </w:p>
        </w:tc>
        <w:tc>
          <w:tcPr>
            <w:tcW w:type="dxa" w:w="3249"/>
            <w:vAlign w:val="center"/>
          </w:tcPr>
          <w:p>
            <w:pPr>
              <w:spacing w:line="276" w:lineRule="auto" w:before="0" w:after="0"/>
            </w:pPr>
            <w:r/>
            <w:r>
              <w:rPr>
                <w:rFonts w:ascii="Figtree" w:hAnsi="Figtree"/>
                <w:b w:val="0"/>
                <w:i w:val="0"/>
                <w:sz w:val="20"/>
              </w:rPr>
              <w:t>Unproven, custom-built</w:t>
            </w:r>
          </w:p>
        </w:tc>
        <w:tc>
          <w:tcPr>
            <w:tcW w:type="dxa" w:w="3249"/>
            <w:vAlign w:val="center"/>
          </w:tcPr>
          <w:p>
            <w:pPr>
              <w:spacing w:line="276" w:lineRule="auto" w:before="0" w:after="0"/>
            </w:pPr>
            <w:r/>
            <w:r>
              <w:rPr>
                <w:rFonts w:ascii="Figtree" w:hAnsi="Figtree"/>
                <w:b w:val="0"/>
                <w:i w:val="0"/>
                <w:sz w:val="20"/>
              </w:rPr>
              <w:t>Production-proven across tier-1 banks and sovereign entities</w:t>
            </w:r>
          </w:p>
        </w:tc>
      </w:tr>
      <w:tr>
        <w:trPr>
          <w:trHeight w:val="425" w:hRule="atLeast"/>
        </w:trPr>
        <w:tc>
          <w:tcPr>
            <w:tcW w:type="dxa" w:w="3249"/>
            <w:vAlign w:val="center"/>
          </w:tcPr>
          <w:p>
            <w:pPr>
              <w:spacing w:line="276" w:lineRule="auto" w:before="0" w:after="0"/>
            </w:pPr>
            <w:r/>
            <w:r>
              <w:rPr>
                <w:rFonts w:ascii="Figtree" w:hAnsi="Figtree"/>
                <w:b w:val="0"/>
                <w:i w:val="0"/>
                <w:sz w:val="20"/>
              </w:rPr>
              <w:t>Multi-asset class expansion</w:t>
            </w:r>
          </w:p>
        </w:tc>
        <w:tc>
          <w:tcPr>
            <w:tcW w:type="dxa" w:w="3249"/>
            <w:vAlign w:val="center"/>
          </w:tcPr>
          <w:p>
            <w:pPr>
              <w:spacing w:line="276" w:lineRule="auto" w:before="0" w:after="0"/>
            </w:pPr>
            <w:r/>
            <w:r>
              <w:rPr>
                <w:rFonts w:ascii="Figtree" w:hAnsi="Figtree"/>
                <w:b w:val="0"/>
                <w:i w:val="0"/>
                <w:sz w:val="20"/>
              </w:rPr>
              <w:t>Incremental build per asset class</w:t>
            </w:r>
          </w:p>
        </w:tc>
        <w:tc>
          <w:tcPr>
            <w:tcW w:type="dxa" w:w="3249"/>
            <w:vAlign w:val="center"/>
          </w:tcPr>
          <w:p>
            <w:pPr>
              <w:spacing w:line="276" w:lineRule="auto" w:before="0" w:after="0"/>
            </w:pPr>
            <w:r/>
            <w:r>
              <w:rPr>
                <w:rFonts w:ascii="Figtree" w:hAnsi="Figtree"/>
                <w:b w:val="0"/>
                <w:i w:val="0"/>
                <w:sz w:val="20"/>
              </w:rPr>
              <w:t>All 7 asset classes included from day one</w:t>
            </w:r>
          </w:p>
        </w:tc>
      </w:tr>
      <w:tr>
        <w:trPr>
          <w:trHeight w:val="425" w:hRule="atLeast"/>
        </w:trPr>
        <w:tc>
          <w:tcPr>
            <w:tcW w:type="dxa" w:w="3249"/>
            <w:vAlign w:val="center"/>
          </w:tcPr>
          <w:p>
            <w:pPr>
              <w:spacing w:line="276" w:lineRule="auto" w:before="0" w:after="0"/>
            </w:pPr>
            <w:r/>
            <w:r>
              <w:rPr>
                <w:rFonts w:ascii="Figtree" w:hAnsi="Figtree"/>
                <w:b w:val="0"/>
                <w:i w:val="0"/>
                <w:sz w:val="20"/>
              </w:rPr>
              <w:t>Posidonia readiness</w:t>
            </w:r>
          </w:p>
        </w:tc>
        <w:tc>
          <w:tcPr>
            <w:tcW w:type="dxa" w:w="3249"/>
            <w:vAlign w:val="center"/>
          </w:tcPr>
          <w:p>
            <w:pPr>
              <w:spacing w:line="276" w:lineRule="auto" w:before="0" w:after="0"/>
            </w:pPr>
            <w:r/>
            <w:r>
              <w:rPr>
                <w:rFonts w:ascii="Figtree" w:hAnsi="Figtree"/>
                <w:b w:val="0"/>
                <w:i w:val="0"/>
                <w:sz w:val="20"/>
              </w:rPr>
              <w:t>Not achievable in timeline</w:t>
            </w:r>
          </w:p>
        </w:tc>
        <w:tc>
          <w:tcPr>
            <w:tcW w:type="dxa" w:w="3249"/>
            <w:vAlign w:val="center"/>
          </w:tcPr>
          <w:p>
            <w:pPr>
              <w:spacing w:line="276" w:lineRule="auto" w:before="0" w:after="0"/>
            </w:pPr>
            <w:r/>
            <w:r>
              <w:rPr>
                <w:rFonts w:ascii="Figtree" w:hAnsi="Figtree"/>
                <w:b w:val="0"/>
                <w:i w:val="0"/>
                <w:sz w:val="20"/>
              </w:rPr>
              <w:t>Achievable with disciplined execution</w:t>
            </w:r>
          </w:p>
        </w:tc>
      </w:tr>
    </w:tbl>
    <w:p>
      <w:pPr>
        <w:spacing w:before="0" w:after="0" w:line="120" w:lineRule="exact"/>
      </w:pPr>
    </w:p>
    <w:p>
      <w:r>
        <w:rPr>
          <w:rFonts w:ascii="Figtree" w:hAnsi="Figtree"/>
          <w:b w:val="0"/>
          <w:i w:val="0"/>
          <w:sz w:val="22"/>
        </w:rPr>
        <w:t>The in-house build path would cost Neptune an estimated €1.5M to €3M over three years (primarily engineering salaries and audit costs) to achieve capabilities that DALP delivers for approximately €433,000 to €488,000 over the same period. More critically, the in-house path cannot meet the Posidonia timeline. A 12 to 18 month build cycle means the earliest possible announcement would be late 2027.</w:t>
      </w:r>
    </w:p>
    <w:p>
      <w:pPr>
        <w:pStyle w:val="H3"/>
        <w:numPr>
          <w:ilvl w:val="2"/>
          <w:numId w:val="1"/>
        </w:numPr>
      </w:pPr>
      <w:r>
        <w:t>Comparative Analysis: DALP vs.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3361"/>
        <w:gridCol w:w="41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Vendor relationships to manage</w:t>
            </w:r>
          </w:p>
        </w:tc>
        <w:tc>
          <w:tcPr>
            <w:tcW w:type="dxa" w:w="3249"/>
            <w:vAlign w:val="center"/>
          </w:tcPr>
          <w:p>
            <w:pPr>
              <w:spacing w:line="276" w:lineRule="auto" w:before="0" w:after="0"/>
            </w:pPr>
            <w:r/>
            <w:r>
              <w:rPr>
                <w:rFonts w:ascii="Figtree" w:hAnsi="Figtree"/>
                <w:b w:val="0"/>
                <w:i w:val="0"/>
                <w:sz w:val="20"/>
              </w:rPr>
              <w:t>3 to 5+ (issuance, compliance, custody, settlement, monitoring)</w:t>
            </w:r>
          </w:p>
        </w:tc>
        <w:tc>
          <w:tcPr>
            <w:tcW w:type="dxa" w:w="3249"/>
            <w:vAlign w:val="center"/>
          </w:tcPr>
          <w:p>
            <w:pPr>
              <w:spacing w:line="276" w:lineRule="auto" w:before="0" w:after="0"/>
            </w:pPr>
            <w:r/>
            <w:r>
              <w:rPr>
                <w:rFonts w:ascii="Figtree" w:hAnsi="Figtree"/>
                <w:b w:val="0"/>
                <w:i w:val="0"/>
                <w:sz w:val="20"/>
              </w:rPr>
              <w:t>1 (SettleMint for platform; MindWave for UI is Neptune's direct relationship)</w:t>
            </w:r>
          </w:p>
        </w:tc>
      </w:tr>
      <w:tr>
        <w:trPr>
          <w:trHeight w:val="425" w:hRule="atLeast"/>
        </w:trPr>
        <w:tc>
          <w:tcPr>
            <w:tcW w:type="dxa" w:w="3249"/>
            <w:vAlign w:val="center"/>
          </w:tcPr>
          <w:p>
            <w:pPr>
              <w:spacing w:line="276" w:lineRule="auto" w:before="0" w:after="0"/>
            </w:pPr>
            <w:r/>
            <w:r>
              <w:rPr>
                <w:rFonts w:ascii="Figtree" w:hAnsi="Figtree"/>
                <w:b w:val="0"/>
                <w:i w:val="0"/>
                <w:sz w:val="20"/>
              </w:rPr>
              <w:t>Integration points to maintain</w:t>
            </w:r>
          </w:p>
        </w:tc>
        <w:tc>
          <w:tcPr>
            <w:tcW w:type="dxa" w:w="3249"/>
            <w:vAlign w:val="center"/>
          </w:tcPr>
          <w:p>
            <w:pPr>
              <w:spacing w:line="276" w:lineRule="auto" w:before="0" w:after="0"/>
            </w:pPr>
            <w:r/>
            <w:r>
              <w:rPr>
                <w:rFonts w:ascii="Figtree" w:hAnsi="Figtree"/>
                <w:b w:val="0"/>
                <w:i w:val="0"/>
                <w:sz w:val="20"/>
              </w:rPr>
              <w:t>8 to 15 cross-vendor connections</w:t>
            </w:r>
          </w:p>
        </w:tc>
        <w:tc>
          <w:tcPr>
            <w:tcW w:type="dxa" w:w="3249"/>
            <w:vAlign w:val="center"/>
          </w:tcPr>
          <w:p>
            <w:pPr>
              <w:spacing w:line="276" w:lineRule="auto" w:before="0" w:after="0"/>
            </w:pPr>
            <w:r/>
            <w:r>
              <w:rPr>
                <w:rFonts w:ascii="Figtree" w:hAnsi="Figtree"/>
                <w:b w:val="0"/>
                <w:i w:val="0"/>
                <w:sz w:val="20"/>
              </w:rPr>
              <w:t>Single integrated platform with unified API surface</w:t>
            </w:r>
          </w:p>
        </w:tc>
      </w:tr>
      <w:tr>
        <w:trPr>
          <w:trHeight w:val="425" w:hRule="atLeast"/>
        </w:trPr>
        <w:tc>
          <w:tcPr>
            <w:tcW w:type="dxa" w:w="3249"/>
            <w:vAlign w:val="center"/>
          </w:tcPr>
          <w:p>
            <w:pPr>
              <w:spacing w:line="276" w:lineRule="auto" w:before="0" w:after="0"/>
            </w:pPr>
            <w:r/>
            <w:r>
              <w:rPr>
                <w:rFonts w:ascii="Figtree" w:hAnsi="Figtree"/>
                <w:b w:val="0"/>
                <w:i w:val="0"/>
                <w:sz w:val="20"/>
              </w:rPr>
              <w:t>SLA accountability</w:t>
            </w:r>
          </w:p>
        </w:tc>
        <w:tc>
          <w:tcPr>
            <w:tcW w:type="dxa" w:w="3249"/>
            <w:vAlign w:val="center"/>
          </w:tcPr>
          <w:p>
            <w:pPr>
              <w:spacing w:line="276" w:lineRule="auto" w:before="0" w:after="0"/>
            </w:pPr>
            <w:r/>
            <w:r>
              <w:rPr>
                <w:rFonts w:ascii="Figtree" w:hAnsi="Figtree"/>
                <w:b w:val="0"/>
                <w:i w:val="0"/>
                <w:sz w:val="20"/>
              </w:rPr>
              <w:t>Split across vendors; gaps at integration seams</w:t>
            </w:r>
          </w:p>
        </w:tc>
        <w:tc>
          <w:tcPr>
            <w:tcW w:type="dxa" w:w="3249"/>
            <w:vAlign w:val="center"/>
          </w:tcPr>
          <w:p>
            <w:pPr>
              <w:spacing w:line="276" w:lineRule="auto" w:before="0" w:after="0"/>
            </w:pPr>
            <w:r/>
            <w:r>
              <w:rPr>
                <w:rFonts w:ascii="Figtree" w:hAnsi="Figtree"/>
                <w:b w:val="0"/>
                <w:i w:val="0"/>
                <w:sz w:val="20"/>
              </w:rPr>
              <w:t>Single SLA with SettleMint</w:t>
            </w:r>
          </w:p>
        </w:tc>
      </w:tr>
      <w:tr>
        <w:trPr>
          <w:trHeight w:val="425" w:hRule="atLeast"/>
        </w:trPr>
        <w:tc>
          <w:tcPr>
            <w:tcW w:type="dxa" w:w="3249"/>
            <w:vAlign w:val="center"/>
          </w:tcPr>
          <w:p>
            <w:pPr>
              <w:spacing w:line="276" w:lineRule="auto" w:before="0" w:after="0"/>
            </w:pPr>
            <w:r/>
            <w:r>
              <w:rPr>
                <w:rFonts w:ascii="Figtree" w:hAnsi="Figtree"/>
                <w:b w:val="0"/>
                <w:i w:val="0"/>
                <w:sz w:val="20"/>
              </w:rPr>
              <w:t>Audit trail consistency</w:t>
            </w:r>
          </w:p>
        </w:tc>
        <w:tc>
          <w:tcPr>
            <w:tcW w:type="dxa" w:w="3249"/>
            <w:vAlign w:val="center"/>
          </w:tcPr>
          <w:p>
            <w:pPr>
              <w:spacing w:line="276" w:lineRule="auto" w:before="0" w:after="0"/>
            </w:pPr>
            <w:r/>
            <w:r>
              <w:rPr>
                <w:rFonts w:ascii="Figtree" w:hAnsi="Figtree"/>
                <w:b w:val="0"/>
                <w:i w:val="0"/>
                <w:sz w:val="20"/>
              </w:rPr>
              <w:t>Distributed across vendor systems; requires reconciliation</w:t>
            </w:r>
          </w:p>
        </w:tc>
        <w:tc>
          <w:tcPr>
            <w:tcW w:type="dxa" w:w="3249"/>
            <w:vAlign w:val="center"/>
          </w:tcPr>
          <w:p>
            <w:pPr>
              <w:spacing w:line="276" w:lineRule="auto" w:before="0" w:after="0"/>
            </w:pPr>
            <w:r/>
            <w:r>
              <w:rPr>
                <w:rFonts w:ascii="Figtree" w:hAnsi="Figtree"/>
                <w:b w:val="0"/>
                <w:i w:val="0"/>
                <w:sz w:val="20"/>
              </w:rPr>
              <w:t>Unified on-chain audit trail across all lifecycle operations</w:t>
            </w:r>
          </w:p>
        </w:tc>
      </w:tr>
      <w:tr>
        <w:trPr>
          <w:trHeight w:val="425" w:hRule="atLeast"/>
        </w:trPr>
        <w:tc>
          <w:tcPr>
            <w:tcW w:type="dxa" w:w="3249"/>
            <w:vAlign w:val="center"/>
          </w:tcPr>
          <w:p>
            <w:pPr>
              <w:spacing w:line="276" w:lineRule="auto" w:before="0" w:after="0"/>
            </w:pPr>
            <w:r/>
            <w:r>
              <w:rPr>
                <w:rFonts w:ascii="Figtree" w:hAnsi="Figtree"/>
                <w:b w:val="0"/>
                <w:i w:val="0"/>
                <w:sz w:val="20"/>
              </w:rPr>
              <w:t>Incident resolution</w:t>
            </w:r>
          </w:p>
        </w:tc>
        <w:tc>
          <w:tcPr>
            <w:tcW w:type="dxa" w:w="3249"/>
            <w:vAlign w:val="center"/>
          </w:tcPr>
          <w:p>
            <w:pPr>
              <w:spacing w:line="276" w:lineRule="auto" w:before="0" w:after="0"/>
            </w:pPr>
            <w:r/>
            <w:r>
              <w:rPr>
                <w:rFonts w:ascii="Figtree" w:hAnsi="Figtree"/>
                <w:b w:val="0"/>
                <w:i w:val="0"/>
                <w:sz w:val="20"/>
              </w:rPr>
              <w:t>Multi-party coordination for cross-system issues</w:t>
            </w:r>
          </w:p>
        </w:tc>
        <w:tc>
          <w:tcPr>
            <w:tcW w:type="dxa" w:w="3249"/>
            <w:vAlign w:val="center"/>
          </w:tcPr>
          <w:p>
            <w:pPr>
              <w:spacing w:line="276" w:lineRule="auto" w:before="0" w:after="0"/>
            </w:pPr>
            <w:r/>
            <w:r>
              <w:rPr>
                <w:rFonts w:ascii="Figtree" w:hAnsi="Figtree"/>
                <w:b w:val="0"/>
                <w:i w:val="0"/>
                <w:sz w:val="20"/>
              </w:rPr>
              <w:t>Single escalation path to SettleMint</w:t>
            </w:r>
          </w:p>
        </w:tc>
      </w:tr>
      <w:tr>
        <w:trPr>
          <w:trHeight w:val="425" w:hRule="atLeast"/>
        </w:trPr>
        <w:tc>
          <w:tcPr>
            <w:tcW w:type="dxa" w:w="3249"/>
            <w:vAlign w:val="center"/>
          </w:tcPr>
          <w:p>
            <w:pPr>
              <w:spacing w:line="276" w:lineRule="auto" w:before="0" w:after="0"/>
            </w:pPr>
            <w:r/>
            <w:r>
              <w:rPr>
                <w:rFonts w:ascii="Figtree" w:hAnsi="Figtree"/>
                <w:b w:val="0"/>
                <w:i w:val="0"/>
                <w:sz w:val="20"/>
              </w:rPr>
              <w:t>Release coordination</w:t>
            </w:r>
          </w:p>
        </w:tc>
        <w:tc>
          <w:tcPr>
            <w:tcW w:type="dxa" w:w="3249"/>
            <w:vAlign w:val="center"/>
          </w:tcPr>
          <w:p>
            <w:pPr>
              <w:spacing w:line="276" w:lineRule="auto" w:before="0" w:after="0"/>
            </w:pPr>
            <w:r/>
            <w:r>
              <w:rPr>
                <w:rFonts w:ascii="Figtree" w:hAnsi="Figtree"/>
                <w:b w:val="0"/>
                <w:i w:val="0"/>
                <w:sz w:val="20"/>
              </w:rPr>
              <w:t>Independent vendor release cycles; compatibility risk</w:t>
            </w:r>
          </w:p>
        </w:tc>
        <w:tc>
          <w:tcPr>
            <w:tcW w:type="dxa" w:w="3249"/>
            <w:vAlign w:val="center"/>
          </w:tcPr>
          <w:p>
            <w:pPr>
              <w:spacing w:line="276" w:lineRule="auto" w:before="0" w:after="0"/>
            </w:pPr>
            <w:r/>
            <w:r>
              <w:rPr>
                <w:rFonts w:ascii="Figtree" w:hAnsi="Figtree"/>
                <w:b w:val="0"/>
                <w:i w:val="0"/>
                <w:sz w:val="20"/>
              </w:rPr>
              <w:t>Single platform release cycle managed by SettleMint</w:t>
            </w:r>
          </w:p>
        </w:tc>
      </w:tr>
      <w:tr>
        <w:trPr>
          <w:trHeight w:val="425" w:hRule="atLeast"/>
        </w:trPr>
        <w:tc>
          <w:tcPr>
            <w:tcW w:type="dxa" w:w="3249"/>
            <w:vAlign w:val="center"/>
          </w:tcPr>
          <w:p>
            <w:pPr>
              <w:spacing w:line="276" w:lineRule="auto" w:before="0" w:after="0"/>
            </w:pPr>
            <w:r/>
            <w:r>
              <w:rPr>
                <w:rFonts w:ascii="Figtree" w:hAnsi="Figtree"/>
                <w:b w:val="0"/>
                <w:i w:val="0"/>
                <w:sz w:val="20"/>
              </w:rPr>
              <w:t>Procurement overhead</w:t>
            </w:r>
          </w:p>
        </w:tc>
        <w:tc>
          <w:tcPr>
            <w:tcW w:type="dxa" w:w="3249"/>
            <w:vAlign w:val="center"/>
          </w:tcPr>
          <w:p>
            <w:pPr>
              <w:spacing w:line="276" w:lineRule="auto" w:before="0" w:after="0"/>
            </w:pPr>
            <w:r/>
            <w:r>
              <w:rPr>
                <w:rFonts w:ascii="Figtree" w:hAnsi="Figtree"/>
                <w:b w:val="0"/>
                <w:i w:val="0"/>
                <w:sz w:val="20"/>
              </w:rPr>
              <w:t>Multiple contracts, renewals, vendor risk assessments</w:t>
            </w:r>
          </w:p>
        </w:tc>
        <w:tc>
          <w:tcPr>
            <w:tcW w:type="dxa" w:w="3249"/>
            <w:vAlign w:val="center"/>
          </w:tcPr>
          <w:p>
            <w:pPr>
              <w:spacing w:line="276" w:lineRule="auto" w:before="0" w:after="0"/>
            </w:pPr>
            <w:r/>
            <w:r>
              <w:rPr>
                <w:rFonts w:ascii="Figtree" w:hAnsi="Figtree"/>
                <w:b w:val="0"/>
                <w:i w:val="0"/>
                <w:sz w:val="20"/>
              </w:rPr>
              <w:t>Single procurement cycle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 model</w:t>
            </w:r>
          </w:p>
        </w:tc>
        <w:tc>
          <w:tcPr>
            <w:tcW w:type="dxa" w:w="3249"/>
            <w:vAlign w:val="center"/>
          </w:tcPr>
          <w:p>
            <w:pPr>
              <w:spacing w:line="276" w:lineRule="auto" w:before="0" w:after="0"/>
            </w:pPr>
            <w:r/>
            <w:r>
              <w:rPr>
                <w:rFonts w:ascii="Figtree" w:hAnsi="Figtree"/>
                <w:b w:val="0"/>
                <w:i w:val="0"/>
                <w:sz w:val="20"/>
              </w:rPr>
              <w:t>Varies by vendor; post-trade checking common</w:t>
            </w:r>
          </w:p>
        </w:tc>
        <w:tc>
          <w:tcPr>
            <w:tcW w:type="dxa" w:w="3249"/>
            <w:vAlign w:val="center"/>
          </w:tcPr>
          <w:p>
            <w:pPr>
              <w:spacing w:line="276" w:lineRule="auto" w:before="0" w:after="0"/>
            </w:pPr>
            <w:r/>
            <w:r>
              <w:rPr>
                <w:rFonts w:ascii="Figtree" w:hAnsi="Figtree"/>
                <w:b w:val="0"/>
                <w:i w:val="0"/>
                <w:sz w:val="20"/>
              </w:rPr>
              <w:t>Ex-ante enforcement at the smart contract level; deterministic</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 for 60 SPCs</w:t>
            </w:r>
          </w:p>
        </w:tc>
        <w:tc>
          <w:tcPr>
            <w:tcW w:type="dxa" w:w="3249"/>
            <w:vAlign w:val="center"/>
          </w:tcPr>
          <w:p>
            <w:pPr>
              <w:spacing w:line="276" w:lineRule="auto" w:before="0" w:after="0"/>
            </w:pPr>
            <w:r/>
            <w:r>
              <w:rPr>
                <w:rFonts w:ascii="Figtree" w:hAnsi="Figtree"/>
                <w:b w:val="0"/>
                <w:i w:val="0"/>
                <w:sz w:val="20"/>
              </w:rPr>
              <w:t>9 to 15 months (vendor selection + integration + testing)</w:t>
            </w:r>
          </w:p>
        </w:tc>
        <w:tc>
          <w:tcPr>
            <w:tcW w:type="dxa" w:w="3249"/>
            <w:vAlign w:val="center"/>
          </w:tcPr>
          <w:p>
            <w:pPr>
              <w:spacing w:line="276" w:lineRule="auto" w:before="0" w:after="0"/>
            </w:pPr>
            <w:r/>
            <w:r>
              <w:rPr>
                <w:rFonts w:ascii="Figtree" w:hAnsi="Figtree"/>
                <w:b w:val="0"/>
                <w:i w:val="0"/>
                <w:sz w:val="20"/>
              </w:rPr>
              <w:t>12 weeks</w:t>
            </w:r>
          </w:p>
        </w:tc>
      </w:tr>
    </w:tbl>
    <w:p>
      <w:pPr>
        <w:spacing w:before="0" w:after="0" w:line="120" w:lineRule="exact"/>
      </w:pPr>
    </w:p>
    <w:p>
      <w:r>
        <w:rPr>
          <w:rFonts w:ascii="Figtree" w:hAnsi="Figtree"/>
          <w:b w:val="0"/>
          <w:i w:val="0"/>
          <w:sz w:val="22"/>
        </w:rPr>
        <w:t>The multi-vendor approach introduces hidden costs that compound over time. Integration maintenance between three or more vendors, cross-vendor incident coordination when a transaction fails at a seam, audit trail reconciliation across separate systems, and the organizational overhead of managing multiple vendor relationships, procurement cycles, and SLA negotiations. These costs are difficult to quantify upfront but routinely exceed the assembly's apparent licensing savings within 18 to 24 months.</w:t>
      </w:r>
    </w:p>
    <w:p>
      <w:pPr>
        <w:pStyle w:val="H3"/>
        <w:numPr>
          <w:ilvl w:val="2"/>
          <w:numId w:val="1"/>
        </w:numPr>
      </w:pPr>
      <w:r>
        <w:t>Cost-Per-SPC Economics: The Scale Advantage</w:t>
      </w:r>
    </w:p>
    <w:p>
      <w:r>
        <w:rPr>
          <w:rFonts w:ascii="Figtree" w:hAnsi="Figtree"/>
          <w:b w:val="0"/>
          <w:i w:val="0"/>
          <w:sz w:val="22"/>
        </w:rPr>
        <w:t>One of the most compelling aspects of DALP's licensing model for Neptune's use case is the improving unit economics as the fleet scales. The platform license cost is fixed within each period, meaning the cost per tokenized SPC decreases as more SPCs are added to the platform.</w:t>
      </w:r>
    </w:p>
    <w:p>
      <w:r>
        <w:rPr>
          <w:rFonts w:ascii="Figtree" w:hAnsi="Figtree"/>
          <w:b w:val="0"/>
          <w:i w:val="0"/>
          <w:sz w:val="22"/>
        </w:rPr>
        <w:t>At sixty SPCs, the annual platform cost of approximately €120,000 translates to €2,000 per SPC per year. At one hundred twenty SPCs (the expected case in Year 2 as Neptune expands to affiliate vessels), the per-SPC cost drops to €1,000 per year. At three hundred SPCs (the upside case in Year 3), the per-SPC cost falls to €400 per year.</w:t>
      </w:r>
    </w:p>
    <w:p>
      <w:r>
        <w:rPr>
          <w:rFonts w:ascii="Figtree" w:hAnsi="Figtree"/>
          <w:b w:val="0"/>
          <w:i w:val="0"/>
          <w:sz w:val="22"/>
        </w:rPr>
        <w:t>This improving cost curve creates a powerful economic incentive for Neptune to scale the tokenized fleet aggressively. Each additional SPC adds negligible incremental cost to the platform while potentially generating new capital formation, investor engagement, and administrative efficiency. The result is a platform that pays for itself more conclusively as Neptune's fleet grows.</w:t>
      </w:r>
    </w:p>
    <w:p>
      <w:r>
        <w:br w:type="page"/>
      </w:r>
    </w:p>
    <w:p>
      <w:pPr>
        <w:pStyle w:val="H2"/>
        <w:numPr>
          <w:ilvl w:val="1"/>
          <w:numId w:val="1"/>
        </w:numPr>
      </w:pPr>
      <w:r>
        <w:t>Reference Clients</w:t>
      </w:r>
    </w:p>
    <w:p>
      <w:pPr>
        <w:pStyle w:val="H3"/>
        <w:numPr>
          <w:ilvl w:val="2"/>
          <w:numId w:val="1"/>
        </w:numPr>
      </w:pPr>
      <w:r>
        <w:t>Production Track Record</w:t>
      </w:r>
    </w:p>
    <w:p>
      <w:r>
        <w:rPr>
          <w:rFonts w:ascii="Figtree" w:hAnsi="Figtree"/>
          <w:b w:val="0"/>
          <w:i w:val="0"/>
          <w:sz w:val="22"/>
        </w:rPr>
        <w:t>SettleMint's DALP platform and its predecessor technology have been deployed in production across regulated financial institutions, sovereign entities, and market infrastructure providers spanning Europe, the Middle East, and Asia-Pacific. The table below summarizes all named reference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3"/>
        <w:gridCol w:w="1177"/>
        <w:gridCol w:w="56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OCBC Bank</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Security token engine; securitization, tokenization, and fractionalization of off-chain assets for HNWI/HENRY investment products</w:t>
            </w:r>
          </w:p>
        </w:tc>
      </w:tr>
      <w:tr>
        <w:trPr>
          <w:trHeight w:val="425" w:hRule="atLeast"/>
        </w:trPr>
        <w:tc>
          <w:tcPr>
            <w:tcW w:type="dxa" w:w="3249"/>
            <w:vAlign w:val="center"/>
          </w:tcPr>
          <w:p>
            <w:pPr>
              <w:spacing w:line="276" w:lineRule="auto" w:before="0" w:after="0"/>
            </w:pPr>
            <w:r/>
            <w:r>
              <w:rPr>
                <w:rFonts w:ascii="Figtree" w:hAnsi="Figtree"/>
                <w:b w:val="0"/>
                <w:i w:val="0"/>
                <w:sz w:val="20"/>
              </w:rPr>
              <w:t>KBC Securities (Bolero Crowdfunding)</w:t>
            </w:r>
          </w:p>
        </w:tc>
        <w:tc>
          <w:tcPr>
            <w:tcW w:type="dxa" w:w="3249"/>
            <w:vAlign w:val="center"/>
          </w:tcPr>
          <w:p>
            <w:pPr>
              <w:spacing w:line="276" w:lineRule="auto" w:before="0" w:after="0"/>
            </w:pPr>
            <w:r/>
            <w:r>
              <w:rPr>
                <w:rFonts w:ascii="Figtree" w:hAnsi="Figtree"/>
                <w:b w:val="0"/>
                <w:i w:val="0"/>
                <w:sz w:val="20"/>
              </w:rPr>
              <w:t>Belgium</w:t>
            </w:r>
          </w:p>
        </w:tc>
        <w:tc>
          <w:tcPr>
            <w:tcW w:type="dxa" w:w="3249"/>
            <w:vAlign w:val="center"/>
          </w:tcPr>
          <w:p>
            <w:pPr>
              <w:spacing w:line="276" w:lineRule="auto" w:before="0" w:after="0"/>
            </w:pPr>
            <w:r/>
            <w:r>
              <w:rPr>
                <w:rFonts w:ascii="Figtree" w:hAnsi="Figtree"/>
                <w:b w:val="0"/>
                <w:i w:val="0"/>
                <w:sz w:val="20"/>
              </w:rPr>
              <w:t>Equity crowdfunding and SME loans; smart contract automation of issuance, lifecycle, corporate actions, and redemption</w:t>
            </w:r>
          </w:p>
        </w:tc>
      </w:tr>
      <w:tr>
        <w:trPr>
          <w:trHeight w:val="425" w:hRule="atLeast"/>
        </w:trPr>
        <w:tc>
          <w:tcPr>
            <w:tcW w:type="dxa" w:w="3249"/>
            <w:vAlign w:val="center"/>
          </w:tcPr>
          <w:p>
            <w:pPr>
              <w:spacing w:line="276" w:lineRule="auto" w:before="0" w:after="0"/>
            </w:pPr>
            <w:r/>
            <w:r>
              <w:rPr>
                <w:rFonts w:ascii="Figtree" w:hAnsi="Figtree"/>
                <w:b w:val="0"/>
                <w:i w:val="0"/>
                <w:sz w:val="20"/>
              </w:rPr>
              <w:t>KBC Insurance</w:t>
            </w:r>
          </w:p>
        </w:tc>
        <w:tc>
          <w:tcPr>
            <w:tcW w:type="dxa" w:w="3249"/>
            <w:vAlign w:val="center"/>
          </w:tcPr>
          <w:p>
            <w:pPr>
              <w:spacing w:line="276" w:lineRule="auto" w:before="0" w:after="0"/>
            </w:pPr>
            <w:r/>
            <w:r>
              <w:rPr>
                <w:rFonts w:ascii="Figtree" w:hAnsi="Figtree"/>
                <w:b w:val="0"/>
                <w:i w:val="0"/>
                <w:sz w:val="20"/>
              </w:rPr>
              <w:t>Belgium</w:t>
            </w:r>
          </w:p>
        </w:tc>
        <w:tc>
          <w:tcPr>
            <w:tcW w:type="dxa" w:w="3249"/>
            <w:vAlign w:val="center"/>
          </w:tcPr>
          <w:p>
            <w:pPr>
              <w:spacing w:line="276" w:lineRule="auto" w:before="0" w:after="0"/>
            </w:pPr>
            <w:r/>
            <w:r>
              <w:rPr>
                <w:rFonts w:ascii="Figtree" w:hAnsi="Figtree"/>
                <w:b w:val="0"/>
                <w:i w:val="0"/>
                <w:sz w:val="20"/>
              </w:rPr>
              <w:t>NFTs as digital product passports for insured asset valuation and claims processing</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 Bank</w:t>
            </w:r>
          </w:p>
        </w:tc>
        <w:tc>
          <w:tcPr>
            <w:tcW w:type="dxa" w:w="3249"/>
            <w:vAlign w:val="center"/>
          </w:tcPr>
          <w:p>
            <w:pPr>
              <w:spacing w:line="276" w:lineRule="auto" w:before="0" w:after="0"/>
            </w:pPr>
            <w:r/>
            <w:r>
              <w:rPr>
                <w:rFonts w:ascii="Figtree" w:hAnsi="Figtree"/>
                <w:b w:val="0"/>
                <w:i w:val="0"/>
                <w:sz w:val="20"/>
              </w:rPr>
              <w:t>Asia, Africa, Middle East</w:t>
            </w:r>
          </w:p>
        </w:tc>
        <w:tc>
          <w:tcPr>
            <w:tcW w:type="dxa" w:w="3249"/>
            <w:vAlign w:val="center"/>
          </w:tcPr>
          <w:p>
            <w:pPr>
              <w:spacing w:line="276" w:lineRule="auto" w:before="0" w:after="0"/>
            </w:pPr>
            <w:r/>
            <w:r>
              <w:rPr>
                <w:rFonts w:ascii="Figtree" w:hAnsi="Figtree"/>
                <w:b w:val="0"/>
                <w:i w:val="0"/>
                <w:sz w:val="20"/>
              </w:rPr>
              <w:t>Digital Virtual Exchange; fractional tokenization of securities for institutional trading</w:t>
            </w:r>
          </w:p>
        </w:tc>
      </w:tr>
      <w:tr>
        <w:trPr>
          <w:trHeight w:val="425" w:hRule="atLeast"/>
        </w:trPr>
        <w:tc>
          <w:tcPr>
            <w:tcW w:type="dxa" w:w="3249"/>
            <w:vAlign w:val="center"/>
          </w:tcPr>
          <w:p>
            <w:pPr>
              <w:spacing w:line="276" w:lineRule="auto" w:before="0" w:after="0"/>
            </w:pPr>
            <w:r/>
            <w:r>
              <w:rPr>
                <w:rFonts w:ascii="Figtree" w:hAnsi="Figtree"/>
                <w:b w:val="0"/>
                <w:i w:val="0"/>
                <w:sz w:val="20"/>
              </w:rPr>
              <w:t>Reserve Bank of India (Innovation Hub)</w:t>
            </w:r>
          </w:p>
        </w:tc>
        <w:tc>
          <w:tcPr>
            <w:tcW w:type="dxa" w:w="3249"/>
            <w:vAlign w:val="center"/>
          </w:tcPr>
          <w:p>
            <w:pPr>
              <w:spacing w:line="276" w:lineRule="auto" w:before="0" w:after="0"/>
            </w:pPr>
            <w:r/>
            <w:r>
              <w:rPr>
                <w:rFonts w:ascii="Figtree" w:hAnsi="Figtree"/>
                <w:b w:val="0"/>
                <w:i w:val="0"/>
                <w:sz w:val="20"/>
              </w:rPr>
              <w:t>India</w:t>
            </w:r>
          </w:p>
        </w:tc>
        <w:tc>
          <w:tcPr>
            <w:tcW w:type="dxa" w:w="3249"/>
            <w:vAlign w:val="center"/>
          </w:tcPr>
          <w:p>
            <w:pPr>
              <w:spacing w:line="276" w:lineRule="auto" w:before="0" w:after="0"/>
            </w:pPr>
            <w:r/>
            <w:r>
              <w:rPr>
                <w:rFonts w:ascii="Figtree" w:hAnsi="Figtree"/>
                <w:b w:val="0"/>
                <w:i w:val="0"/>
                <w:sz w:val="20"/>
              </w:rPr>
              <w:t>Multi-bank letter of credit trade finance on multi-node, multi-cloud blockchain</w:t>
            </w:r>
          </w:p>
        </w:tc>
      </w:tr>
      <w:tr>
        <w:trPr>
          <w:trHeight w:val="425" w:hRule="atLeast"/>
        </w:trPr>
        <w:tc>
          <w:tcPr>
            <w:tcW w:type="dxa" w:w="3249"/>
            <w:vAlign w:val="center"/>
          </w:tcPr>
          <w:p>
            <w:pPr>
              <w:spacing w:line="276" w:lineRule="auto" w:before="0" w:after="0"/>
            </w:pPr>
            <w:r/>
            <w:r>
              <w:rPr>
                <w:rFonts w:ascii="Figtree" w:hAnsi="Figtree"/>
                <w:b w:val="0"/>
                <w:i w:val="0"/>
                <w:sz w:val="20"/>
              </w:rPr>
              <w:t>Sony Bank (Sony Group)</w:t>
            </w:r>
          </w:p>
        </w:tc>
        <w:tc>
          <w:tcPr>
            <w:tcW w:type="dxa" w:w="3249"/>
            <w:vAlign w:val="center"/>
          </w:tcPr>
          <w:p>
            <w:pPr>
              <w:spacing w:line="276" w:lineRule="auto" w:before="0" w:after="0"/>
            </w:pPr>
            <w:r/>
            <w:r>
              <w:rPr>
                <w:rFonts w:ascii="Figtree" w:hAnsi="Figtree"/>
                <w:b w:val="0"/>
                <w:i w:val="0"/>
                <w:sz w:val="20"/>
              </w:rPr>
              <w:t>Japan</w:t>
            </w:r>
          </w:p>
        </w:tc>
        <w:tc>
          <w:tcPr>
            <w:tcW w:type="dxa" w:w="3249"/>
            <w:vAlign w:val="center"/>
          </w:tcPr>
          <w:p>
            <w:pPr>
              <w:spacing w:line="276" w:lineRule="auto" w:before="0" w:after="0"/>
            </w:pPr>
            <w:r/>
            <w:r>
              <w:rPr>
                <w:rFonts w:ascii="Figtree" w:hAnsi="Figtree"/>
                <w:b w:val="0"/>
                <w:i w:val="0"/>
                <w:sz w:val="20"/>
              </w:rPr>
              <w:t>Stablecoin issuance and management with integrated digital identity; KYC-enabled Web3 banking</w:t>
            </w:r>
          </w:p>
        </w:tc>
      </w:tr>
      <w:tr>
        <w:trPr>
          <w:trHeight w:val="425" w:hRule="atLeast"/>
        </w:trPr>
        <w:tc>
          <w:tcPr>
            <w:tcW w:type="dxa" w:w="3249"/>
            <w:vAlign w:val="center"/>
          </w:tcPr>
          <w:p>
            <w:pPr>
              <w:spacing w:line="276" w:lineRule="auto" w:before="0" w:after="0"/>
            </w:pPr>
            <w:r/>
            <w:r>
              <w:rPr>
                <w:rFonts w:ascii="Figtree" w:hAnsi="Figtree"/>
                <w:b w:val="0"/>
                <w:i w:val="0"/>
                <w:sz w:val="20"/>
              </w:rPr>
              <w:t>State Bank of India</w:t>
            </w:r>
          </w:p>
        </w:tc>
        <w:tc>
          <w:tcPr>
            <w:tcW w:type="dxa" w:w="3249"/>
            <w:vAlign w:val="center"/>
          </w:tcPr>
          <w:p>
            <w:pPr>
              <w:spacing w:line="276" w:lineRule="auto" w:before="0" w:after="0"/>
            </w:pPr>
            <w:r/>
            <w:r>
              <w:rPr>
                <w:rFonts w:ascii="Figtree" w:hAnsi="Figtree"/>
                <w:b w:val="0"/>
                <w:i w:val="0"/>
                <w:sz w:val="20"/>
              </w:rPr>
              <w:t>India</w:t>
            </w:r>
          </w:p>
        </w:tc>
        <w:tc>
          <w:tcPr>
            <w:tcW w:type="dxa" w:w="3249"/>
            <w:vAlign w:val="center"/>
          </w:tcPr>
          <w:p>
            <w:pPr>
              <w:spacing w:line="276" w:lineRule="auto" w:before="0" w:after="0"/>
            </w:pPr>
            <w:r/>
            <w:r>
              <w:rPr>
                <w:rFonts w:ascii="Figtree" w:hAnsi="Figtree"/>
                <w:b w:val="0"/>
                <w:i w:val="0"/>
                <w:sz w:val="20"/>
              </w:rPr>
              <w:t>CBDC infrastructure for secure, scalable digital currency (pilot successful, production in progress)</w:t>
            </w:r>
          </w:p>
        </w:tc>
      </w:tr>
      <w:tr>
        <w:trPr>
          <w:trHeight w:val="425" w:hRule="atLeast"/>
        </w:trPr>
        <w:tc>
          <w:tcPr>
            <w:tcW w:type="dxa" w:w="3249"/>
            <w:vAlign w:val="center"/>
          </w:tcPr>
          <w:p>
            <w:pPr>
              <w:spacing w:line="276" w:lineRule="auto" w:before="0" w:after="0"/>
            </w:pPr>
            <w:r/>
            <w:r>
              <w:rPr>
                <w:rFonts w:ascii="Figtree" w:hAnsi="Figtree"/>
                <w:b w:val="0"/>
                <w:i w:val="0"/>
                <w:sz w:val="20"/>
              </w:rPr>
              <w:t>Islamic Development Bank (subsidy distribution)</w:t>
            </w:r>
          </w:p>
        </w:tc>
        <w:tc>
          <w:tcPr>
            <w:tcW w:type="dxa" w:w="3249"/>
            <w:vAlign w:val="center"/>
          </w:tcPr>
          <w:p>
            <w:pPr>
              <w:spacing w:line="276" w:lineRule="auto" w:before="0" w:after="0"/>
            </w:pPr>
            <w:r/>
            <w:r>
              <w:rPr>
                <w:rFonts w:ascii="Figtree" w:hAnsi="Figtree"/>
                <w:b w:val="0"/>
                <w:i w:val="0"/>
                <w:sz w:val="20"/>
              </w:rPr>
              <w:t>57 member countries</w:t>
            </w:r>
          </w:p>
        </w:tc>
        <w:tc>
          <w:tcPr>
            <w:tcW w:type="dxa" w:w="3249"/>
            <w:vAlign w:val="center"/>
          </w:tcPr>
          <w:p>
            <w:pPr>
              <w:spacing w:line="276" w:lineRule="auto" w:before="0" w:after="0"/>
            </w:pPr>
            <w:r/>
            <w:r>
              <w:rPr>
                <w:rFonts w:ascii="Figtree" w:hAnsi="Figtree"/>
                <w:b w:val="0"/>
                <w:i w:val="0"/>
                <w:sz w:val="20"/>
              </w:rPr>
              <w:t>Sharia-compliant blockchain-based subsidy distribution; financial inclusion for 1.7 billion people</w:t>
            </w:r>
          </w:p>
        </w:tc>
      </w:tr>
      <w:tr>
        <w:trPr>
          <w:trHeight w:val="425" w:hRule="atLeast"/>
        </w:trPr>
        <w:tc>
          <w:tcPr>
            <w:tcW w:type="dxa" w:w="3249"/>
            <w:vAlign w:val="center"/>
          </w:tcPr>
          <w:p>
            <w:pPr>
              <w:spacing w:line="276" w:lineRule="auto" w:before="0" w:after="0"/>
            </w:pPr>
            <w:r/>
            <w:r>
              <w:rPr>
                <w:rFonts w:ascii="Figtree" w:hAnsi="Figtree"/>
                <w:b w:val="0"/>
                <w:i w:val="0"/>
                <w:sz w:val="20"/>
              </w:rPr>
              <w:t>Mizuho Bank</w:t>
            </w:r>
          </w:p>
        </w:tc>
        <w:tc>
          <w:tcPr>
            <w:tcW w:type="dxa" w:w="3249"/>
            <w:vAlign w:val="center"/>
          </w:tcPr>
          <w:p>
            <w:pPr>
              <w:spacing w:line="276" w:lineRule="auto" w:before="0" w:after="0"/>
            </w:pPr>
            <w:r/>
            <w:r>
              <w:rPr>
                <w:rFonts w:ascii="Figtree" w:hAnsi="Figtree"/>
                <w:b w:val="0"/>
                <w:i w:val="0"/>
                <w:sz w:val="20"/>
              </w:rPr>
              <w:t>Japan</w:t>
            </w:r>
          </w:p>
        </w:tc>
        <w:tc>
          <w:tcPr>
            <w:tcW w:type="dxa" w:w="3249"/>
            <w:vAlign w:val="center"/>
          </w:tcPr>
          <w:p>
            <w:pPr>
              <w:spacing w:line="276" w:lineRule="auto" w:before="0" w:after="0"/>
            </w:pPr>
            <w:r/>
            <w:r>
              <w:rPr>
                <w:rFonts w:ascii="Figtree" w:hAnsi="Figtree"/>
                <w:b w:val="0"/>
                <w:i w:val="0"/>
                <w:sz w:val="20"/>
              </w:rPr>
              <w:t>Bond tokenization and trade finance (PoC completed late 2025, production planning stage)</w:t>
            </w:r>
          </w:p>
        </w:tc>
      </w:tr>
      <w:tr>
        <w:trPr>
          <w:trHeight w:val="425" w:hRule="atLeast"/>
        </w:trPr>
        <w:tc>
          <w:tcPr>
            <w:tcW w:type="dxa" w:w="3249"/>
            <w:vAlign w:val="center"/>
          </w:tcPr>
          <w:p>
            <w:pPr>
              <w:spacing w:line="276" w:lineRule="auto" w:before="0" w:after="0"/>
            </w:pPr>
            <w:r/>
            <w:r>
              <w:rPr>
                <w:rFonts w:ascii="Figtree" w:hAnsi="Figtree"/>
                <w:b w:val="0"/>
                <w:i w:val="0"/>
                <w:sz w:val="20"/>
              </w:rPr>
              <w:t>Islamic Development Bank (market stabilization)</w:t>
            </w:r>
          </w:p>
        </w:tc>
        <w:tc>
          <w:tcPr>
            <w:tcW w:type="dxa" w:w="3249"/>
            <w:vAlign w:val="center"/>
          </w:tcPr>
          <w:p>
            <w:pPr>
              <w:spacing w:line="276" w:lineRule="auto" w:before="0" w:after="0"/>
            </w:pPr>
            <w:r/>
            <w:r>
              <w:rPr>
                <w:rFonts w:ascii="Figtree" w:hAnsi="Figtree"/>
                <w:b w:val="0"/>
                <w:i w:val="0"/>
                <w:sz w:val="20"/>
              </w:rPr>
              <w:t>Global</w:t>
            </w:r>
          </w:p>
        </w:tc>
        <w:tc>
          <w:tcPr>
            <w:tcW w:type="dxa" w:w="3249"/>
            <w:vAlign w:val="center"/>
          </w:tcPr>
          <w:p>
            <w:pPr>
              <w:spacing w:line="276" w:lineRule="auto" w:before="0" w:after="0"/>
            </w:pPr>
            <w:r/>
            <w:r>
              <w:rPr>
                <w:rFonts w:ascii="Figtree" w:hAnsi="Figtree"/>
                <w:b w:val="0"/>
                <w:i w:val="0"/>
                <w:sz w:val="20"/>
              </w:rPr>
              <w:t>Sharia-compliant market stabilization; 30 to 50% volatility reduction through algorithms and smart contracts</w:t>
            </w:r>
          </w:p>
        </w:tc>
      </w:tr>
      <w:tr>
        <w:trPr>
          <w:trHeight w:val="425" w:hRule="atLeast"/>
        </w:trPr>
        <w:tc>
          <w:tcPr>
            <w:tcW w:type="dxa" w:w="3249"/>
            <w:vAlign w:val="center"/>
          </w:tcPr>
          <w:p>
            <w:pPr>
              <w:spacing w:line="276" w:lineRule="auto" w:before="0" w:after="0"/>
            </w:pPr>
            <w:r/>
            <w:r>
              <w:rPr>
                <w:rFonts w:ascii="Figtree" w:hAnsi="Figtree"/>
                <w:b w:val="0"/>
                <w:i w:val="0"/>
                <w:sz w:val="20"/>
              </w:rPr>
              <w:t>Maybank (Project Photon)</w:t>
            </w:r>
          </w:p>
        </w:tc>
        <w:tc>
          <w:tcPr>
            <w:tcW w:type="dxa" w:w="3249"/>
            <w:vAlign w:val="center"/>
          </w:tcPr>
          <w:p>
            <w:pPr>
              <w:spacing w:line="276" w:lineRule="auto" w:before="0" w:after="0"/>
            </w:pPr>
            <w:r/>
            <w:r>
              <w:rPr>
                <w:rFonts w:ascii="Figtree" w:hAnsi="Figtree"/>
                <w:b w:val="0"/>
                <w:i w:val="0"/>
                <w:sz w:val="20"/>
              </w:rPr>
              <w:t>Malaysia</w:t>
            </w:r>
          </w:p>
        </w:tc>
        <w:tc>
          <w:tcPr>
            <w:tcW w:type="dxa" w:w="3249"/>
            <w:vAlign w:val="center"/>
          </w:tcPr>
          <w:p>
            <w:pPr>
              <w:spacing w:line="276" w:lineRule="auto" w:before="0" w:after="0"/>
            </w:pPr>
            <w:r/>
            <w:r>
              <w:rPr>
                <w:rFonts w:ascii="Figtree" w:hAnsi="Figtree"/>
                <w:b w:val="0"/>
                <w:i w:val="0"/>
                <w:sz w:val="20"/>
              </w:rPr>
              <w:t>FX tokenization and cross-border settlement using Exchange-versus-Payment (XvP); MYRT token</w:t>
            </w:r>
          </w:p>
        </w:tc>
      </w:tr>
      <w:tr>
        <w:trPr>
          <w:trHeight w:val="425" w:hRule="atLeast"/>
        </w:trPr>
        <w:tc>
          <w:tcPr>
            <w:tcW w:type="dxa" w:w="3249"/>
            <w:vAlign w:val="center"/>
          </w:tcPr>
          <w:p>
            <w:pPr>
              <w:spacing w:line="276" w:lineRule="auto" w:before="0" w:after="0"/>
            </w:pPr>
            <w:r/>
            <w:r>
              <w:rPr>
                <w:rFonts w:ascii="Figtree" w:hAnsi="Figtree"/>
                <w:b w:val="0"/>
                <w:i w:val="0"/>
                <w:sz w:val="20"/>
              </w:rPr>
              <w:t>ADI / Finstreet</w:t>
            </w:r>
          </w:p>
        </w:tc>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Tokenized equity on Abu Dhabi mainnet with corporate actions, on-chain voting, institutional custody</w:t>
            </w:r>
          </w:p>
        </w:tc>
      </w:tr>
      <w:tr>
        <w:trPr>
          <w:trHeight w:val="425" w:hRule="atLeast"/>
        </w:trPr>
        <w:tc>
          <w:tcPr>
            <w:tcW w:type="dxa" w:w="3249"/>
            <w:vAlign w:val="center"/>
          </w:tcPr>
          <w:p>
            <w:pPr>
              <w:spacing w:line="276" w:lineRule="auto" w:before="0" w:after="0"/>
            </w:pPr>
            <w:r/>
            <w:r>
              <w:rPr>
                <w:rFonts w:ascii="Figtree" w:hAnsi="Figtree"/>
                <w:b w:val="0"/>
                <w:i w:val="0"/>
                <w:sz w:val="20"/>
              </w:rPr>
              <w:t>Commerzbank</w:t>
            </w:r>
          </w:p>
        </w:tc>
        <w:tc>
          <w:tcPr>
            <w:tcW w:type="dxa" w:w="3249"/>
            <w:vAlign w:val="center"/>
          </w:tcPr>
          <w:p>
            <w:pPr>
              <w:spacing w:line="276" w:lineRule="auto" w:before="0" w:after="0"/>
            </w:pPr>
            <w:r/>
            <w:r>
              <w:rPr>
                <w:rFonts w:ascii="Figtree" w:hAnsi="Figtree"/>
                <w:b w:val="0"/>
                <w:i w:val="0"/>
                <w:sz w:val="20"/>
              </w:rPr>
              <w:t>Germany</w:t>
            </w:r>
          </w:p>
        </w:tc>
        <w:tc>
          <w:tcPr>
            <w:tcW w:type="dxa" w:w="3249"/>
            <w:vAlign w:val="center"/>
          </w:tcPr>
          <w:p>
            <w:pPr>
              <w:spacing w:line="276" w:lineRule="auto" w:before="0" w:after="0"/>
            </w:pPr>
            <w:r/>
            <w:r>
              <w:rPr>
                <w:rFonts w:ascii="Figtree" w:hAnsi="Figtree"/>
                <w:b w:val="0"/>
                <w:i w:val="0"/>
                <w:sz w:val="20"/>
              </w:rPr>
              <w:t>Hybrid on/off-chain ETP issuance; Boerse Stuttgart listing; settlement under 10 seconds; potential annual savings of €7 million</w:t>
            </w:r>
          </w:p>
        </w:tc>
      </w:tr>
      <w:tr>
        <w:trPr>
          <w:trHeight w:val="425" w:hRule="atLeast"/>
        </w:trPr>
        <w:tc>
          <w:tcPr>
            <w:tcW w:type="dxa" w:w="3249"/>
            <w:vAlign w:val="center"/>
          </w:tcPr>
          <w:p>
            <w:pPr>
              <w:spacing w:line="276" w:lineRule="auto" w:before="0" w:after="0"/>
            </w:pPr>
            <w:r/>
            <w:r>
              <w:rPr>
                <w:rFonts w:ascii="Figtree" w:hAnsi="Figtree"/>
                <w:b w:val="0"/>
                <w:i w:val="0"/>
                <w:sz w:val="20"/>
              </w:rPr>
              <w:t>Saudi RER (Real Estate Registry)</w:t>
            </w:r>
          </w:p>
        </w:tc>
        <w:tc>
          <w:tcPr>
            <w:tcW w:type="dxa" w:w="3249"/>
            <w:vAlign w:val="center"/>
          </w:tcPr>
          <w:p>
            <w:pPr>
              <w:spacing w:line="276" w:lineRule="auto" w:before="0" w:after="0"/>
            </w:pPr>
            <w:r/>
            <w:r>
              <w:rPr>
                <w:rFonts w:ascii="Figtree" w:hAnsi="Figtree"/>
                <w:b w:val="0"/>
                <w:i w:val="0"/>
                <w:sz w:val="20"/>
              </w:rPr>
              <w:t>Saudi Arabia</w:t>
            </w:r>
          </w:p>
        </w:tc>
        <w:tc>
          <w:tcPr>
            <w:tcW w:type="dxa" w:w="3249"/>
            <w:vAlign w:val="center"/>
          </w:tcPr>
          <w:p>
            <w:pPr>
              <w:spacing w:line="276" w:lineRule="auto" w:before="0" w:after="0"/>
            </w:pPr>
            <w:r/>
            <w:r>
              <w:rPr>
                <w:rFonts w:ascii="Figtree" w:hAnsi="Figtree"/>
                <w:b w:val="0"/>
                <w:i w:val="0"/>
                <w:sz w:val="20"/>
              </w:rPr>
              <w:t>Country-scale real estate tokenization; registration, fractionalization, and digital marketplace under Vision 2030</w:t>
            </w:r>
          </w:p>
        </w:tc>
      </w:tr>
    </w:tbl>
    <w:p>
      <w:pPr>
        <w:spacing w:before="0" w:after="0" w:line="120" w:lineRule="exact"/>
      </w:pPr>
    </w:p>
    <w:p>
      <w:pPr>
        <w:pStyle w:val="H3"/>
        <w:numPr>
          <w:ilvl w:val="2"/>
          <w:numId w:val="1"/>
        </w:numPr>
      </w:pPr>
      <w:r>
        <w:t>Expanded Reference: OCBC Bank — Institutional Security Token Engine</w:t>
      </w:r>
    </w:p>
    <w:p>
      <w:r>
        <w:rPr>
          <w:rFonts w:ascii="Figtree" w:hAnsi="Figtree"/>
          <w:b/>
          <w:i w:val="0"/>
          <w:sz w:val="22"/>
        </w:rPr>
        <w:t>Context.</w:t>
      </w:r>
      <w:r>
        <w:rPr>
          <w:rFonts w:ascii="Figtree" w:hAnsi="Figtree"/>
          <w:b w:val="0"/>
          <w:i w:val="0"/>
          <w:sz w:val="22"/>
        </w:rPr>
        <w:t xml:space="preserve"> OCBC Bank, one of Singapore's largest financial institutions, engaged SettleMint to build a security token engine for the securitization, tokenization, and fractionalization of off-chain assets. The target segment was high-net-worth individuals (HNWIs) and high earners not rich yet (HENRYs), with investment products spanning bonds, SPVs, equities, and real estate.</w:t>
      </w:r>
    </w:p>
    <w:p>
      <w:r>
        <w:rPr>
          <w:rFonts w:ascii="Figtree" w:hAnsi="Figtree"/>
          <w:b/>
          <w:i w:val="0"/>
          <w:sz w:val="22"/>
        </w:rPr>
        <w:t>Challenge.</w:t>
      </w:r>
      <w:r>
        <w:rPr>
          <w:rFonts w:ascii="Figtree" w:hAnsi="Figtree"/>
          <w:b w:val="0"/>
          <w:i w:val="0"/>
          <w:sz w:val="22"/>
        </w:rPr>
        <w:t xml:space="preserve"> OCBC needed a secure end-user interface for tokenization, wallet management, and cash positions, alongside a backend with order book management and APIs to integrate with off-chain securities and cash systems. The solution had to meet Singapore's regulatory requirements under the Monetary Authority of Singapore (MAS) framework while enabling fractionalization to SGD 10,000 minimum investment levels.</w:t>
      </w:r>
    </w:p>
    <w:p>
      <w:r>
        <w:rPr>
          <w:rFonts w:ascii="Figtree" w:hAnsi="Figtree"/>
          <w:b/>
          <w:i w:val="0"/>
          <w:sz w:val="22"/>
        </w:rPr>
        <w:t>DALP solution.</w:t>
      </w:r>
      <w:r>
        <w:rPr>
          <w:rFonts w:ascii="Figtree" w:hAnsi="Figtree"/>
          <w:b w:val="0"/>
          <w:i w:val="0"/>
          <w:sz w:val="22"/>
        </w:rPr>
        <w:t xml:space="preserve"> SettleMint implemented a security token engine that covered the full asset lifecycle: issuance, compliance enforcement, custody integration, settlement, and servicing. The platform enabled fractionalization of previously illiquid assets, automated compliance checks for investor eligibility, and streamlined settlement operations. Integration with OCBC's existing systems was achieved through DALP's API layer.</w:t>
      </w:r>
    </w:p>
    <w:p>
      <w:r>
        <w:rPr>
          <w:rFonts w:ascii="Figtree" w:hAnsi="Figtree"/>
          <w:b/>
          <w:i w:val="0"/>
          <w:sz w:val="22"/>
        </w:rPr>
        <w:t>Outcome.</w:t>
      </w:r>
      <w:r>
        <w:rPr>
          <w:rFonts w:ascii="Figtree" w:hAnsi="Figtree"/>
          <w:b w:val="0"/>
          <w:i w:val="0"/>
          <w:sz w:val="22"/>
        </w:rPr>
        <w:t xml:space="preserve"> OCBC now operates a scalable digital asset exchange platform that has been live since January 2025. The deployment demonstrates fractionalization at institutional scale, automated compliance, and integration with existing banking infrastructure.</w:t>
      </w:r>
    </w:p>
    <w:p>
      <w:r>
        <w:rPr>
          <w:rFonts w:ascii="Figtree" w:hAnsi="Figtree"/>
          <w:b/>
          <w:i w:val="0"/>
          <w:sz w:val="22"/>
        </w:rPr>
        <w:t>Commercial relevance to Neptune.</w:t>
      </w:r>
      <w:r>
        <w:rPr>
          <w:rFonts w:ascii="Figtree" w:hAnsi="Figtree"/>
          <w:b w:val="0"/>
          <w:i w:val="0"/>
          <w:sz w:val="22"/>
        </w:rPr>
        <w:t xml:space="preserve"> OCBC's programme shares Neptune's core challenge: tokenizing multiple asset types (bonds, SPVs, equities) within a regulated institutional framework, with investor-facing infrastructure and compliance enforcement. The multi-asset-type capability and the fractionalization model (OCBC: SGD 10,000 minimums; Neptune: 10 to 30% SPC ownership) demonstrate DALP's ability to support structured investment products at institutional scale. OCBC's live production deployment since January 2025 provides the strongest evidence that DALP operates reliably in a regulated banking environment.</w:t>
      </w:r>
    </w:p>
    <w:p>
      <w:pPr>
        <w:pStyle w:val="H3"/>
        <w:numPr>
          <w:ilvl w:val="2"/>
          <w:numId w:val="1"/>
        </w:numPr>
      </w:pPr>
      <w:r>
        <w:t>Expanded Reference: Commerzbank — ETP Issuance and Settlement</w:t>
      </w:r>
    </w:p>
    <w:p>
      <w:r>
        <w:rPr>
          <w:rFonts w:ascii="Figtree" w:hAnsi="Figtree"/>
          <w:b/>
          <w:i w:val="0"/>
          <w:sz w:val="22"/>
        </w:rPr>
        <w:t>Context.</w:t>
      </w:r>
      <w:r>
        <w:rPr>
          <w:rFonts w:ascii="Figtree" w:hAnsi="Figtree"/>
          <w:b w:val="0"/>
          <w:i w:val="0"/>
          <w:sz w:val="22"/>
        </w:rPr>
        <w:t xml:space="preserve"> Commerzbank, one of Germany's leading financial institutions, worked with SettleMint on a hybrid on-chain and off-chain solution for issuing and managing exchange-traded products (ETPs). The solution integrated with Boerse Stuttgart's listing service and Commerzbank's issuance engine.</w:t>
      </w:r>
    </w:p>
    <w:p>
      <w:r>
        <w:rPr>
          <w:rFonts w:ascii="Figtree" w:hAnsi="Figtree"/>
          <w:b/>
          <w:i w:val="0"/>
          <w:sz w:val="22"/>
        </w:rPr>
        <w:t>Challenge.</w:t>
      </w:r>
      <w:r>
        <w:rPr>
          <w:rFonts w:ascii="Figtree" w:hAnsi="Figtree"/>
          <w:b w:val="0"/>
          <w:i w:val="0"/>
          <w:sz w:val="22"/>
        </w:rPr>
        <w:t xml:space="preserve"> Traditional ETP issuance involves multiple intermediaries, settlement delays of T+2 or longer, and significant operational overhead. Commerzbank sought to demonstrate that blockchain-based settlement could reduce counterparty risk, cut listing inefficiencies, and achieve near real-time settlement while maintaining regulatory compliance.</w:t>
      </w:r>
    </w:p>
    <w:p>
      <w:r>
        <w:rPr>
          <w:rFonts w:ascii="Figtree" w:hAnsi="Figtree"/>
          <w:b/>
          <w:i w:val="0"/>
          <w:sz w:val="22"/>
        </w:rPr>
        <w:t>DALP solution.</w:t>
      </w:r>
      <w:r>
        <w:rPr>
          <w:rFonts w:ascii="Figtree" w:hAnsi="Figtree"/>
          <w:b w:val="0"/>
          <w:i w:val="0"/>
          <w:sz w:val="22"/>
        </w:rPr>
        <w:t xml:space="preserve"> SettleMint implemented a hybrid architecture where ETP issuance and management occurred on-chain while maintaining connectivity to traditional market infrastructure. The solution achieved settlement times under 10 seconds, a dramatic improvement over traditional settlement cycles.</w:t>
      </w:r>
    </w:p>
    <w:p>
      <w:r>
        <w:rPr>
          <w:rFonts w:ascii="Figtree" w:hAnsi="Figtree"/>
          <w:b/>
          <w:i w:val="0"/>
          <w:sz w:val="22"/>
        </w:rPr>
        <w:t>Outcome.</w:t>
      </w:r>
      <w:r>
        <w:rPr>
          <w:rFonts w:ascii="Figtree" w:hAnsi="Figtree"/>
          <w:b w:val="0"/>
          <w:i w:val="0"/>
          <w:sz w:val="22"/>
        </w:rPr>
        <w:t xml:space="preserve"> An internal analysis identified potential annual savings of €7 million from the operational efficiencies gained. The project demonstrated DALP's applicability in traditional European capital markets infrastructure with demanding regulatory and operational requirements.</w:t>
      </w:r>
    </w:p>
    <w:p>
      <w:r>
        <w:rPr>
          <w:rFonts w:ascii="Figtree" w:hAnsi="Figtree"/>
          <w:b/>
          <w:i w:val="0"/>
          <w:sz w:val="22"/>
        </w:rPr>
        <w:t>Commercial relevance to Neptune.</w:t>
      </w:r>
      <w:r>
        <w:rPr>
          <w:rFonts w:ascii="Figtree" w:hAnsi="Figtree"/>
          <w:b w:val="0"/>
          <w:i w:val="0"/>
          <w:sz w:val="22"/>
        </w:rPr>
        <w:t xml:space="preserve"> Commerzbank demonstrates DALP's ability to integrate with existing market infrastructure while delivering measurable operational improvements. For Neptune, this provides confidence that DALP can integrate with Nathek's core banking systems and deliver the settlement finality that institutional investors expect.</w:t>
      </w:r>
    </w:p>
    <w:p>
      <w:pPr>
        <w:pStyle w:val="H3"/>
        <w:numPr>
          <w:ilvl w:val="2"/>
          <w:numId w:val="1"/>
        </w:numPr>
      </w:pPr>
      <w:r>
        <w:t>Expanded Reference: ADI / Finstreet — Tokenized Equity with Corporate Actions</w:t>
      </w:r>
    </w:p>
    <w:p>
      <w:r>
        <w:rPr>
          <w:rFonts w:ascii="Figtree" w:hAnsi="Figtree"/>
          <w:b/>
          <w:i w:val="0"/>
          <w:sz w:val="22"/>
        </w:rPr>
        <w:t>Context.</w:t>
      </w:r>
      <w:r>
        <w:rPr>
          <w:rFonts w:ascii="Figtree" w:hAnsi="Figtree"/>
          <w:b w:val="0"/>
          <w:i w:val="0"/>
          <w:sz w:val="22"/>
        </w:rPr>
        <w:t xml:space="preserve"> ADI, operating through Finstreet, deployed tokenized equity on ADI's Abu Dhabi-based mainnet. The programme required full corporate action functionality (stock splits, consolidations), on-chain governance (voting), upgradeable smart contracts, and integration with institutional-grade custody providers.</w:t>
      </w:r>
    </w:p>
    <w:p>
      <w:r>
        <w:rPr>
          <w:rFonts w:ascii="Figtree" w:hAnsi="Figtree"/>
          <w:b/>
          <w:i w:val="0"/>
          <w:sz w:val="22"/>
        </w:rPr>
        <w:t>Challenge.</w:t>
      </w:r>
      <w:r>
        <w:rPr>
          <w:rFonts w:ascii="Figtree" w:hAnsi="Figtree"/>
          <w:b w:val="0"/>
          <w:i w:val="0"/>
          <w:sz w:val="22"/>
        </w:rPr>
        <w:t xml:space="preserve"> The deployment needed to support the full equity lifecycle on a dedicated blockchain environment in the UAE, with corporate actions that mirror traditional equity instruments, institutional custody paths through DFNS and Fireblocks, and cloud-agnostic infrastructure using Terraform and Helm in the UAE/GCC region.</w:t>
      </w:r>
    </w:p>
    <w:p>
      <w:r>
        <w:rPr>
          <w:rFonts w:ascii="Figtree" w:hAnsi="Figtree"/>
          <w:b/>
          <w:i w:val="0"/>
          <w:sz w:val="22"/>
        </w:rPr>
        <w:t>DALP solution.</w:t>
      </w:r>
      <w:r>
        <w:rPr>
          <w:rFonts w:ascii="Figtree" w:hAnsi="Figtree"/>
          <w:b w:val="0"/>
          <w:i w:val="0"/>
          <w:sz w:val="22"/>
        </w:rPr>
        <w:t xml:space="preserve"> SettleMint implemented equity tokens with embedded corporate action functionality: stock splits and consolidations through controlled mint and burn operations, on-chain voting using ERC20Votes, and upgradeable smart contracts for ongoing platform evolution. The deployment integrated with institutional custody providers and used structured approval workflows for governance actions.</w:t>
      </w:r>
    </w:p>
    <w:p>
      <w:r>
        <w:rPr>
          <w:rFonts w:ascii="Figtree" w:hAnsi="Figtree"/>
          <w:b/>
          <w:i w:val="0"/>
          <w:sz w:val="22"/>
        </w:rPr>
        <w:t>Outcome.</w:t>
      </w:r>
      <w:r>
        <w:rPr>
          <w:rFonts w:ascii="Figtree" w:hAnsi="Figtree"/>
          <w:b w:val="0"/>
          <w:i w:val="0"/>
          <w:sz w:val="22"/>
        </w:rPr>
        <w:t xml:space="preserve"> The programme established a scalable foundation for regulated equity tokenization on ADI's dedicated blockchain environment, demonstrating that tokenized equity can replicate the full corporate action capabilities of traditional securities infrastructure.</w:t>
      </w:r>
    </w:p>
    <w:p>
      <w:r>
        <w:rPr>
          <w:rFonts w:ascii="Figtree" w:hAnsi="Figtree"/>
          <w:b/>
          <w:i w:val="0"/>
          <w:sz w:val="22"/>
        </w:rPr>
        <w:t>Commercial relevance to Neptune.</w:t>
      </w:r>
      <w:r>
        <w:rPr>
          <w:rFonts w:ascii="Figtree" w:hAnsi="Figtree"/>
          <w:b w:val="0"/>
          <w:i w:val="0"/>
          <w:sz w:val="22"/>
        </w:rPr>
        <w:t xml:space="preserve"> ADI/Finstreet is the closest analogue to Neptune's SPC tokenization. Both programmes involve equity token issuance representing ownership in special purpose structures, require corporate action capabilities, need institutional custody integration, and operate in environments where regulatory compliance is non-negotiable. The key difference is scale: ADI tokenized equity for a single entity structure, while Neptune requires the same capability across sixty-plus SPCs. DALP's factory pattern addresses this scale requirement directly.</w:t>
      </w:r>
    </w:p>
    <w:p>
      <w:pPr>
        <w:pStyle w:val="H3"/>
        <w:numPr>
          <w:ilvl w:val="2"/>
          <w:numId w:val="1"/>
        </w:numPr>
      </w:pPr>
      <w:r>
        <w:t>Expanded Reference: Saudi RER — Country-Scale Multi-Entity Tokenization</w:t>
      </w:r>
    </w:p>
    <w:p>
      <w:r>
        <w:rPr>
          <w:rFonts w:ascii="Figtree" w:hAnsi="Figtree"/>
          <w:b/>
          <w:i w:val="0"/>
          <w:sz w:val="22"/>
        </w:rPr>
        <w:t>Context.</w:t>
      </w:r>
      <w:r>
        <w:rPr>
          <w:rFonts w:ascii="Figtree" w:hAnsi="Figtree"/>
          <w:b w:val="0"/>
          <w:i w:val="0"/>
          <w:sz w:val="22"/>
        </w:rPr>
        <w:t xml:space="preserve"> The Saudi Real Estate Registry (RER), operating under the Real Estate General Authority (REGA), selected SettleMint as the delivery partner for a country-scale blockchain infrastructure for real estate registration, fractionalization, and a digital marketplace. The programme is central to the Kingdom's digital transformation under Vision 2030.</w:t>
      </w:r>
    </w:p>
    <w:p>
      <w:r>
        <w:rPr>
          <w:rFonts w:ascii="Figtree" w:hAnsi="Figtree"/>
          <w:b/>
          <w:i w:val="0"/>
          <w:sz w:val="22"/>
        </w:rPr>
        <w:t>Challenge.</w:t>
      </w:r>
      <w:r>
        <w:rPr>
          <w:rFonts w:ascii="Figtree" w:hAnsi="Figtree"/>
          <w:b w:val="0"/>
          <w:i w:val="0"/>
          <w:sz w:val="22"/>
        </w:rPr>
        <w:t xml:space="preserve"> This is the first country-scale blockchain infrastructure dedicated to real estate in the world. The platform needed to implement a "registry-as-truth" model where the RER ledger serves as the conclusive record of property rights, covering the full journey from property listing and due diligence through identity verification, fee payment, escrow, and on-chain transfer to final deed update. The system required integration with RER's core registry, billing, escrow, case worker, and government systems, exposed through a unified API gateway for PropTechs, banks, and developers.</w:t>
      </w:r>
    </w:p>
    <w:p>
      <w:r>
        <w:rPr>
          <w:rFonts w:ascii="Figtree" w:hAnsi="Figtree"/>
          <w:b/>
          <w:i w:val="0"/>
          <w:sz w:val="22"/>
        </w:rPr>
        <w:t>DALP solution.</w:t>
      </w:r>
      <w:r>
        <w:rPr>
          <w:rFonts w:ascii="Figtree" w:hAnsi="Figtree"/>
          <w:b w:val="0"/>
          <w:i w:val="0"/>
          <w:sz w:val="22"/>
        </w:rPr>
        <w:t xml:space="preserve"> SettleMint delivered the end-to-end solution: marketplace services, API gateway, the blockchain and tokenization layer powered by DALP, and orchestration and integration with multiple government and financial systems. The platform supports registration, fractionalization, and digital marketplace operations at national scale.</w:t>
      </w:r>
    </w:p>
    <w:p>
      <w:r>
        <w:rPr>
          <w:rFonts w:ascii="Figtree" w:hAnsi="Figtree"/>
          <w:b/>
          <w:i w:val="0"/>
          <w:sz w:val="22"/>
        </w:rPr>
        <w:t>Outcome.</w:t>
      </w:r>
      <w:r>
        <w:rPr>
          <w:rFonts w:ascii="Figtree" w:hAnsi="Figtree"/>
          <w:b w:val="0"/>
          <w:i w:val="0"/>
          <w:sz w:val="22"/>
        </w:rPr>
        <w:t xml:space="preserve"> A single, regulated infrastructure for real estate tokenization across the Kingdom, serving as the definitive record of property rights with full integration across the government systems ecosystem.</w:t>
      </w:r>
    </w:p>
    <w:p>
      <w:r>
        <w:rPr>
          <w:rFonts w:ascii="Figtree" w:hAnsi="Figtree"/>
          <w:b/>
          <w:i w:val="0"/>
          <w:sz w:val="22"/>
        </w:rPr>
        <w:t>Commercial relevance to Neptune.</w:t>
      </w:r>
      <w:r>
        <w:rPr>
          <w:rFonts w:ascii="Figtree" w:hAnsi="Figtree"/>
          <w:b w:val="0"/>
          <w:i w:val="0"/>
          <w:sz w:val="22"/>
        </w:rPr>
        <w:t xml:space="preserve"> Saudi RER demonstrates DALP's ability to handle multi-entity tokenization at massive scale within a complex regulatory and institutional environment. While the asset class differs (real estate versus maritime SPCs), the core challenges are identical: managing many tokenized entities (properties / SPCs), each with distinct characteristics and ownership structures, within a unified compliance and governance framework, with integration to existing enterprise systems. RER's national scale and the programme's complexity provide confidence that DALP can handle Neptune's sixty-plus SPC structure and its growth to 200 to 300 vessels.</w:t>
      </w:r>
    </w:p>
    <w:p>
      <w:pPr>
        <w:pStyle w:val="H3"/>
        <w:numPr>
          <w:ilvl w:val="2"/>
          <w:numId w:val="1"/>
        </w:numPr>
      </w:pPr>
      <w:r>
        <w:t>Why These References Matter to Neptune</w:t>
      </w:r>
    </w:p>
    <w:p>
      <w:r>
        <w:rPr>
          <w:rFonts w:ascii="Figtree" w:hAnsi="Figtree"/>
          <w:b w:val="0"/>
          <w:i w:val="0"/>
          <w:sz w:val="22"/>
        </w:rPr>
        <w:t>The reference clients above are not selected randomly; they are chosen because they demonstrate capabilities directly relevant to Neptune's programme.</w:t>
      </w:r>
    </w:p>
    <w:p>
      <w:r>
        <w:rPr>
          <w:rFonts w:ascii="Figtree" w:hAnsi="Figtree"/>
          <w:b/>
          <w:i w:val="0"/>
          <w:sz w:val="22"/>
        </w:rPr>
        <w:t>Multi-entity capability.</w:t>
      </w:r>
      <w:r>
        <w:rPr>
          <w:rFonts w:ascii="Figtree" w:hAnsi="Figtree"/>
          <w:b w:val="0"/>
          <w:i w:val="0"/>
          <w:sz w:val="22"/>
        </w:rPr>
        <w:t xml:space="preserve"> OCBC Bank, ADI/Finstreet, Commerzbank, and Saudi RER all demonstrate DALP's ability to manage multiple tokenized entities from a single platform. OCBC manages multiple security token issuances. ADI/Finstreet manages equity tokens with complex corporate actions. Commerzbank manages ETP issuance at scale. Saudi RER manages thousands of property registrations. This multi-entity capability is the core requirement for Neptune's sixty-plus SPC fleet.</w:t>
      </w:r>
    </w:p>
    <w:p>
      <w:r>
        <w:rPr>
          <w:rFonts w:ascii="Figtree" w:hAnsi="Figtree"/>
          <w:b/>
          <w:i w:val="0"/>
          <w:sz w:val="22"/>
        </w:rPr>
        <w:t>Regulated environments.</w:t>
      </w:r>
      <w:r>
        <w:rPr>
          <w:rFonts w:ascii="Figtree" w:hAnsi="Figtree"/>
          <w:b w:val="0"/>
          <w:i w:val="0"/>
          <w:sz w:val="22"/>
        </w:rPr>
        <w:t xml:space="preserve"> Every reference client operates in a regulated environment: banks (OCBC, Commerzbank, Standard Chartered), sovereign entities (Saudi RER, RBI, ADI), or market infrastructure providers (Maybank, Mizuho). Neptune operates in maritime finance, which is regulated at multiple levels (flag state, incorporation jurisdiction, investor jurisdictions). The reference clients demonstrate that DALP's compliance framework handles regulated environments as a core capability, not an afterthought.</w:t>
      </w:r>
    </w:p>
    <w:p>
      <w:r>
        <w:rPr>
          <w:rFonts w:ascii="Figtree" w:hAnsi="Figtree"/>
          <w:b/>
          <w:i w:val="0"/>
          <w:sz w:val="22"/>
        </w:rPr>
        <w:t>Institutional scale.</w:t>
      </w:r>
      <w:r>
        <w:rPr>
          <w:rFonts w:ascii="Figtree" w:hAnsi="Figtree"/>
          <w:b w:val="0"/>
          <w:i w:val="0"/>
          <w:sz w:val="22"/>
        </w:rPr>
        <w:t xml:space="preserve"> OCBC, Commerzbank, Standard Chartered, and Saudi RER are not small deployments. They represent institutional scale: high transaction volumes, large investor bases, complex governance structures, and demanding operational requirements. Neptune's programme, while smaller in transaction volume initially, requires the same institutional-grade infrastructure that these deployments provide.</w:t>
      </w:r>
    </w:p>
    <w:p>
      <w:r>
        <w:rPr>
          <w:rFonts w:ascii="Figtree" w:hAnsi="Figtree"/>
          <w:b/>
          <w:i w:val="0"/>
          <w:sz w:val="22"/>
        </w:rPr>
        <w:t>Equity and ownership instruments.</w:t>
      </w:r>
      <w:r>
        <w:rPr>
          <w:rFonts w:ascii="Figtree" w:hAnsi="Figtree"/>
          <w:b w:val="0"/>
          <w:i w:val="0"/>
          <w:sz w:val="22"/>
        </w:rPr>
        <w:t xml:space="preserve"> Neptune's SPC equity tokens are equity instruments representing ownership in special purpose companies. OCBC, ADI/Finstreet, Commerzbank, and KBC Securities all demonstrate DALP's equity issuance and management capabilities. This is not a bond programme or a stablecoin programme; it is an equity programme, and the references are chosen to demonstrate equity-specific capabilities.</w:t>
      </w:r>
    </w:p>
    <w:p>
      <w:pPr>
        <w:pStyle w:val="H3"/>
        <w:numPr>
          <w:ilvl w:val="2"/>
          <w:numId w:val="1"/>
        </w:numPr>
      </w:pPr>
      <w:r>
        <w:t>Reference Client Summary</w:t>
      </w:r>
    </w:p>
    <w:p>
      <w:r>
        <w:rPr>
          <w:rFonts w:ascii="Figtree" w:hAnsi="Figtree"/>
          <w:b w:val="0"/>
          <w:i w:val="0"/>
          <w:sz w:val="22"/>
        </w:rPr>
        <w:t>The 14 reference clients listed in this proposal represent a combined track record of production deployments across multiple asset classes, geographies, and regulatory frameworks. For Neptune, the key takeaway is that DALP is not an experimental technology. It is a mature platform that has been proven in demanding institutional environments. The question is not whether DALP can support Neptune's use case; it is whether Neptune can execute on the timeline required to capitalize on Posidonia 2026.</w:t>
      </w:r>
    </w:p>
    <w:p>
      <w:pPr>
        <w:pStyle w:val="H3"/>
        <w:numPr>
          <w:ilvl w:val="2"/>
          <w:numId w:val="1"/>
        </w:numPr>
      </w:pPr>
      <w:r>
        <w:t>Why These References Matter to Neptune</w:t>
      </w:r>
    </w:p>
    <w:p>
      <w:r>
        <w:rPr>
          <w:rFonts w:ascii="Figtree" w:hAnsi="Figtree"/>
          <w:b w:val="0"/>
          <w:i w:val="0"/>
          <w:sz w:val="22"/>
        </w:rPr>
        <w:t>The reference clients above are not selected randomly; they are chosen because they demonstrate capabilities directly relevant to Neptune's programme.</w:t>
      </w:r>
    </w:p>
    <w:p>
      <w:r>
        <w:rPr>
          <w:rFonts w:ascii="Figtree" w:hAnsi="Figtree"/>
          <w:b/>
          <w:i w:val="0"/>
          <w:sz w:val="22"/>
        </w:rPr>
        <w:t>Multi-entity capability.</w:t>
      </w:r>
      <w:r>
        <w:rPr>
          <w:rFonts w:ascii="Figtree" w:hAnsi="Figtree"/>
          <w:b w:val="0"/>
          <w:i w:val="0"/>
          <w:sz w:val="22"/>
        </w:rPr>
        <w:t xml:space="preserve"> OCBC Bank, ADI/Finstreet, and Saudi RER all demonstrate DALP's ability to manage multiple tokenized entities from a single platform. OCBC manages multiple security token issuances. ADI/Finstreet manages equity tokens with complex corporate actions. Saudi RER manages thousands of property registrations. This multi-entity capability is the core requirement for Neptune's sixty-plus SPC fleet.</w:t>
      </w:r>
    </w:p>
    <w:p>
      <w:r>
        <w:rPr>
          <w:rFonts w:ascii="Figtree" w:hAnsi="Figtree"/>
          <w:b/>
          <w:i w:val="0"/>
          <w:sz w:val="22"/>
        </w:rPr>
        <w:t>Regulated environments.</w:t>
      </w:r>
      <w:r>
        <w:rPr>
          <w:rFonts w:ascii="Figtree" w:hAnsi="Figtree"/>
          <w:b w:val="0"/>
          <w:i w:val="0"/>
          <w:sz w:val="22"/>
        </w:rPr>
        <w:t xml:space="preserve"> Every reference client operates in a regulated environment: banks (OCBC, Commerzbank, Standard Chartered), sovereign entities (Saudi RER, RBI, ADI), or market infrastructure providers (Maybank, Mizuho). Neptune operates in maritime finance, which is regulated at multiple levels (flag state, incorporation jurisdiction, investor jurisdictions). The reference clients demonstrate that DALP's compliance framework handles regulated environments as a core capability, not an afterthought.</w:t>
      </w:r>
    </w:p>
    <w:p>
      <w:r>
        <w:rPr>
          <w:rFonts w:ascii="Figtree" w:hAnsi="Figtree"/>
          <w:b/>
          <w:i w:val="0"/>
          <w:sz w:val="22"/>
        </w:rPr>
        <w:t>Institutional scale.</w:t>
      </w:r>
      <w:r>
        <w:rPr>
          <w:rFonts w:ascii="Figtree" w:hAnsi="Figtree"/>
          <w:b w:val="0"/>
          <w:i w:val="0"/>
          <w:sz w:val="22"/>
        </w:rPr>
        <w:t xml:space="preserve"> OCBC, Commerzbank, Standard Chartered, and Saudi RER are not small deployments. They represent institutional scale: high transaction volumes, large investor bases, complex governance structures, and demanding operational requirements. Neptune's programme, while smaller in transaction volume initially, requires the same institutional-grade infrastructure that these deployments provide.</w:t>
      </w:r>
    </w:p>
    <w:p>
      <w:r>
        <w:rPr>
          <w:rFonts w:ascii="Figtree" w:hAnsi="Figtree"/>
          <w:b/>
          <w:i w:val="0"/>
          <w:sz w:val="22"/>
        </w:rPr>
        <w:t>Equity and ownership instruments.</w:t>
      </w:r>
      <w:r>
        <w:rPr>
          <w:rFonts w:ascii="Figtree" w:hAnsi="Figtree"/>
          <w:b w:val="0"/>
          <w:i w:val="0"/>
          <w:sz w:val="22"/>
        </w:rPr>
        <w:t xml:space="preserve"> Neptune's SPC equity tokens are equity instruments representing ownership in special purpose companies. OCBC, ADI/Finstreet, and KBC Securities all demonstrate DALP's equity issuance and management capabilities. This is not a bond programme or a stablecoin programme; it is an equity programme, and the references are chosen to demonstrate equity-specific capabilities.</w:t>
      </w:r>
    </w:p>
    <w:p>
      <w:r>
        <w:br w:type="page"/>
      </w:r>
    </w:p>
    <w:p>
      <w:pPr>
        <w:pStyle w:val="H2"/>
        <w:numPr>
          <w:ilvl w:val="1"/>
          <w:numId w:val="1"/>
        </w:numPr>
      </w:pPr>
      <w:r>
        <w:t>Commercial Terms</w:t>
      </w:r>
    </w:p>
    <w:p>
      <w:pPr>
        <w:pStyle w:val="H3"/>
        <w:numPr>
          <w:ilvl w:val="2"/>
          <w:numId w:val="1"/>
        </w:numPr>
      </w:pPr>
      <w:r>
        <w:t>Contract Structure</w:t>
      </w:r>
    </w:p>
    <w:p>
      <w:r>
        <w:rPr>
          <w:rFonts w:ascii="Figtree" w:hAnsi="Figtree"/>
          <w:b w:val="0"/>
          <w:i w:val="0"/>
          <w:sz w:val="22"/>
        </w:rPr>
        <w:t>A typical DALP engagement is governed by a layered contract structure that separates the platform relationship from specific implementation work. For Neptune, the recommended structure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6"/>
        <w:gridCol w:w="5722"/>
        <w:gridCol w:w="19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Master Services Agreement (MSA)</w:t>
            </w:r>
          </w:p>
        </w:tc>
        <w:tc>
          <w:tcPr>
            <w:tcW w:type="dxa" w:w="3249"/>
            <w:vAlign w:val="center"/>
          </w:tcPr>
          <w:p>
            <w:pPr>
              <w:spacing w:line="276" w:lineRule="auto" w:before="0" w:after="0"/>
            </w:pPr>
            <w:r/>
            <w:r>
              <w:rPr>
                <w:rFonts w:ascii="Figtree" w:hAnsi="Figtree"/>
                <w:b w:val="0"/>
                <w:i w:val="0"/>
                <w:sz w:val="20"/>
              </w:rPr>
              <w:t>Governs the overall commercial relationship, including general terms, liability, confidentiality, and dispute resolution</w:t>
            </w:r>
          </w:p>
        </w:tc>
        <w:tc>
          <w:tcPr>
            <w:tcW w:type="dxa" w:w="3249"/>
            <w:vAlign w:val="center"/>
          </w:tcPr>
          <w:p>
            <w:pPr>
              <w:spacing w:line="276" w:lineRule="auto" w:before="0" w:after="0"/>
            </w:pPr>
            <w:r/>
            <w:r>
              <w:rPr>
                <w:rFonts w:ascii="Figtree" w:hAnsi="Figtree"/>
                <w:b w:val="0"/>
                <w:i w:val="0"/>
                <w:sz w:val="20"/>
              </w:rPr>
              <w:t>Duration of the engagement</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 (PLA)</w:t>
            </w:r>
          </w:p>
        </w:tc>
        <w:tc>
          <w:tcPr>
            <w:tcW w:type="dxa" w:w="3249"/>
            <w:vAlign w:val="center"/>
          </w:tcPr>
          <w:p>
            <w:pPr>
              <w:spacing w:line="276" w:lineRule="auto" w:before="0" w:after="0"/>
            </w:pPr>
            <w:r/>
            <w:r>
              <w:rPr>
                <w:rFonts w:ascii="Figtree" w:hAnsi="Figtree"/>
                <w:b w:val="0"/>
                <w:i w:val="0"/>
                <w:sz w:val="20"/>
              </w:rPr>
              <w:t>Grants Neptune the right to use the DALP platform under the Enterprise tier; specifies the Managed SaaS deployment model and included capabilities</w:t>
            </w:r>
          </w:p>
        </w:tc>
        <w:tc>
          <w:tcPr>
            <w:tcW w:type="dxa" w:w="3249"/>
            <w:vAlign w:val="center"/>
          </w:tcPr>
          <w:p>
            <w:pPr>
              <w:spacing w:line="276" w:lineRule="auto" w:before="0" w:after="0"/>
            </w:pPr>
            <w:r/>
            <w:r>
              <w:rPr>
                <w:rFonts w:ascii="Figtree" w:hAnsi="Figtree"/>
                <w:b w:val="0"/>
                <w:i w:val="0"/>
                <w:sz w:val="20"/>
              </w:rPr>
              <w:t>Initial 2-year term from go-live</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Defines the implementation scope for Phases 0 and 1, including deliverables, acceptance criteria, timeline, and milestone-based payment schedule</w:t>
            </w:r>
          </w:p>
        </w:tc>
        <w:tc>
          <w:tcPr>
            <w:tcW w:type="dxa" w:w="3249"/>
            <w:vAlign w:val="center"/>
          </w:tcPr>
          <w:p>
            <w:pPr>
              <w:spacing w:line="276" w:lineRule="auto" w:before="0" w:after="0"/>
            </w:pPr>
            <w:r/>
            <w:r>
              <w:rPr>
                <w:rFonts w:ascii="Figtree" w:hAnsi="Figtree"/>
                <w:b w:val="0"/>
                <w:i w:val="0"/>
                <w:sz w:val="20"/>
              </w:rPr>
              <w:t>Fixed-term per phase</w:t>
            </w:r>
          </w:p>
        </w:tc>
      </w:tr>
      <w:tr>
        <w:trPr>
          <w:trHeight w:val="425" w:hRule="atLeast"/>
        </w:trPr>
        <w:tc>
          <w:tcPr>
            <w:tcW w:type="dxa" w:w="3249"/>
            <w:vAlign w:val="center"/>
          </w:tcPr>
          <w:p>
            <w:pPr>
              <w:spacing w:line="276" w:lineRule="auto" w:before="0" w:after="0"/>
            </w:pPr>
            <w:r/>
            <w:r>
              <w:rPr>
                <w:rFonts w:ascii="Figtree" w:hAnsi="Figtree"/>
                <w:b w:val="0"/>
                <w:i w:val="0"/>
                <w:sz w:val="20"/>
              </w:rPr>
              <w:t>Support Schedule</w:t>
            </w:r>
          </w:p>
        </w:tc>
        <w:tc>
          <w:tcPr>
            <w:tcW w:type="dxa" w:w="3249"/>
            <w:vAlign w:val="center"/>
          </w:tcPr>
          <w:p>
            <w:pPr>
              <w:spacing w:line="276" w:lineRule="auto" w:before="0" w:after="0"/>
            </w:pPr>
            <w:r/>
            <w:r>
              <w:rPr>
                <w:rFonts w:ascii="Figtree" w:hAnsi="Figtree"/>
                <w:b w:val="0"/>
                <w:i w:val="0"/>
                <w:sz w:val="20"/>
              </w:rPr>
              <w:t>Specifies the Premium support tier, SLA targets, escalation procedures, and maintenance windows</w:t>
            </w:r>
          </w:p>
        </w:tc>
        <w:tc>
          <w:tcPr>
            <w:tcW w:type="dxa" w:w="3249"/>
            <w:vAlign w:val="center"/>
          </w:tcPr>
          <w:p>
            <w:pPr>
              <w:spacing w:line="276" w:lineRule="auto" w:before="0" w:after="0"/>
            </w:pPr>
            <w:r/>
            <w:r>
              <w:rPr>
                <w:rFonts w:ascii="Figtree" w:hAnsi="Figtree"/>
                <w:b w:val="0"/>
                <w:i w:val="0"/>
                <w:sz w:val="20"/>
              </w:rPr>
              <w:t>Co-terminus with the Platform License Agreement</w:t>
            </w:r>
          </w:p>
        </w:tc>
      </w:tr>
    </w:tbl>
    <w:p>
      <w:pPr>
        <w:spacing w:before="0" w:after="0" w:line="120" w:lineRule="exact"/>
      </w:pPr>
    </w:p>
    <w:p>
      <w:r>
        <w:rPr>
          <w:rFonts w:ascii="Figtree" w:hAnsi="Figtree"/>
          <w:b w:val="0"/>
          <w:i w:val="0"/>
          <w:sz w:val="22"/>
        </w:rPr>
        <w:t>This layered structure allows individual components to be amended without renegotiating the entire relationship. For example, Phase 3 expansion work would be covered under a new Statement of Work without modifying the MSA or PLA.</w:t>
      </w:r>
    </w:p>
    <w:p>
      <w:pPr>
        <w:pStyle w:val="H3"/>
        <w:numPr>
          <w:ilvl w:val="2"/>
          <w:numId w:val="1"/>
        </w:numPr>
      </w:pPr>
      <w:r>
        <w:t>Payment Schedule</w:t>
      </w:r>
    </w:p>
    <w:p>
      <w:r>
        <w:rPr>
          <w:rFonts w:ascii="Figtree" w:hAnsi="Figtree"/>
          <w:b/>
          <w:i w:val="0"/>
          <w:sz w:val="22"/>
        </w:rPr>
        <w:t>Platform license fees</w:t>
      </w:r>
      <w:r>
        <w:rPr>
          <w:rFonts w:ascii="Figtree" w:hAnsi="Figtree"/>
          <w:b w:val="0"/>
          <w:i w:val="0"/>
          <w:sz w:val="22"/>
        </w:rPr>
        <w:t xml:space="preserve"> are invoiced monthly or annually, depending on Neptune's preference. Monthly invoicing provides flexibility during the development phase; annual invoicing for the production phase typically carries pricing consideration. Multi-year agreements may include alternative payment schedules aligned with Neptune's procurement cycles.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2"/>
        <w:gridCol w:w="2268"/>
        <w:gridCol w:w="44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Payment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Schedule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Development phase license</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From platform provisioning</w:t>
            </w:r>
          </w:p>
        </w:tc>
      </w:tr>
      <w:tr>
        <w:trPr>
          <w:trHeight w:val="425" w:hRule="atLeast"/>
        </w:trPr>
        <w:tc>
          <w:tcPr>
            <w:tcW w:type="dxa" w:w="3249"/>
            <w:vAlign w:val="center"/>
          </w:tcPr>
          <w:p>
            <w:pPr>
              <w:spacing w:line="276" w:lineRule="auto" w:before="0" w:after="0"/>
            </w:pPr>
            <w:r/>
            <w:r>
              <w:rPr>
                <w:rFonts w:ascii="Figtree" w:hAnsi="Figtree"/>
                <w:b w:val="0"/>
                <w:i w:val="0"/>
                <w:sz w:val="20"/>
              </w:rPr>
              <w:t>Production phase license</w:t>
            </w:r>
          </w:p>
        </w:tc>
        <w:tc>
          <w:tcPr>
            <w:tcW w:type="dxa" w:w="3249"/>
            <w:vAlign w:val="center"/>
          </w:tcPr>
          <w:p>
            <w:pPr>
              <w:spacing w:line="276" w:lineRule="auto" w:before="0" w:after="0"/>
            </w:pPr>
            <w:r/>
            <w:r>
              <w:rPr>
                <w:rFonts w:ascii="Figtree" w:hAnsi="Figtree"/>
                <w:b w:val="0"/>
                <w:i w:val="0"/>
                <w:sz w:val="20"/>
              </w:rPr>
              <w:t>Monthly or annual</w:t>
            </w:r>
          </w:p>
        </w:tc>
        <w:tc>
          <w:tcPr>
            <w:tcW w:type="dxa" w:w="3249"/>
            <w:vAlign w:val="center"/>
          </w:tcPr>
          <w:p>
            <w:pPr>
              <w:spacing w:line="276" w:lineRule="auto" w:before="0" w:after="0"/>
            </w:pPr>
            <w:r/>
            <w:r>
              <w:rPr>
                <w:rFonts w:ascii="Figtree" w:hAnsi="Figtree"/>
                <w:b w:val="0"/>
                <w:i w:val="0"/>
                <w:sz w:val="20"/>
              </w:rPr>
              <w:t>From production go-live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w:t>
            </w:r>
          </w:p>
        </w:tc>
        <w:tc>
          <w:tcPr>
            <w:tcW w:type="dxa" w:w="3249"/>
            <w:vAlign w:val="center"/>
          </w:tcPr>
          <w:p>
            <w:pPr>
              <w:spacing w:line="276" w:lineRule="auto" w:before="0" w:after="0"/>
            </w:pPr>
            <w:r/>
            <w:r>
              <w:rPr>
                <w:rFonts w:ascii="Figtree" w:hAnsi="Figtree"/>
                <w:b w:val="0"/>
                <w:i w:val="0"/>
                <w:sz w:val="20"/>
              </w:rPr>
              <w:t>Deliverable acceptance at each phase gate</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w:t>
            </w:r>
          </w:p>
        </w:tc>
        <w:tc>
          <w:tcPr>
            <w:tcW w:type="dxa" w:w="3249"/>
            <w:vAlign w:val="center"/>
          </w:tcPr>
          <w:p>
            <w:pPr>
              <w:spacing w:line="276" w:lineRule="auto" w:before="0" w:after="0"/>
            </w:pPr>
            <w:r/>
            <w:r>
              <w:rPr>
                <w:rFonts w:ascii="Figtree" w:hAnsi="Figtree"/>
                <w:b w:val="0"/>
                <w:i w:val="0"/>
                <w:sz w:val="20"/>
              </w:rPr>
              <w:t>Co-terminus with license</w:t>
            </w:r>
          </w:p>
        </w:tc>
        <w:tc>
          <w:tcPr>
            <w:tcW w:type="dxa" w:w="3249"/>
            <w:vAlign w:val="center"/>
          </w:tcPr>
          <w:p>
            <w:pPr>
              <w:spacing w:line="276" w:lineRule="auto" w:before="0" w:after="0"/>
            </w:pPr>
            <w:r/>
            <w:r>
              <w:rPr>
                <w:rFonts w:ascii="Figtree" w:hAnsi="Figtree"/>
                <w:b w:val="0"/>
                <w:i w:val="0"/>
                <w:sz w:val="20"/>
              </w:rPr>
              <w:t xml:space="preserve">Included in production license </w:t>
            </w:r>
            <w:r>
              <w:rPr>
                <w:rFonts w:ascii="Figtree" w:hAnsi="Figtree"/>
                <w:b/>
                <w:i w:val="0"/>
                <w:sz w:val="20"/>
              </w:rPr>
              <w:t>[TO CONFIRM]</w:t>
            </w:r>
          </w:p>
        </w:tc>
      </w:tr>
    </w:tbl>
    <w:p>
      <w:pPr>
        <w:spacing w:before="0" w:after="0" w:line="120" w:lineRule="exact"/>
      </w:pPr>
    </w:p>
    <w:p>
      <w:r>
        <w:rPr>
          <w:rFonts w:ascii="Figtree" w:hAnsi="Figtree"/>
          <w:b/>
          <w:i w:val="0"/>
          <w:sz w:val="22"/>
        </w:rPr>
        <w:t>Implementation milestone payment structure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17"/>
        <w:gridCol w:w="1695"/>
        <w:gridCol w:w="24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Percentage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 and project kickoff</w:t>
            </w:r>
          </w:p>
        </w:tc>
        <w:tc>
          <w:tcPr>
            <w:tcW w:type="dxa" w:w="3249"/>
            <w:vAlign w:val="center"/>
          </w:tcPr>
          <w:p>
            <w:pPr>
              <w:spacing w:line="276" w:lineRule="auto" w:before="0" w:after="0"/>
            </w:pPr>
            <w:r/>
            <w:r>
              <w:rPr>
                <w:rFonts w:ascii="Figtree" w:hAnsi="Figtree"/>
                <w:b w:val="0"/>
                <w:i w:val="0"/>
                <w:sz w:val="20"/>
              </w:rPr>
              <w:t xml:space="preserve">30% </w:t>
            </w:r>
            <w:r>
              <w:rPr>
                <w:rFonts w:ascii="Figtree" w:hAnsi="Figtree"/>
                <w:b/>
                <w:i w:val="0"/>
                <w:sz w:val="20"/>
              </w:rPr>
              <w:t>[TO CONFIRM]</w:t>
            </w:r>
          </w:p>
        </w:tc>
        <w:tc>
          <w:tcPr>
            <w:tcW w:type="dxa" w:w="3249"/>
            <w:vAlign w:val="center"/>
          </w:tcPr>
          <w:p>
            <w:pPr>
              <w:spacing w:line="276" w:lineRule="auto" w:before="0" w:after="0"/>
            </w:pPr>
            <w:r/>
            <w:r>
              <w:rPr>
                <w:rFonts w:ascii="Figtree" w:hAnsi="Figtree"/>
                <w:b w:val="0"/>
                <w:i w:val="0"/>
                <w:sz w:val="20"/>
              </w:rPr>
              <w:t>MSA and SOW signed</w:t>
            </w:r>
          </w:p>
        </w:tc>
      </w:tr>
      <w:tr>
        <w:trPr>
          <w:trHeight w:val="425" w:hRule="atLeast"/>
        </w:trPr>
        <w:tc>
          <w:tcPr>
            <w:tcW w:type="dxa" w:w="3249"/>
            <w:vAlign w:val="center"/>
          </w:tcPr>
          <w:p>
            <w:pPr>
              <w:spacing w:line="276" w:lineRule="auto" w:before="0" w:after="0"/>
            </w:pPr>
            <w:r/>
            <w:r>
              <w:rPr>
                <w:rFonts w:ascii="Figtree" w:hAnsi="Figtree"/>
                <w:b w:val="0"/>
                <w:i w:val="0"/>
                <w:sz w:val="20"/>
              </w:rPr>
              <w:t>Phase 0 completion (pilot SPCs deployed)</w:t>
            </w:r>
          </w:p>
        </w:tc>
        <w:tc>
          <w:tcPr>
            <w:tcW w:type="dxa" w:w="3249"/>
            <w:vAlign w:val="center"/>
          </w:tcPr>
          <w:p>
            <w:pPr>
              <w:spacing w:line="276" w:lineRule="auto" w:before="0" w:after="0"/>
            </w:pPr>
            <w:r/>
            <w:r>
              <w:rPr>
                <w:rFonts w:ascii="Figtree" w:hAnsi="Figtree"/>
                <w:b w:val="0"/>
                <w:i w:val="0"/>
                <w:sz w:val="20"/>
              </w:rPr>
              <w:t xml:space="preserve">30% </w:t>
            </w:r>
            <w:r>
              <w:rPr>
                <w:rFonts w:ascii="Figtree" w:hAnsi="Figtree"/>
                <w:b/>
                <w:i w:val="0"/>
                <w:sz w:val="20"/>
              </w:rPr>
              <w:t>[TO CONFIRM]</w:t>
            </w:r>
          </w:p>
        </w:tc>
        <w:tc>
          <w:tcPr>
            <w:tcW w:type="dxa" w:w="3249"/>
            <w:vAlign w:val="center"/>
          </w:tcPr>
          <w:p>
            <w:pPr>
              <w:spacing w:line="276" w:lineRule="auto" w:before="0" w:after="0"/>
            </w:pPr>
            <w:r/>
            <w:r>
              <w:rPr>
                <w:rFonts w:ascii="Figtree" w:hAnsi="Figtree"/>
                <w:b w:val="0"/>
                <w:i w:val="0"/>
                <w:sz w:val="20"/>
              </w:rPr>
              <w:t>Phase 0 deliverables accepted</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completion (60 SPCs deployed, investors onboarded)</w:t>
            </w:r>
          </w:p>
        </w:tc>
        <w:tc>
          <w:tcPr>
            <w:tcW w:type="dxa" w:w="3249"/>
            <w:vAlign w:val="center"/>
          </w:tcPr>
          <w:p>
            <w:pPr>
              <w:spacing w:line="276" w:lineRule="auto" w:before="0" w:after="0"/>
            </w:pPr>
            <w:r/>
            <w:r>
              <w:rPr>
                <w:rFonts w:ascii="Figtree" w:hAnsi="Figtree"/>
                <w:b w:val="0"/>
                <w:i w:val="0"/>
                <w:sz w:val="20"/>
              </w:rPr>
              <w:t xml:space="preserve">40% </w:t>
            </w:r>
            <w:r>
              <w:rPr>
                <w:rFonts w:ascii="Figtree" w:hAnsi="Figtree"/>
                <w:b/>
                <w:i w:val="0"/>
                <w:sz w:val="20"/>
              </w:rPr>
              <w:t>[TO CONFIRM]</w:t>
            </w:r>
          </w:p>
        </w:tc>
        <w:tc>
          <w:tcPr>
            <w:tcW w:type="dxa" w:w="3249"/>
            <w:vAlign w:val="center"/>
          </w:tcPr>
          <w:p>
            <w:pPr>
              <w:spacing w:line="276" w:lineRule="auto" w:before="0" w:after="0"/>
            </w:pPr>
            <w:r/>
            <w:r>
              <w:rPr>
                <w:rFonts w:ascii="Figtree" w:hAnsi="Figtree"/>
                <w:b w:val="0"/>
                <w:i w:val="0"/>
                <w:sz w:val="20"/>
              </w:rPr>
              <w:t>Phase 1 deliverables accepted</w:t>
            </w:r>
          </w:p>
        </w:tc>
      </w:tr>
    </w:tbl>
    <w:p>
      <w:pPr>
        <w:spacing w:before="0" w:after="0" w:line="120" w:lineRule="exact"/>
      </w:pPr>
    </w:p>
    <w:p>
      <w:pPr>
        <w:pStyle w:val="H3"/>
        <w:numPr>
          <w:ilvl w:val="2"/>
          <w:numId w:val="1"/>
        </w:numPr>
      </w:pPr>
      <w:r>
        <w:t>Duration</w:t>
      </w:r>
    </w:p>
    <w:p>
      <w:r>
        <w:rPr>
          <w:rFonts w:ascii="Figtree" w:hAnsi="Figtree"/>
          <w:b w:val="0"/>
          <w:i w:val="0"/>
          <w:sz w:val="22"/>
        </w:rPr>
        <w:t xml:space="preserve">The initial license term is 24 months from the production go-live date, or from the date of first platform provisioning, whichever occurs first </w:t>
      </w:r>
      <w:r>
        <w:rPr>
          <w:rFonts w:ascii="Figtree" w:hAnsi="Figtree"/>
          <w:b/>
          <w:i w:val="0"/>
          <w:sz w:val="22"/>
        </w:rPr>
        <w:t>[TO CONFIRM]</w:t>
      </w:r>
      <w:r>
        <w:rPr>
          <w:rFonts w:ascii="Figtree" w:hAnsi="Figtree"/>
          <w:b w:val="0"/>
          <w:i w:val="0"/>
          <w:sz w:val="22"/>
        </w:rPr>
        <w:t>. This two-year initial term provides Neptune with cost certainty through the Posidonia announcement and the initial scaling period, while giving SettleMint the commitment visibility to allocate dedicated resources.</w:t>
      </w:r>
    </w:p>
    <w:p>
      <w:pPr>
        <w:pStyle w:val="H3"/>
        <w:numPr>
          <w:ilvl w:val="2"/>
          <w:numId w:val="1"/>
        </w:numPr>
      </w:pPr>
      <w:r>
        <w:t>Renewal</w:t>
      </w:r>
    </w:p>
    <w:p>
      <w:r>
        <w:rPr>
          <w:rFonts w:ascii="Figtree" w:hAnsi="Figtree"/>
          <w:b w:val="0"/>
          <w:i w:val="0"/>
          <w:sz w:val="22"/>
        </w:rPr>
        <w:t>License renewals are priced at the then-current list price, with renewal pricing communicated at least 90 days before the end of the current term. Multi-year renewal commitments receive pricing consideration reflecting the longer commitment. Early renewal commitments made more than 120 days before term end may qualify for additional preferential terms.</w:t>
      </w:r>
    </w:p>
    <w:p>
      <w:pPr>
        <w:pStyle w:val="H3"/>
        <w:numPr>
          <w:ilvl w:val="2"/>
          <w:numId w:val="1"/>
        </w:numPr>
      </w:pPr>
      <w:r>
        <w:t>Termination</w:t>
      </w:r>
    </w:p>
    <w:p>
      <w:r>
        <w:rPr>
          <w:rFonts w:ascii="Figtree" w:hAnsi="Figtree"/>
          <w:b w:val="0"/>
          <w:i w:val="0"/>
          <w:sz w:val="22"/>
        </w:rPr>
        <w:t xml:space="preserve">Either party may terminate the agreement for material breach that remains uncured for 30 days following written notice. Neptune may terminate for convenience with 90 days written notice </w:t>
      </w:r>
      <w:r>
        <w:rPr>
          <w:rFonts w:ascii="Figtree" w:hAnsi="Figtree"/>
          <w:b/>
          <w:i w:val="0"/>
          <w:sz w:val="22"/>
        </w:rPr>
        <w:t>[TO CONFIRM]</w:t>
      </w:r>
      <w:r>
        <w:rPr>
          <w:rFonts w:ascii="Figtree" w:hAnsi="Figtree"/>
          <w:b w:val="0"/>
          <w:i w:val="0"/>
          <w:sz w:val="22"/>
        </w:rPr>
        <w:t>, subject to payment of fees for the remainder of the then-current annual term.</w:t>
      </w:r>
    </w:p>
    <w:p>
      <w:r>
        <w:rPr>
          <w:rFonts w:ascii="Figtree" w:hAnsi="Figtree"/>
          <w:b w:val="0"/>
          <w:i w:val="0"/>
          <w:sz w:val="22"/>
        </w:rPr>
        <w:t xml:space="preserve">Upon termination, SettleMint provides a data export period of 90 days </w:t>
      </w:r>
      <w:r>
        <w:rPr>
          <w:rFonts w:ascii="Figtree" w:hAnsi="Figtree"/>
          <w:b/>
          <w:i w:val="0"/>
          <w:sz w:val="22"/>
        </w:rPr>
        <w:t>[TO CONFIRM]</w:t>
      </w:r>
      <w:r>
        <w:rPr>
          <w:rFonts w:ascii="Figtree" w:hAnsi="Figtree"/>
          <w:b w:val="0"/>
          <w:i w:val="0"/>
          <w:sz w:val="22"/>
        </w:rPr>
        <w:t xml:space="preserve"> during which Neptune may extract all data, configurations, and token state. SettleMint will assist with an orderly transition and will not restrict data access during this period. Smart contract deployments on public or permissioned blockchains remain operational independently of the DALP platform, as they are immutable on-chain records.</w:t>
      </w:r>
    </w:p>
    <w:p>
      <w:pPr>
        <w:pStyle w:val="H3"/>
        <w:numPr>
          <w:ilvl w:val="2"/>
          <w:numId w:val="1"/>
        </w:numPr>
      </w:pPr>
      <w:r>
        <w:t>Intellectual Property</w:t>
      </w:r>
    </w:p>
    <w:p>
      <w:r>
        <w:rPr>
          <w:rFonts w:ascii="Figtree" w:hAnsi="Figtree"/>
          <w:b/>
          <w:i w:val="0"/>
          <w:sz w:val="22"/>
        </w:rPr>
        <w:t>DALP platform IP</w:t>
      </w:r>
      <w:r>
        <w:rPr>
          <w:rFonts w:ascii="Figtree" w:hAnsi="Figtree"/>
          <w:b w:val="0"/>
          <w:i w:val="0"/>
          <w:sz w:val="22"/>
        </w:rPr>
        <w:t xml:space="preserve"> remains the exclusive property of SettleMint NV. The license grants Neptune a non-exclusive, non-transferable right to use the platform during the license term for the agreed scope. This includes all platform source code, smart contract libraries, compliance modules, SDK, CLI, and documentation.</w:t>
      </w:r>
    </w:p>
    <w:p>
      <w:r>
        <w:rPr>
          <w:rFonts w:ascii="Figtree" w:hAnsi="Figtree"/>
          <w:b/>
          <w:i w:val="0"/>
          <w:sz w:val="22"/>
        </w:rPr>
        <w:t>Neptune data</w:t>
      </w:r>
      <w:r>
        <w:rPr>
          <w:rFonts w:ascii="Figtree" w:hAnsi="Figtree"/>
          <w:b w:val="0"/>
          <w:i w:val="0"/>
          <w:sz w:val="22"/>
        </w:rPr>
        <w:t xml:space="preserve"> processed through the platform remains the exclusive property of Neptune at all times. This includes all SPC configurations, investor records, transaction history, compliance audit trails, and any other data generated through Neptune's use of the platform.</w:t>
      </w:r>
    </w:p>
    <w:p>
      <w:r>
        <w:rPr>
          <w:rFonts w:ascii="Figtree" w:hAnsi="Figtree"/>
          <w:b/>
          <w:i w:val="0"/>
          <w:sz w:val="22"/>
        </w:rPr>
        <w:t>MindWave-built integrations</w:t>
      </w:r>
      <w:r>
        <w:rPr>
          <w:rFonts w:ascii="Figtree" w:hAnsi="Figtree"/>
          <w:b w:val="0"/>
          <w:i w:val="0"/>
          <w:sz w:val="22"/>
        </w:rPr>
        <w:t xml:space="preserve"> present an IP question that should be resolved directly between Neptune and MindWave </w:t>
      </w:r>
      <w:r>
        <w:rPr>
          <w:rFonts w:ascii="Figtree" w:hAnsi="Figtree"/>
          <w:b/>
          <w:i w:val="0"/>
          <w:sz w:val="22"/>
        </w:rPr>
        <w:t>[TO CONFIRM]</w:t>
      </w:r>
      <w:r>
        <w:rPr>
          <w:rFonts w:ascii="Figtree" w:hAnsi="Figtree"/>
          <w:b w:val="0"/>
          <w:i w:val="0"/>
          <w:sz w:val="22"/>
        </w:rPr>
        <w:t>. SettleMint's platform license does not affect the ownership of custom integrations, portals, or applications built by MindWave using DALP's published APIs and SDKs. Those integrations are outside SettleMint's commercial offer and the IP terms for that work are between Neptune and MindWave.</w:t>
      </w:r>
    </w:p>
    <w:p>
      <w:r>
        <w:rPr>
          <w:rFonts w:ascii="Figtree" w:hAnsi="Figtree"/>
          <w:b/>
          <w:i w:val="0"/>
          <w:sz w:val="22"/>
        </w:rPr>
        <w:t>Custom configurations</w:t>
      </w:r>
      <w:r>
        <w:rPr>
          <w:rFonts w:ascii="Figtree" w:hAnsi="Figtree"/>
          <w:b w:val="0"/>
          <w:i w:val="0"/>
          <w:sz w:val="22"/>
        </w:rPr>
        <w:t xml:space="preserve"> created by SettleMint during implementation (compliance module configurations, SPC templates, deployment scripts, identity framework setup) follow the IP ownership terms specified in the Statement of Work </w:t>
      </w:r>
      <w:r>
        <w:rPr>
          <w:rFonts w:ascii="Figtree" w:hAnsi="Figtree"/>
          <w:b/>
          <w:i w:val="0"/>
          <w:sz w:val="22"/>
        </w:rPr>
        <w:t>[TO CONFIRM]</w:t>
      </w:r>
      <w:r>
        <w:rPr>
          <w:rFonts w:ascii="Figtree" w:hAnsi="Figtree"/>
          <w:b w:val="0"/>
          <w:i w:val="0"/>
          <w:sz w:val="22"/>
        </w:rPr>
        <w:t>. Standard practice is that configurations specific to Neptune's business logic are Neptune's property, while reusable platform capabilities and templates remain SettleMint's.</w:t>
      </w:r>
    </w:p>
    <w:p>
      <w:pPr>
        <w:pStyle w:val="H3"/>
        <w:numPr>
          <w:ilvl w:val="2"/>
          <w:numId w:val="1"/>
        </w:numPr>
      </w:pPr>
      <w:r>
        <w:t>Liability Cap Rationale</w:t>
      </w:r>
    </w:p>
    <w:p>
      <w:r>
        <w:rPr>
          <w:rFonts w:ascii="Figtree" w:hAnsi="Figtree"/>
          <w:b w:val="0"/>
          <w:i w:val="0"/>
          <w:sz w:val="22"/>
        </w:rPr>
        <w:t>The liability cap of 12 months of fees is standard for enterprise software engagements and reflects a balance between SettleMint's commercial exposure and Neptune's reasonable expectations for recourse. This cap applies to the aggregate of all claims under the agreement, including but not limited to performance claims, SLA breaches, data handling, and intellectual property.</w:t>
      </w:r>
    </w:p>
    <w:p>
      <w:r>
        <w:rPr>
          <w:rFonts w:ascii="Figtree" w:hAnsi="Figtree"/>
          <w:b w:val="0"/>
          <w:i w:val="0"/>
          <w:sz w:val="22"/>
        </w:rPr>
        <w:t>The cap does not apply to breaches of confidentiality obligations, gross negligence, or willful misconduct. SettleMint maintains professional indemnity and cyber liability insurance coverage appropriate for the scale of its engagements, and Neptune is entitled to request evidence of such coverage as part of the contract negotiation.</w:t>
      </w:r>
    </w:p>
    <w:p>
      <w:pPr>
        <w:pStyle w:val="H3"/>
        <w:numPr>
          <w:ilvl w:val="2"/>
          <w:numId w:val="1"/>
        </w:numPr>
      </w:pPr>
      <w:r>
        <w:t>Data Protection and Privacy</w:t>
      </w:r>
    </w:p>
    <w:p>
      <w:r>
        <w:rPr>
          <w:rFonts w:ascii="Figtree" w:hAnsi="Figtree"/>
          <w:b w:val="0"/>
          <w:i w:val="0"/>
          <w:sz w:val="22"/>
        </w:rPr>
        <w:t>DALP processes personal data (investor identities, contact information, transaction records) as part of its normal operations. SettleMint acts as a data processor under applicable data protection laws (including GDPR for European investors), and Neptune acts as the data controller. The Platform License Agreement incorporates standard data processing terms consistent with GDPR Article 28, including restrictions on sub-processing, data breach notification obligations, and assistance with data subject rights exercises.</w:t>
      </w:r>
    </w:p>
    <w:p>
      <w:r>
        <w:rPr>
          <w:rFonts w:ascii="Figtree" w:hAnsi="Figtree"/>
          <w:b w:val="0"/>
          <w:i w:val="0"/>
          <w:sz w:val="22"/>
        </w:rPr>
        <w:t>For Neptune's use case, this means that investor identity data processed through DALP's OnchainID framework remains under Neptune's control, and SettleMint processes this data only on Neptune's documented instructions. This separation is essential for Neptune's compliance with securities regulations and anti-money laundering requirements.</w:t>
      </w:r>
    </w:p>
    <w:p>
      <w:pPr>
        <w:pStyle w:val="H3"/>
        <w:numPr>
          <w:ilvl w:val="2"/>
          <w:numId w:val="1"/>
        </w:numPr>
      </w:pPr>
      <w:r>
        <w:t>Insurance Requirements</w:t>
      </w:r>
    </w:p>
    <w:p>
      <w:r>
        <w:rPr>
          <w:rFonts w:ascii="Figtree" w:hAnsi="Figtree"/>
          <w:b w:val="0"/>
          <w:i w:val="0"/>
          <w:sz w:val="22"/>
        </w:rPr>
        <w:t>SettleMint maintains the following insurance coverage for the duration of the engagement: professional indemnity insurance with coverage appropriate for software platform providers, cyber liability insurance covering data breaches and security incidents, and commercial general liability insurance covering bodily injury and property damage. Neptune may request certificates of insurance as evidence of coverage during the contract negotiation phase.</w:t>
      </w:r>
    </w:p>
    <w:p>
      <w:pPr>
        <w:pStyle w:val="H3"/>
        <w:numPr>
          <w:ilvl w:val="2"/>
          <w:numId w:val="1"/>
        </w:numPr>
      </w:pPr>
      <w:r>
        <w:t>Governing Law and Dispute Resolution</w:t>
      </w:r>
    </w:p>
    <w:p>
      <w:r>
        <w:rPr>
          <w:rFonts w:ascii="Figtree" w:hAnsi="Figtree"/>
          <w:b w:val="0"/>
          <w:i w:val="0"/>
          <w:sz w:val="22"/>
        </w:rPr>
        <w:t>The MSA is governed by the laws of Belgium, with arbitration under the rules of the Belgian Centre for Arbitration and Mediation (CEPANI). This is a neutral jurisdiction for a Belgian platform provider (SettleMint) and a Greek maritime company (Neptune), avoiding the complexity of choosing between national courts.</w:t>
      </w:r>
    </w:p>
    <w:p>
      <w:pPr>
        <w:pStyle w:val="H3"/>
        <w:numPr>
          <w:ilvl w:val="2"/>
          <w:numId w:val="1"/>
        </w:numPr>
      </w:pPr>
      <w:r>
        <w:t>Commercial Terms Summary Table</w:t>
      </w:r>
    </w:p>
    <w:p>
      <w:r>
        <w:rPr>
          <w:rFonts w:ascii="Figtree" w:hAnsi="Figtree"/>
          <w:b w:val="0"/>
          <w:i w:val="0"/>
          <w:sz w:val="22"/>
        </w:rPr>
        <w:t>The following table summarizes the key commercial terms for quick reference during Neptune's internal evaluation.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76"/>
        <w:gridCol w:w="47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Proposed Value</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Managed SaaS</w:t>
            </w:r>
          </w:p>
        </w:tc>
      </w:tr>
      <w:tr>
        <w:trPr>
          <w:trHeight w:val="425" w:hRule="atLeast"/>
        </w:trPr>
        <w:tc>
          <w:tcPr>
            <w:tcW w:type="dxa" w:w="4873"/>
            <w:vAlign w:val="center"/>
          </w:tcPr>
          <w:p>
            <w:pPr>
              <w:spacing w:line="276" w:lineRule="auto" w:before="0" w:after="0"/>
            </w:pPr>
            <w:r/>
            <w:r>
              <w:rPr>
                <w:rFonts w:ascii="Figtree" w:hAnsi="Figtree"/>
                <w:b w:val="0"/>
                <w:i w:val="0"/>
                <w:sz w:val="20"/>
              </w:rPr>
              <w:t>Platform tier</w:t>
            </w:r>
          </w:p>
        </w:tc>
        <w:tc>
          <w:tcPr>
            <w:tcW w:type="dxa" w:w="4873"/>
            <w:vAlign w:val="center"/>
          </w:tcPr>
          <w:p>
            <w:pPr>
              <w:spacing w:line="276" w:lineRule="auto" w:before="0" w:after="0"/>
            </w:pPr>
            <w:r/>
            <w:r>
              <w:rPr>
                <w:rFonts w:ascii="Figtree" w:hAnsi="Figtree"/>
                <w:b w:val="0"/>
                <w:i w:val="0"/>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 xml:space="preserve">~€8,000/month </w:t>
            </w:r>
            <w:r>
              <w:rPr>
                <w:rFonts w:ascii="Figtree" w:hAnsi="Figtree"/>
                <w:b/>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 xml:space="preserve">~€10,000/month </w:t>
            </w:r>
            <w:r>
              <w:rPr>
                <w:rFonts w:ascii="Figtree" w:hAnsi="Figtree"/>
                <w:b/>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investment</w:t>
            </w:r>
          </w:p>
        </w:tc>
        <w:tc>
          <w:tcPr>
            <w:tcW w:type="dxa" w:w="4873"/>
            <w:vAlign w:val="center"/>
          </w:tcPr>
          <w:p>
            <w:pPr>
              <w:spacing w:line="276" w:lineRule="auto" w:before="0" w:after="0"/>
            </w:pPr>
            <w:r/>
            <w:r>
              <w:rPr>
                <w:rFonts w:ascii="Figtree" w:hAnsi="Figtree"/>
                <w:b w:val="0"/>
                <w:i w:val="0"/>
                <w:sz w:val="20"/>
              </w:rPr>
              <w:t xml:space="preserve">€50,000 to €80,000 </w:t>
            </w:r>
            <w:r>
              <w:rPr>
                <w:rFonts w:ascii="Figtree" w:hAnsi="Figtree"/>
                <w:b/>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License term</w:t>
            </w:r>
          </w:p>
        </w:tc>
        <w:tc>
          <w:tcPr>
            <w:tcW w:type="dxa" w:w="4873"/>
            <w:vAlign w:val="center"/>
          </w:tcPr>
          <w:p>
            <w:pPr>
              <w:spacing w:line="276" w:lineRule="auto" w:before="0" w:after="0"/>
            </w:pPr>
            <w:r/>
            <w:r>
              <w:rPr>
                <w:rFonts w:ascii="Figtree" w:hAnsi="Figtree"/>
                <w:b w:val="0"/>
                <w:i w:val="0"/>
                <w:sz w:val="20"/>
              </w:rPr>
              <w:t>24 months from go-live</w:t>
            </w:r>
          </w:p>
        </w:tc>
      </w:tr>
      <w:tr>
        <w:trPr>
          <w:trHeight w:val="425" w:hRule="atLeast"/>
        </w:trPr>
        <w:tc>
          <w:tcPr>
            <w:tcW w:type="dxa" w:w="4873"/>
            <w:vAlign w:val="center"/>
          </w:tcPr>
          <w:p>
            <w:pPr>
              <w:spacing w:line="276" w:lineRule="auto" w:before="0" w:after="0"/>
            </w:pPr>
            <w:r/>
            <w:r>
              <w:rPr>
                <w:rFonts w:ascii="Figtree" w:hAnsi="Figtree"/>
                <w:b w:val="0"/>
                <w:i w:val="0"/>
                <w:sz w:val="20"/>
              </w:rPr>
              <w:t>Payment schedule (license)</w:t>
            </w:r>
          </w:p>
        </w:tc>
        <w:tc>
          <w:tcPr>
            <w:tcW w:type="dxa" w:w="4873"/>
            <w:vAlign w:val="center"/>
          </w:tcPr>
          <w:p>
            <w:pPr>
              <w:spacing w:line="276" w:lineRule="auto" w:before="0" w:after="0"/>
            </w:pPr>
            <w:r/>
            <w:r>
              <w:rPr>
                <w:rFonts w:ascii="Figtree" w:hAnsi="Figtree"/>
                <w:b w:val="0"/>
                <w:i w:val="0"/>
                <w:sz w:val="20"/>
              </w:rPr>
              <w:t>Monthly or annual</w:t>
            </w:r>
          </w:p>
        </w:tc>
      </w:tr>
      <w:tr>
        <w:trPr>
          <w:trHeight w:val="425" w:hRule="atLeast"/>
        </w:trPr>
        <w:tc>
          <w:tcPr>
            <w:tcW w:type="dxa" w:w="4873"/>
            <w:vAlign w:val="center"/>
          </w:tcPr>
          <w:p>
            <w:pPr>
              <w:spacing w:line="276" w:lineRule="auto" w:before="0" w:after="0"/>
            </w:pPr>
            <w:r/>
            <w:r>
              <w:rPr>
                <w:rFonts w:ascii="Figtree" w:hAnsi="Figtree"/>
                <w:b w:val="0"/>
                <w:i w:val="0"/>
                <w:sz w:val="20"/>
              </w:rPr>
              <w:t>Payment schedule (implementation)</w:t>
            </w:r>
          </w:p>
        </w:tc>
        <w:tc>
          <w:tcPr>
            <w:tcW w:type="dxa" w:w="4873"/>
            <w:vAlign w:val="center"/>
          </w:tcPr>
          <w:p>
            <w:pPr>
              <w:spacing w:line="276" w:lineRule="auto" w:before="0" w:after="0"/>
            </w:pPr>
            <w:r/>
            <w:r>
              <w:rPr>
                <w:rFonts w:ascii="Figtree" w:hAnsi="Figtree"/>
                <w:b w:val="0"/>
                <w:i w:val="0"/>
                <w:sz w:val="20"/>
              </w:rPr>
              <w:t>Milestone-based (30/30/40)</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Included in production license</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12 months fees</w:t>
            </w:r>
          </w:p>
        </w:tc>
      </w:tr>
      <w:tr>
        <w:trPr>
          <w:trHeight w:val="425" w:hRule="atLeast"/>
        </w:trPr>
        <w:tc>
          <w:tcPr>
            <w:tcW w:type="dxa" w:w="4873"/>
            <w:vAlign w:val="center"/>
          </w:tcPr>
          <w:p>
            <w:pPr>
              <w:spacing w:line="276" w:lineRule="auto" w:before="0" w:after="0"/>
            </w:pPr>
            <w:r/>
            <w:r>
              <w:rPr>
                <w:rFonts w:ascii="Figtree" w:hAnsi="Figtree"/>
                <w:b w:val="0"/>
                <w:i w:val="0"/>
                <w:sz w:val="20"/>
              </w:rPr>
              <w:t>Data export period</w:t>
            </w:r>
          </w:p>
        </w:tc>
        <w:tc>
          <w:tcPr>
            <w:tcW w:type="dxa" w:w="4873"/>
            <w:vAlign w:val="center"/>
          </w:tcPr>
          <w:p>
            <w:pPr>
              <w:spacing w:line="276" w:lineRule="auto" w:before="0" w:after="0"/>
            </w:pPr>
            <w:r/>
            <w:r>
              <w:rPr>
                <w:rFonts w:ascii="Figtree" w:hAnsi="Figtree"/>
                <w:b w:val="0"/>
                <w:i w:val="0"/>
                <w:sz w:val="20"/>
              </w:rPr>
              <w:t>90 days post-termination</w:t>
            </w:r>
          </w:p>
        </w:tc>
      </w:tr>
      <w:tr>
        <w:trPr>
          <w:trHeight w:val="425" w:hRule="atLeast"/>
        </w:trPr>
        <w:tc>
          <w:tcPr>
            <w:tcW w:type="dxa" w:w="4873"/>
            <w:vAlign w:val="center"/>
          </w:tcPr>
          <w:p>
            <w:pPr>
              <w:spacing w:line="276" w:lineRule="auto" w:before="0" w:after="0"/>
            </w:pPr>
            <w:r/>
            <w:r>
              <w:rPr>
                <w:rFonts w:ascii="Figtree" w:hAnsi="Figtree"/>
                <w:b w:val="0"/>
                <w:i w:val="0"/>
                <w:sz w:val="20"/>
              </w:rPr>
              <w:t>Termination notice</w:t>
            </w:r>
          </w:p>
        </w:tc>
        <w:tc>
          <w:tcPr>
            <w:tcW w:type="dxa" w:w="4873"/>
            <w:vAlign w:val="center"/>
          </w:tcPr>
          <w:p>
            <w:pPr>
              <w:spacing w:line="276" w:lineRule="auto" w:before="0" w:after="0"/>
            </w:pPr>
            <w:r/>
            <w:r>
              <w:rPr>
                <w:rFonts w:ascii="Figtree" w:hAnsi="Figtree"/>
                <w:b w:val="0"/>
                <w:i w:val="0"/>
                <w:sz w:val="20"/>
              </w:rPr>
              <w:t>90 days</w:t>
            </w:r>
          </w:p>
        </w:tc>
      </w:tr>
      <w:tr>
        <w:trPr>
          <w:trHeight w:val="425" w:hRule="atLeast"/>
        </w:trPr>
        <w:tc>
          <w:tcPr>
            <w:tcW w:type="dxa" w:w="4873"/>
            <w:vAlign w:val="center"/>
          </w:tcPr>
          <w:p>
            <w:pPr>
              <w:spacing w:line="276" w:lineRule="auto" w:before="0" w:after="0"/>
            </w:pPr>
            <w:r/>
            <w:r>
              <w:rPr>
                <w:rFonts w:ascii="Figtree" w:hAnsi="Figtree"/>
                <w:b w:val="0"/>
                <w:i w:val="0"/>
                <w:sz w:val="20"/>
              </w:rPr>
              <w:t>Renewal notice</w:t>
            </w:r>
          </w:p>
        </w:tc>
        <w:tc>
          <w:tcPr>
            <w:tcW w:type="dxa" w:w="4873"/>
            <w:vAlign w:val="center"/>
          </w:tcPr>
          <w:p>
            <w:pPr>
              <w:spacing w:line="276" w:lineRule="auto" w:before="0" w:after="0"/>
            </w:pPr>
            <w:r/>
            <w:r>
              <w:rPr>
                <w:rFonts w:ascii="Figtree" w:hAnsi="Figtree"/>
                <w:b w:val="0"/>
                <w:i w:val="0"/>
                <w:sz w:val="20"/>
              </w:rPr>
              <w:t>90 days</w:t>
            </w:r>
          </w:p>
        </w:tc>
      </w:tr>
      <w:tr>
        <w:trPr>
          <w:trHeight w:val="425" w:hRule="atLeast"/>
        </w:trPr>
        <w:tc>
          <w:tcPr>
            <w:tcW w:type="dxa" w:w="4873"/>
            <w:vAlign w:val="center"/>
          </w:tcPr>
          <w:p>
            <w:pPr>
              <w:spacing w:line="276" w:lineRule="auto" w:before="0" w:after="0"/>
            </w:pPr>
            <w:r/>
            <w:r>
              <w:rPr>
                <w:rFonts w:ascii="Figtree" w:hAnsi="Figtree"/>
                <w:b w:val="0"/>
                <w:i w:val="0"/>
                <w:sz w:val="20"/>
              </w:rPr>
              <w:t>Escrow</w:t>
            </w:r>
          </w:p>
        </w:tc>
        <w:tc>
          <w:tcPr>
            <w:tcW w:type="dxa" w:w="4873"/>
            <w:vAlign w:val="center"/>
          </w:tcPr>
          <w:p>
            <w:pPr>
              <w:spacing w:line="276" w:lineRule="auto" w:before="0" w:after="0"/>
            </w:pPr>
            <w:r/>
            <w:r>
              <w:rPr>
                <w:rFonts w:ascii="Figtree" w:hAnsi="Figtree"/>
                <w:b w:val="0"/>
                <w:i w:val="0"/>
                <w:sz w:val="20"/>
              </w:rPr>
              <w:t xml:space="preserve">Available on request </w:t>
            </w:r>
            <w:r>
              <w:rPr>
                <w:rFonts w:ascii="Figtree" w:hAnsi="Figtree"/>
                <w:b/>
                <w:i w:val="0"/>
                <w:sz w:val="20"/>
              </w:rPr>
              <w:t>[TO CONFIRM]</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Belgium</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 duration</w:t>
            </w:r>
          </w:p>
        </w:tc>
        <w:tc>
          <w:tcPr>
            <w:tcW w:type="dxa" w:w="4873"/>
            <w:vAlign w:val="center"/>
          </w:tcPr>
          <w:p>
            <w:pPr>
              <w:spacing w:line="276" w:lineRule="auto" w:before="0" w:after="0"/>
            </w:pPr>
            <w:r/>
            <w:r>
              <w:rPr>
                <w:rFonts w:ascii="Figtree" w:hAnsi="Figtree"/>
                <w:b w:val="0"/>
                <w:i w:val="0"/>
                <w:sz w:val="20"/>
              </w:rPr>
              <w:t>3 years</w:t>
            </w:r>
          </w:p>
        </w:tc>
      </w:tr>
    </w:tbl>
    <w:p>
      <w:pPr>
        <w:spacing w:before="0" w:after="0" w:line="120" w:lineRule="exact"/>
      </w:pPr>
    </w:p>
    <w:p>
      <w:pPr>
        <w:pStyle w:val="H3"/>
        <w:numPr>
          <w:ilvl w:val="2"/>
          <w:numId w:val="1"/>
        </w:numPr>
      </w:pPr>
      <w:r>
        <w:t>Items Requiring Confirmation</w:t>
      </w:r>
    </w:p>
    <w:p>
      <w:r>
        <w:rPr>
          <w:rFonts w:ascii="Figtree" w:hAnsi="Figtree"/>
          <w:b w:val="0"/>
          <w:i w:val="0"/>
          <w:sz w:val="22"/>
        </w:rPr>
        <w:t xml:space="preserve">The following items require Neptune's input or confirmation to finalize the commercial offer. These are identified as </w:t>
      </w:r>
      <w:r>
        <w:rPr>
          <w:rFonts w:ascii="Figtree" w:hAnsi="Figtree"/>
          <w:b/>
          <w:i w:val="0"/>
          <w:sz w:val="22"/>
        </w:rPr>
        <w:t>[TO CONFIRM]</w:t>
      </w:r>
      <w:r>
        <w:rPr>
          <w:rFonts w:ascii="Figtree" w:hAnsi="Figtree"/>
          <w:b w:val="0"/>
          <w:i w:val="0"/>
          <w:sz w:val="22"/>
        </w:rPr>
        <w:t xml:space="preserve"> throughout this document and are prioritized for resolution during the scoping workshop.</w:t>
      </w:r>
    </w:p>
    <w:p>
      <w:r>
        <w:rPr>
          <w:rFonts w:ascii="Figtree" w:hAnsi="Figtree"/>
          <w:b/>
          <w:i w:val="0"/>
          <w:sz w:val="22"/>
        </w:rPr>
        <w:t>Pricing finalization.</w:t>
      </w:r>
      <w:r>
        <w:rPr>
          <w:rFonts w:ascii="Figtree" w:hAnsi="Figtree"/>
          <w:b w:val="0"/>
          <w:i w:val="0"/>
          <w:sz w:val="22"/>
        </w:rPr>
        <w:t xml:space="preserve"> The development license (~€8,000/month), production license (~€10,000/month), and implementation investment (€50,000 to €80,000) are working placeholders based on preliminary discussions. Final pricing depends on confirmed scope, entity count, compliance complexity, and any custom requirements identified during scoping.</w:t>
      </w:r>
    </w:p>
    <w:p>
      <w:r>
        <w:rPr>
          <w:rFonts w:ascii="Figtree" w:hAnsi="Figtree"/>
          <w:b/>
          <w:i w:val="0"/>
          <w:sz w:val="22"/>
        </w:rPr>
        <w:t>Payment schedule.</w:t>
      </w:r>
      <w:r>
        <w:rPr>
          <w:rFonts w:ascii="Figtree" w:hAnsi="Figtree"/>
          <w:b w:val="0"/>
          <w:i w:val="0"/>
          <w:sz w:val="22"/>
        </w:rPr>
        <w:t xml:space="preserve"> The milestone payment structure (30/30/40) is indicative. Neptune's procurement policies may require different milestone triggers or payment terms. These will be negotiated during contract finalization.</w:t>
      </w:r>
    </w:p>
    <w:p>
      <w:r>
        <w:rPr>
          <w:rFonts w:ascii="Figtree" w:hAnsi="Figtree"/>
          <w:b/>
          <w:i w:val="0"/>
          <w:sz w:val="22"/>
        </w:rPr>
        <w:t>Support inclusions.</w:t>
      </w:r>
      <w:r>
        <w:rPr>
          <w:rFonts w:ascii="Figtree" w:hAnsi="Figtree"/>
          <w:b w:val="0"/>
          <w:i w:val="0"/>
          <w:sz w:val="22"/>
        </w:rPr>
        <w:t xml:space="preserve"> The statement that Premium support is included in the production license requires confirmation based on final pricing negotiations. If support is scoped separately, the pricing will be adjusted accordingly.</w:t>
      </w:r>
    </w:p>
    <w:p>
      <w:r>
        <w:rPr>
          <w:rFonts w:ascii="Figtree" w:hAnsi="Figtree"/>
          <w:b/>
          <w:i w:val="0"/>
          <w:sz w:val="22"/>
        </w:rPr>
        <w:t>Escrow terms.</w:t>
      </w:r>
      <w:r>
        <w:rPr>
          <w:rFonts w:ascii="Figtree" w:hAnsi="Figtree"/>
          <w:b w:val="0"/>
          <w:i w:val="0"/>
          <w:sz w:val="22"/>
        </w:rPr>
        <w:t xml:space="preserve"> Source code escrow is available on request. The specific terms (escrow agent, release conditions, fees) will be documented in a separate escrow agreement if Neptune requires it.</w:t>
      </w:r>
    </w:p>
    <w:p>
      <w:r>
        <w:rPr>
          <w:rFonts w:ascii="Figtree" w:hAnsi="Figtree"/>
          <w:b/>
          <w:i w:val="0"/>
          <w:sz w:val="22"/>
        </w:rPr>
        <w:t>Termination terms.</w:t>
      </w:r>
      <w:r>
        <w:rPr>
          <w:rFonts w:ascii="Figtree" w:hAnsi="Figtree"/>
          <w:b w:val="0"/>
          <w:i w:val="0"/>
          <w:sz w:val="22"/>
        </w:rPr>
        <w:t xml:space="preserve"> The termination for convenience and data export provisions are standard but may be negotiable based on Neptune's requirements.</w:t>
      </w:r>
    </w:p>
    <w:p>
      <w:r>
        <w:rPr>
          <w:rFonts w:ascii="Figtree" w:hAnsi="Figtree"/>
          <w:b w:val="0"/>
          <w:i w:val="0"/>
          <w:sz w:val="22"/>
        </w:rPr>
        <w:t xml:space="preserve">SettleMint's aggregate liability under the agreement is capped at the total fees paid by Neptune during the 12-month period immediately preceding the event giving rise to the claim </w:t>
      </w:r>
      <w:r>
        <w:rPr>
          <w:rFonts w:ascii="Figtree" w:hAnsi="Figtree"/>
          <w:b/>
          <w:i w:val="0"/>
          <w:sz w:val="22"/>
        </w:rPr>
        <w:t>[TO CONFIRM]</w:t>
      </w:r>
      <w:r>
        <w:rPr>
          <w:rFonts w:ascii="Figtree" w:hAnsi="Figtree"/>
          <w:b w:val="0"/>
          <w:i w:val="0"/>
          <w:sz w:val="22"/>
        </w:rPr>
        <w:t>. Neither party is liable for indirect, consequential, incidental, or punitive damages, including lost profits or lost data, except in cases of gross negligence or willful misconduct.</w:t>
      </w:r>
    </w:p>
    <w:p>
      <w:r>
        <w:rPr>
          <w:rFonts w:ascii="Figtree" w:hAnsi="Figtree"/>
          <w:b w:val="0"/>
          <w:i w:val="0"/>
          <w:sz w:val="22"/>
        </w:rPr>
        <w:t>Both parties maintain appropriate professional indemnity and cyber liability insurance coverage for the duration of the engagement.</w:t>
      </w:r>
    </w:p>
    <w:p>
      <w:pPr>
        <w:pStyle w:val="H3"/>
        <w:numPr>
          <w:ilvl w:val="2"/>
          <w:numId w:val="1"/>
        </w:numPr>
      </w:pPr>
      <w:r>
        <w:t>Confidentiality</w:t>
      </w:r>
    </w:p>
    <w:p>
      <w:r>
        <w:rPr>
          <w:rFonts w:ascii="Figtree" w:hAnsi="Figtree"/>
          <w:b w:val="0"/>
          <w:i w:val="0"/>
          <w:sz w:val="22"/>
        </w:rPr>
        <w:t>Both parties agree to treat all non-public information exchanged under the agreement as confidential. Confidentiality obligations survive termination by a period of 3 years. Standard exceptions apply for information that becomes publicly available through no fault of the receiving party, is independently developed, or is required to be disclosed by law or regulation.</w:t>
      </w:r>
    </w:p>
    <w:p>
      <w:r>
        <w:rPr>
          <w:rFonts w:ascii="Figtree" w:hAnsi="Figtree"/>
          <w:b w:val="0"/>
          <w:i w:val="0"/>
          <w:sz w:val="22"/>
        </w:rPr>
        <w:t>Neptune's SPC structures, investor information, vessel details, and commercial arrangements are treated as strictly confidential. SettleMint will not reference Neptune as a client or disclose any details of the engagement without Neptune's prior written consent. If Neptune wishes to make a joint announcement at Posidonia, the scope and content of that announcement will be mutually agreed.</w:t>
      </w:r>
    </w:p>
    <w:p>
      <w:pPr>
        <w:pStyle w:val="H3"/>
        <w:numPr>
          <w:ilvl w:val="2"/>
          <w:numId w:val="1"/>
        </w:numPr>
      </w:pPr>
      <w:r>
        <w:t>Source Code Escrow</w:t>
      </w:r>
    </w:p>
    <w:p>
      <w:r>
        <w:rPr>
          <w:rFonts w:ascii="Figtree" w:hAnsi="Figtree"/>
          <w:b w:val="0"/>
          <w:i w:val="0"/>
          <w:sz w:val="22"/>
        </w:rPr>
        <w:t xml:space="preserve">SettleMint offers source code escrow arrangements for institutions requiring business continuity assurance. If Neptune requires escrow, terms, release conditions (typically limited to SettleMint ceasing operations, filing for insolvency, or material breach of the license agreement), and the identity of the escrow agent are negotiated and documented in a separate escrow agreement </w:t>
      </w:r>
      <w:r>
        <w:rPr>
          <w:rFonts w:ascii="Figtree" w:hAnsi="Figtree"/>
          <w:b/>
          <w:i w:val="0"/>
          <w:sz w:val="22"/>
        </w:rPr>
        <w:t>[TO CONFIRM]</w:t>
      </w:r>
      <w:r>
        <w:rPr>
          <w:rFonts w:ascii="Figtree" w:hAnsi="Figtree"/>
          <w:b w:val="0"/>
          <w:i w:val="0"/>
          <w:sz w:val="22"/>
        </w:rPr>
        <w:t>.</w:t>
      </w:r>
    </w:p>
    <w:p>
      <w:r>
        <w:rPr>
          <w:rFonts w:ascii="Figtree" w:hAnsi="Figtree"/>
          <w:b w:val="0"/>
          <w:i w:val="0"/>
          <w:sz w:val="22"/>
        </w:rPr>
        <w:t>This provides Neptune with continuity assurance: in the unlikely event that SettleMint is unable to continue providing the platform, Neptune can access the source code to maintain operations independently or through a third party.</w:t>
      </w:r>
    </w:p>
    <w:p>
      <w:r>
        <w:br w:type="page"/>
      </w:r>
    </w:p>
    <w:p>
      <w:pPr>
        <w:pStyle w:val="H2"/>
        <w:numPr>
          <w:ilvl w:val="1"/>
          <w:numId w:val="1"/>
        </w:numPr>
      </w:pPr>
      <w:r>
        <w:t>Next Steps</w:t>
      </w:r>
    </w:p>
    <w:p>
      <w:r>
        <w:rPr>
          <w:rFonts w:ascii="Figtree" w:hAnsi="Figtree"/>
          <w:b w:val="0"/>
          <w:i w:val="0"/>
          <w:sz w:val="22"/>
        </w:rPr>
        <w:t>To advance from this proposal to contract execution within the timeline that Posidonia 2026 demands, SettleMint recommends five concrete actions:</w:t>
      </w:r>
    </w:p>
    <w:p>
      <w:pPr>
        <w:pStyle w:val="H3"/>
        <w:numPr>
          <w:ilvl w:val="2"/>
          <w:numId w:val="1"/>
        </w:numPr>
      </w:pPr>
      <w:r>
        <w:t>Commercial Review with Harris Antoniou and Iraklis Tsirigotis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7"/>
        <w:gridCol w:w="8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Owner</w:t>
            </w:r>
          </w:p>
        </w:tc>
        <w:tc>
          <w:tcPr>
            <w:tcW w:type="dxa" w:w="4873"/>
            <w:vAlign w:val="center"/>
          </w:tcPr>
          <w:p>
            <w:pPr>
              <w:spacing w:line="276" w:lineRule="auto" w:before="0" w:after="0"/>
            </w:pPr>
            <w:r/>
            <w:r>
              <w:rPr>
                <w:rFonts w:ascii="Figtree" w:hAnsi="Figtree"/>
                <w:b w:val="0"/>
                <w:i w:val="0"/>
                <w:sz w:val="20"/>
              </w:rPr>
              <w:t>SettleMint (Matthew Van Niekerk) + Neptune (Harris Antoniou, Iraklis Tsirigotis)</w:t>
            </w:r>
          </w:p>
        </w:tc>
      </w:tr>
      <w:tr>
        <w:trPr>
          <w:trHeight w:val="425" w:hRule="atLeast"/>
        </w:trPr>
        <w:tc>
          <w:tcPr>
            <w:tcW w:type="dxa" w:w="4873"/>
            <w:vAlign w:val="center"/>
          </w:tcPr>
          <w:p>
            <w:pPr>
              <w:spacing w:line="276" w:lineRule="auto" w:before="0" w:after="0"/>
            </w:pPr>
            <w:r/>
            <w:r>
              <w:rPr>
                <w:rFonts w:ascii="Figtree" w:hAnsi="Figtree"/>
                <w:b/>
                <w:i w:val="0"/>
                <w:sz w:val="20"/>
              </w:rPr>
              <w:t>Purpose</w:t>
            </w:r>
          </w:p>
        </w:tc>
        <w:tc>
          <w:tcPr>
            <w:tcW w:type="dxa" w:w="4873"/>
            <w:vAlign w:val="center"/>
          </w:tcPr>
          <w:p>
            <w:pPr>
              <w:spacing w:line="276" w:lineRule="auto" w:before="0" w:after="0"/>
            </w:pPr>
            <w:r/>
            <w:r>
              <w:rPr>
                <w:rFonts w:ascii="Figtree" w:hAnsi="Figtree"/>
                <w:b w:val="0"/>
                <w:i w:val="0"/>
                <w:sz w:val="20"/>
              </w:rPr>
              <w:t>Walk through this commercial proposal, clarify pricing parameters, confirm deployment model and support tier, align on implementation scope and timeline expectations</w:t>
            </w:r>
          </w:p>
        </w:tc>
      </w:tr>
      <w:tr>
        <w:trPr>
          <w:trHeight w:val="425" w:hRule="atLeast"/>
        </w:trPr>
        <w:tc>
          <w:tcPr>
            <w:tcW w:type="dxa" w:w="4873"/>
            <w:vAlign w:val="center"/>
          </w:tcPr>
          <w:p>
            <w:pPr>
              <w:spacing w:line="276" w:lineRule="auto" w:before="0" w:after="0"/>
            </w:pPr>
            <w:r/>
            <w:r>
              <w:rPr>
                <w:rFonts w:ascii="Figtree" w:hAnsi="Figtree"/>
                <w:b/>
                <w:i w:val="0"/>
                <w:sz w:val="20"/>
              </w:rPr>
              <w:t>Output</w:t>
            </w:r>
          </w:p>
        </w:tc>
        <w:tc>
          <w:tcPr>
            <w:tcW w:type="dxa" w:w="4873"/>
            <w:vAlign w:val="center"/>
          </w:tcPr>
          <w:p>
            <w:pPr>
              <w:spacing w:line="276" w:lineRule="auto" w:before="0" w:after="0"/>
            </w:pPr>
            <w:r/>
            <w:r>
              <w:rPr>
                <w:rFonts w:ascii="Figtree" w:hAnsi="Figtree"/>
                <w:b w:val="0"/>
                <w:i w:val="0"/>
                <w:sz w:val="20"/>
              </w:rPr>
              <w:t>Agreed commercial framework with validated assumptions; list of items to finalize</w:t>
            </w:r>
          </w:p>
        </w:tc>
      </w:tr>
      <w:tr>
        <w:trPr>
          <w:trHeight w:val="425" w:hRule="atLeast"/>
        </w:trPr>
        <w:tc>
          <w:tcPr>
            <w:tcW w:type="dxa" w:w="4873"/>
            <w:vAlign w:val="center"/>
          </w:tcPr>
          <w:p>
            <w:pPr>
              <w:spacing w:line="276" w:lineRule="auto" w:before="0" w:after="0"/>
            </w:pPr>
            <w:r/>
            <w:r>
              <w:rPr>
                <w:rFonts w:ascii="Figtree" w:hAnsi="Figtree"/>
                <w:b/>
                <w:i w:val="0"/>
                <w:sz w:val="20"/>
              </w:rPr>
              <w:t>Timing</w:t>
            </w:r>
          </w:p>
        </w:tc>
        <w:tc>
          <w:tcPr>
            <w:tcW w:type="dxa" w:w="4873"/>
            <w:vAlign w:val="center"/>
          </w:tcPr>
          <w:p>
            <w:pPr>
              <w:spacing w:line="276" w:lineRule="auto" w:before="0" w:after="0"/>
            </w:pPr>
            <w:r/>
            <w:r>
              <w:rPr>
                <w:rFonts w:ascii="Figtree" w:hAnsi="Figtree"/>
                <w:b w:val="0"/>
                <w:i w:val="0"/>
                <w:sz w:val="20"/>
              </w:rPr>
              <w:t>This week (week of 19 March 2026)</w:t>
            </w:r>
          </w:p>
        </w:tc>
      </w:tr>
    </w:tbl>
    <w:p>
      <w:pPr>
        <w:spacing w:before="0" w:after="0" w:line="120" w:lineRule="exact"/>
      </w:pPr>
    </w:p>
    <w:p>
      <w:r>
        <w:rPr>
          <w:rFonts w:ascii="Figtree" w:hAnsi="Figtree"/>
          <w:b w:val="0"/>
          <w:i w:val="0"/>
          <w:sz w:val="22"/>
        </w:rPr>
        <w:t>This session is the critical first step. It transforms this proposal from a discussion document into a validated commercial framework. The key decisions to make during this session: confirm the Managed SaaS deployment model, confirm Enterprise tier + Premium support, validate the working pricing figures, and confirm the phased implementation approach.</w:t>
      </w:r>
    </w:p>
    <w:p>
      <w:pPr>
        <w:pStyle w:val="H3"/>
        <w:numPr>
          <w:ilvl w:val="2"/>
          <w:numId w:val="1"/>
        </w:numPr>
      </w:pPr>
      <w:r>
        <w:t>Legal Instrument Structuring Confirmation with Papandreou</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7"/>
        <w:gridCol w:w="8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Owner</w:t>
            </w:r>
          </w:p>
        </w:tc>
        <w:tc>
          <w:tcPr>
            <w:tcW w:type="dxa" w:w="4873"/>
            <w:vAlign w:val="center"/>
          </w:tcPr>
          <w:p>
            <w:pPr>
              <w:spacing w:line="276" w:lineRule="auto" w:before="0" w:after="0"/>
            </w:pPr>
            <w:r/>
            <w:r>
              <w:rPr>
                <w:rFonts w:ascii="Figtree" w:hAnsi="Figtree"/>
                <w:b w:val="0"/>
                <w:i w:val="0"/>
                <w:sz w:val="20"/>
              </w:rPr>
              <w:t>Neptune (Iraklis Tsirigotis) + Legal (Alexander Papandreou)</w:t>
            </w:r>
          </w:p>
        </w:tc>
      </w:tr>
      <w:tr>
        <w:trPr>
          <w:trHeight w:val="425" w:hRule="atLeast"/>
        </w:trPr>
        <w:tc>
          <w:tcPr>
            <w:tcW w:type="dxa" w:w="4873"/>
            <w:vAlign w:val="center"/>
          </w:tcPr>
          <w:p>
            <w:pPr>
              <w:spacing w:line="276" w:lineRule="auto" w:before="0" w:after="0"/>
            </w:pPr>
            <w:r/>
            <w:r>
              <w:rPr>
                <w:rFonts w:ascii="Figtree" w:hAnsi="Figtree"/>
                <w:b/>
                <w:i w:val="0"/>
                <w:sz w:val="20"/>
              </w:rPr>
              <w:t>Purpose</w:t>
            </w:r>
          </w:p>
        </w:tc>
        <w:tc>
          <w:tcPr>
            <w:tcW w:type="dxa" w:w="4873"/>
            <w:vAlign w:val="center"/>
          </w:tcPr>
          <w:p>
            <w:pPr>
              <w:spacing w:line="276" w:lineRule="auto" w:before="0" w:after="0"/>
            </w:pPr>
            <w:r/>
            <w:r>
              <w:rPr>
                <w:rFonts w:ascii="Figtree" w:hAnsi="Figtree"/>
                <w:b w:val="0"/>
                <w:i w:val="0"/>
                <w:sz w:val="20"/>
              </w:rPr>
              <w:t>Confirm the legal token structure per SPC, investor eligibility rules per jurisdiction, and the contractual framework for tokenized economic rights</w:t>
            </w:r>
          </w:p>
        </w:tc>
      </w:tr>
      <w:tr>
        <w:trPr>
          <w:trHeight w:val="425" w:hRule="atLeast"/>
        </w:trPr>
        <w:tc>
          <w:tcPr>
            <w:tcW w:type="dxa" w:w="4873"/>
            <w:vAlign w:val="center"/>
          </w:tcPr>
          <w:p>
            <w:pPr>
              <w:spacing w:line="276" w:lineRule="auto" w:before="0" w:after="0"/>
            </w:pPr>
            <w:r/>
            <w:r>
              <w:rPr>
                <w:rFonts w:ascii="Figtree" w:hAnsi="Figtree"/>
                <w:b/>
                <w:i w:val="0"/>
                <w:sz w:val="20"/>
              </w:rPr>
              <w:t>Output</w:t>
            </w:r>
          </w:p>
        </w:tc>
        <w:tc>
          <w:tcPr>
            <w:tcW w:type="dxa" w:w="4873"/>
            <w:vAlign w:val="center"/>
          </w:tcPr>
          <w:p>
            <w:pPr>
              <w:spacing w:line="276" w:lineRule="auto" w:before="0" w:after="0"/>
            </w:pPr>
            <w:r/>
            <w:r>
              <w:rPr>
                <w:rFonts w:ascii="Figtree" w:hAnsi="Figtree"/>
                <w:b w:val="0"/>
                <w:i w:val="0"/>
                <w:sz w:val="20"/>
              </w:rPr>
              <w:t>Legal framework document defining: how tokens represent SPC economic rights, securities exemption strategy (private placement for 5 institutional investors), jurisdictional compliance requirements (Jersey, Marshall Islands, flag states)</w:t>
            </w:r>
          </w:p>
        </w:tc>
      </w:tr>
      <w:tr>
        <w:trPr>
          <w:trHeight w:val="425" w:hRule="atLeast"/>
        </w:trPr>
        <w:tc>
          <w:tcPr>
            <w:tcW w:type="dxa" w:w="4873"/>
            <w:vAlign w:val="center"/>
          </w:tcPr>
          <w:p>
            <w:pPr>
              <w:spacing w:line="276" w:lineRule="auto" w:before="0" w:after="0"/>
            </w:pPr>
            <w:r/>
            <w:r>
              <w:rPr>
                <w:rFonts w:ascii="Figtree" w:hAnsi="Figtree"/>
                <w:b/>
                <w:i w:val="0"/>
                <w:sz w:val="20"/>
              </w:rPr>
              <w:t>Timing</w:t>
            </w:r>
          </w:p>
        </w:tc>
        <w:tc>
          <w:tcPr>
            <w:tcW w:type="dxa" w:w="4873"/>
            <w:vAlign w:val="center"/>
          </w:tcPr>
          <w:p>
            <w:pPr>
              <w:spacing w:line="276" w:lineRule="auto" w:before="0" w:after="0"/>
            </w:pPr>
            <w:r/>
            <w:r>
              <w:rPr>
                <w:rFonts w:ascii="Figtree" w:hAnsi="Figtree"/>
                <w:b w:val="0"/>
                <w:i w:val="0"/>
                <w:sz w:val="20"/>
              </w:rPr>
              <w:t>By end of March 2026</w:t>
            </w:r>
          </w:p>
        </w:tc>
      </w:tr>
    </w:tbl>
    <w:p>
      <w:pPr>
        <w:spacing w:before="0" w:after="0" w:line="120" w:lineRule="exact"/>
      </w:pPr>
    </w:p>
    <w:p>
      <w:r>
        <w:rPr>
          <w:rFonts w:ascii="Figtree" w:hAnsi="Figtree"/>
          <w:b w:val="0"/>
          <w:i w:val="0"/>
          <w:sz w:val="22"/>
        </w:rPr>
        <w:t>This is the highest-risk dependency on the timeline. Without clear legal guidance, compliance module configuration cannot be finalized, and the programme risks repeating legal analysis for each SPC individually rather than establishing a standard framework. SettleMint's recommendation is to push for a single legal opinion covering the standard SPC template, with documented exceptions for any SPCs that deviate from the standard structure.</w:t>
      </w:r>
    </w:p>
    <w:p>
      <w:pPr>
        <w:pStyle w:val="H3"/>
        <w:numPr>
          <w:ilvl w:val="2"/>
          <w:numId w:val="1"/>
        </w:numPr>
      </w:pPr>
      <w:r>
        <w:t>Scoping Workshop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7"/>
        <w:gridCol w:w="8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Owner</w:t>
            </w:r>
          </w:p>
        </w:tc>
        <w:tc>
          <w:tcPr>
            <w:tcW w:type="dxa" w:w="4873"/>
            <w:vAlign w:val="center"/>
          </w:tcPr>
          <w:p>
            <w:pPr>
              <w:spacing w:line="276" w:lineRule="auto" w:before="0" w:after="0"/>
            </w:pPr>
            <w:r/>
            <w:r>
              <w:rPr>
                <w:rFonts w:ascii="Figtree" w:hAnsi="Figtree"/>
                <w:b w:val="0"/>
                <w:i w:val="0"/>
                <w:sz w:val="20"/>
              </w:rPr>
              <w:t>SettleMint + Neptune + MindWave</w:t>
            </w:r>
          </w:p>
        </w:tc>
      </w:tr>
      <w:tr>
        <w:trPr>
          <w:trHeight w:val="425" w:hRule="atLeast"/>
        </w:trPr>
        <w:tc>
          <w:tcPr>
            <w:tcW w:type="dxa" w:w="4873"/>
            <w:vAlign w:val="center"/>
          </w:tcPr>
          <w:p>
            <w:pPr>
              <w:spacing w:line="276" w:lineRule="auto" w:before="0" w:after="0"/>
            </w:pPr>
            <w:r/>
            <w:r>
              <w:rPr>
                <w:rFonts w:ascii="Figtree" w:hAnsi="Figtree"/>
                <w:b/>
                <w:i w:val="0"/>
                <w:sz w:val="20"/>
              </w:rPr>
              <w:t>Purpose</w:t>
            </w:r>
          </w:p>
        </w:tc>
        <w:tc>
          <w:tcPr>
            <w:tcW w:type="dxa" w:w="4873"/>
            <w:vAlign w:val="center"/>
          </w:tcPr>
          <w:p>
            <w:pPr>
              <w:spacing w:line="276" w:lineRule="auto" w:before="0" w:after="0"/>
            </w:pPr>
            <w:r/>
            <w:r>
              <w:rPr>
                <w:rFonts w:ascii="Figtree" w:hAnsi="Figtree"/>
                <w:b w:val="0"/>
                <w:i w:val="0"/>
                <w:sz w:val="20"/>
              </w:rPr>
              <w:t>Commercial and technical alignment: finalize implementation scope, confirm SPC standardization approach, define MindWave integration boundaries, establish SPC data template, clarify custody and KYC provider requirements</w:t>
            </w:r>
          </w:p>
        </w:tc>
      </w:tr>
      <w:tr>
        <w:trPr>
          <w:trHeight w:val="425" w:hRule="atLeast"/>
        </w:trPr>
        <w:tc>
          <w:tcPr>
            <w:tcW w:type="dxa" w:w="4873"/>
            <w:vAlign w:val="center"/>
          </w:tcPr>
          <w:p>
            <w:pPr>
              <w:spacing w:line="276" w:lineRule="auto" w:before="0" w:after="0"/>
            </w:pPr>
            <w:r/>
            <w:r>
              <w:rPr>
                <w:rFonts w:ascii="Figtree" w:hAnsi="Figtree"/>
                <w:b/>
                <w:i w:val="0"/>
                <w:sz w:val="20"/>
              </w:rPr>
              <w:t>Output</w:t>
            </w:r>
          </w:p>
        </w:tc>
        <w:tc>
          <w:tcPr>
            <w:tcW w:type="dxa" w:w="4873"/>
            <w:vAlign w:val="center"/>
          </w:tcPr>
          <w:p>
            <w:pPr>
              <w:spacing w:line="276" w:lineRule="auto" w:before="0" w:after="0"/>
            </w:pPr>
            <w:r/>
            <w:r>
              <w:rPr>
                <w:rFonts w:ascii="Figtree" w:hAnsi="Figtree"/>
                <w:b w:val="0"/>
                <w:i w:val="0"/>
                <w:sz w:val="20"/>
              </w:rPr>
              <w:t>Scoping document with finalized requirements; inputs to produce the binding commercial offer and Statement of Work</w:t>
            </w:r>
          </w:p>
        </w:tc>
      </w:tr>
      <w:tr>
        <w:trPr>
          <w:trHeight w:val="425" w:hRule="atLeast"/>
        </w:trPr>
        <w:tc>
          <w:tcPr>
            <w:tcW w:type="dxa" w:w="4873"/>
            <w:vAlign w:val="center"/>
          </w:tcPr>
          <w:p>
            <w:pPr>
              <w:spacing w:line="276" w:lineRule="auto" w:before="0" w:after="0"/>
            </w:pPr>
            <w:r/>
            <w:r>
              <w:rPr>
                <w:rFonts w:ascii="Figtree" w:hAnsi="Figtree"/>
                <w:b/>
                <w:i w:val="0"/>
                <w:sz w:val="20"/>
              </w:rPr>
              <w:t>Timing</w:t>
            </w:r>
          </w:p>
        </w:tc>
        <w:tc>
          <w:tcPr>
            <w:tcW w:type="dxa" w:w="4873"/>
            <w:vAlign w:val="center"/>
          </w:tcPr>
          <w:p>
            <w:pPr>
              <w:spacing w:line="276" w:lineRule="auto" w:before="0" w:after="0"/>
            </w:pPr>
            <w:r/>
            <w:r>
              <w:rPr>
                <w:rFonts w:ascii="Figtree" w:hAnsi="Figtree"/>
                <w:b w:val="0"/>
                <w:i w:val="0"/>
                <w:sz w:val="20"/>
              </w:rPr>
              <w:t>By 4 April 2026 (2 hours, in-person in Athens or via video conference)</w:t>
            </w:r>
          </w:p>
        </w:tc>
      </w:tr>
    </w:tbl>
    <w:p>
      <w:pPr>
        <w:spacing w:before="0" w:after="0" w:line="120" w:lineRule="exact"/>
      </w:pPr>
    </w:p>
    <w:p>
      <w:r>
        <w:rPr>
          <w:rFonts w:ascii="Figtree" w:hAnsi="Figtree"/>
          <w:b w:val="0"/>
          <w:i w:val="0"/>
          <w:sz w:val="22"/>
        </w:rPr>
        <w:t xml:space="preserve">This workshop is where all three parties align on who does what. SettleMint deploys and configures DALP. MindWave builds the investor portal and custom integrations. Neptune provides SPC data, investor introductions, and legal framework. The scoping workshop produces the detailed inputs needed to finalize all </w:t>
      </w:r>
      <w:r>
        <w:rPr>
          <w:rFonts w:ascii="Figtree" w:hAnsi="Figtree"/>
          <w:b/>
          <w:i w:val="0"/>
          <w:sz w:val="22"/>
        </w:rPr>
        <w:t>[TO CONFIRM]</w:t>
      </w:r>
      <w:r>
        <w:rPr>
          <w:rFonts w:ascii="Figtree" w:hAnsi="Figtree"/>
          <w:b w:val="0"/>
          <w:i w:val="0"/>
          <w:sz w:val="22"/>
        </w:rPr>
        <w:t xml:space="preserve"> items in this proposal.</w:t>
      </w:r>
    </w:p>
    <w:p>
      <w:pPr>
        <w:pStyle w:val="H3"/>
        <w:numPr>
          <w:ilvl w:val="2"/>
          <w:numId w:val="1"/>
        </w:numPr>
      </w:pPr>
      <w:r>
        <w:t>What Happens If the Timeline Slips</w:t>
      </w:r>
    </w:p>
    <w:p>
      <w:r>
        <w:rPr>
          <w:rFonts w:ascii="Figtree" w:hAnsi="Figtree"/>
          <w:b w:val="0"/>
          <w:i w:val="0"/>
          <w:sz w:val="22"/>
        </w:rPr>
        <w:t>The Posidonia deadline is immovable. If Neptune does not announce at Posidonia 2026, the next opportunity is 2028. The consequences of slipping this timeline are real, and they should inform how Neptune prioritizes decisions over the next six weeks.</w:t>
      </w:r>
    </w:p>
    <w:p>
      <w:r>
        <w:rPr>
          <w:rFonts w:ascii="Figtree" w:hAnsi="Figtree"/>
          <w:b/>
          <w:i w:val="0"/>
          <w:sz w:val="22"/>
        </w:rPr>
        <w:t>If contract execution slips to end of April (30 April):</w:t>
      </w:r>
      <w:r>
        <w:rPr>
          <w:rFonts w:ascii="Figtree" w:hAnsi="Figtree"/>
          <w:b w:val="0"/>
          <w:i w:val="0"/>
          <w:sz w:val="22"/>
        </w:rPr>
        <w:t xml:space="preserve"> Phase 0 and Phase 1 are compressed into approximately 10 weeks instead of 12. This is achievable but leaves minimal buffer. The risk is that any compliance configuration issue discovered during Phase 1 consumes slack that no longer exists.</w:t>
      </w:r>
    </w:p>
    <w:p>
      <w:r>
        <w:rPr>
          <w:rFonts w:ascii="Figtree" w:hAnsi="Figtree"/>
          <w:b/>
          <w:i w:val="0"/>
          <w:sz w:val="22"/>
        </w:rPr>
        <w:t>If contract execution slips to mid-May (15 May):</w:t>
      </w:r>
      <w:r>
        <w:rPr>
          <w:rFonts w:ascii="Figtree" w:hAnsi="Figtree"/>
          <w:b w:val="0"/>
          <w:i w:val="0"/>
          <w:sz w:val="22"/>
        </w:rPr>
        <w:t xml:space="preserve"> Achieving full Posidonia readiness becomes unlikely. At this point, Neptune should consider a staged announcement: announce the platform launch and the first 10 to 20 SPCs tokenized, with the remaining SPCs following within 60 days of Posidonia. This staged approach preserves the Posidonia milestone while acknowledging the compressed timeline.</w:t>
      </w:r>
    </w:p>
    <w:p>
      <w:r>
        <w:rPr>
          <w:rFonts w:ascii="Figtree" w:hAnsi="Figtree"/>
          <w:b/>
          <w:i w:val="0"/>
          <w:sz w:val="22"/>
        </w:rPr>
        <w:t>If contract execution slips beyond mid-May:</w:t>
      </w:r>
      <w:r>
        <w:rPr>
          <w:rFonts w:ascii="Figtree" w:hAnsi="Figtree"/>
          <w:b w:val="0"/>
          <w:i w:val="0"/>
          <w:sz w:val="22"/>
        </w:rPr>
        <w:t xml:space="preserve"> The Posidonia announcement should be reframed as a technology partnership announcement rather than a platform launch. Neptune announces its intent to tokenize with SettleMint and MindWave, with a target launch in Q3 2026. This preserves the relationship while avoiding a credibility-damaging launch that cannot deliver on its promises.</w:t>
      </w:r>
    </w:p>
    <w:p>
      <w:r>
        <w:rPr>
          <w:rFonts w:ascii="Figtree" w:hAnsi="Figtree"/>
          <w:b w:val="0"/>
          <w:i w:val="0"/>
          <w:sz w:val="22"/>
        </w:rPr>
        <w:t>SettleMint will commit to doing everything within its control to meet the Posidonia timeline. We will staff the engagement appropriately, provide dedicated resources, and prioritize Neptune's implementation over other engagements. But we need Neptune's commitment to match that urgency on the legal, commercial, and data preparation fronts.</w:t>
      </w:r>
    </w:p>
    <w:p>
      <w:pPr>
        <w:pStyle w:val="H3"/>
        <w:numPr>
          <w:ilvl w:val="2"/>
          <w:numId w:val="1"/>
        </w:numPr>
      </w:pPr>
      <w:r>
        <w:t>What Neptune Needs to Deliver</w:t>
      </w:r>
    </w:p>
    <w:p>
      <w:r>
        <w:rPr>
          <w:rFonts w:ascii="Figtree" w:hAnsi="Figtree"/>
          <w:b w:val="0"/>
          <w:i w:val="0"/>
          <w:sz w:val="22"/>
        </w:rPr>
        <w:t>SettleMint can deliver the platform; Neptune must deliver the inputs. The following are the critical inputs that Neptune must provide to keep the timeline on track.</w:t>
      </w:r>
    </w:p>
    <w:p>
      <w:r>
        <w:rPr>
          <w:rFonts w:ascii="Figtree" w:hAnsi="Figtree"/>
          <w:b/>
          <w:i w:val="0"/>
          <w:sz w:val="22"/>
        </w:rPr>
        <w:t>Legal structuring.</w:t>
      </w:r>
      <w:r>
        <w:rPr>
          <w:rFonts w:ascii="Figtree" w:hAnsi="Figtree"/>
          <w:b w:val="0"/>
          <w:i w:val="0"/>
          <w:sz w:val="22"/>
        </w:rPr>
        <w:t xml:space="preserve"> Papandreou must confirm the legal token structure, securities exemption strategy, and investor eligibility rules by end of March. This is the single largest schedule risk. Without legal clarity, compliance configuration cannot be finalized.</w:t>
      </w:r>
    </w:p>
    <w:p>
      <w:r>
        <w:rPr>
          <w:rFonts w:ascii="Figtree" w:hAnsi="Figtree"/>
          <w:b/>
          <w:i w:val="0"/>
          <w:sz w:val="22"/>
        </w:rPr>
        <w:t>SPC data.</w:t>
      </w:r>
      <w:r>
        <w:rPr>
          <w:rFonts w:ascii="Figtree" w:hAnsi="Figtree"/>
          <w:b w:val="0"/>
          <w:i w:val="0"/>
          <w:sz w:val="22"/>
        </w:rPr>
        <w:t xml:space="preserve"> Neptune must provide a standardized data template for all 60 SPCs: vessel name, IMO number, flag state, jurisdiction of incorporation, investor jurisdictions, and financing structure. This data is needed for Phase 1 bulk deployment. The more complete and accurate the data, the faster the deployment.</w:t>
      </w:r>
    </w:p>
    <w:p>
      <w:r>
        <w:rPr>
          <w:rFonts w:ascii="Figtree" w:hAnsi="Figtree"/>
          <w:b/>
          <w:i w:val="0"/>
          <w:sz w:val="22"/>
        </w:rPr>
        <w:t>Investor introductions.</w:t>
      </w:r>
      <w:r>
        <w:rPr>
          <w:rFonts w:ascii="Figtree" w:hAnsi="Figtree"/>
          <w:b w:val="0"/>
          <w:i w:val="0"/>
          <w:sz w:val="22"/>
        </w:rPr>
        <w:t xml:space="preserve"> Neptune must introduce the initial 5 investors for KYC/identity setup. Without investor identities in the registry, the investor portal cannot be validated.</w:t>
      </w:r>
    </w:p>
    <w:p>
      <w:r>
        <w:rPr>
          <w:rFonts w:ascii="Figtree" w:hAnsi="Figtree"/>
          <w:b/>
          <w:i w:val="0"/>
          <w:sz w:val="22"/>
        </w:rPr>
        <w:t>Decision-making authority.</w:t>
      </w:r>
      <w:r>
        <w:rPr>
          <w:rFonts w:ascii="Figtree" w:hAnsi="Figtree"/>
          <w:b w:val="0"/>
          <w:i w:val="0"/>
          <w:sz w:val="22"/>
        </w:rPr>
        <w:t xml:space="preserve"> Neptune must designate decision-makers who can approve scope, commercial terms, and technical approach without delays. The Posidonia timeline does not allow for multi-level approval chains.</w:t>
      </w:r>
    </w:p>
    <w:p>
      <w:pPr>
        <w:pStyle w:val="H3"/>
        <w:numPr>
          <w:ilvl w:val="2"/>
          <w:numId w:val="1"/>
        </w:numPr>
      </w:pPr>
      <w:r>
        <w:t>What SettleMint Will Deliver</w:t>
      </w:r>
    </w:p>
    <w:p>
      <w:r>
        <w:rPr>
          <w:rFonts w:ascii="Figtree" w:hAnsi="Figtree"/>
          <w:b w:val="0"/>
          <w:i w:val="0"/>
          <w:sz w:val="22"/>
        </w:rPr>
        <w:t>SettleMint commits to the following deliverables on the timeline outlined above.</w:t>
      </w:r>
    </w:p>
    <w:p>
      <w:r>
        <w:rPr>
          <w:rFonts w:ascii="Figtree" w:hAnsi="Figtree"/>
          <w:b/>
          <w:i w:val="0"/>
          <w:sz w:val="22"/>
        </w:rPr>
        <w:t>Platform.</w:t>
      </w:r>
      <w:r>
        <w:rPr>
          <w:rFonts w:ascii="Figtree" w:hAnsi="Figtree"/>
          <w:b w:val="0"/>
          <w:i w:val="0"/>
          <w:sz w:val="22"/>
        </w:rPr>
        <w:t xml:space="preserve"> A production-ready DALP instance with all 60 SPC equity tokens deployed, compliance modules configured, and the identity framework operational.</w:t>
      </w:r>
    </w:p>
    <w:p>
      <w:r>
        <w:rPr>
          <w:rFonts w:ascii="Figtree" w:hAnsi="Figtree"/>
          <w:b/>
          <w:i w:val="0"/>
          <w:sz w:val="22"/>
        </w:rPr>
        <w:t>Documentation.</w:t>
      </w:r>
      <w:r>
        <w:rPr>
          <w:rFonts w:ascii="Figtree" w:hAnsi="Figtree"/>
          <w:b w:val="0"/>
          <w:i w:val="0"/>
          <w:sz w:val="22"/>
        </w:rPr>
        <w:t xml:space="preserve"> Implementation documentation including architecture diagrams, configuration guides, operational runbooks, API documentation, and compliance framework documentation.</w:t>
      </w:r>
    </w:p>
    <w:p>
      <w:r>
        <w:rPr>
          <w:rFonts w:ascii="Figtree" w:hAnsi="Figtree"/>
          <w:b/>
          <w:i w:val="0"/>
          <w:sz w:val="22"/>
        </w:rPr>
        <w:t>Support.</w:t>
      </w:r>
      <w:r>
        <w:rPr>
          <w:rFonts w:ascii="Figtree" w:hAnsi="Figtree"/>
          <w:b w:val="0"/>
          <w:i w:val="0"/>
          <w:sz w:val="22"/>
        </w:rPr>
        <w:t xml:space="preserve"> Premium support with a dedicated Slack channel, named support engineer, and extended hours coverage through the Posidonia period.</w:t>
      </w:r>
    </w:p>
    <w:p>
      <w:r>
        <w:rPr>
          <w:rFonts w:ascii="Figtree" w:hAnsi="Figtree"/>
          <w:b/>
          <w:i w:val="0"/>
          <w:sz w:val="22"/>
        </w:rPr>
        <w:t>Governance.</w:t>
      </w:r>
      <w:r>
        <w:rPr>
          <w:rFonts w:ascii="Figtree" w:hAnsi="Figtree"/>
          <w:b w:val="0"/>
          <w:i w:val="0"/>
          <w:sz w:val="22"/>
        </w:rPr>
        <w:t xml:space="preserve"> Bi-weekly steering committee reviews with Neptune's leadership, weekly status reports, and immediate escalation for any blockers.</w:t>
      </w:r>
    </w:p>
    <w:p>
      <w:pPr>
        <w:pStyle w:val="H3"/>
        <w:numPr>
          <w:ilvl w:val="2"/>
          <w:numId w:val="1"/>
        </w:numPr>
      </w:pPr>
      <w:r>
        <w:t>Refined Commercial Offer and SOW Draft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7"/>
        <w:gridCol w:w="80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Owner</w:t>
            </w:r>
          </w:p>
        </w:tc>
        <w:tc>
          <w:tcPr>
            <w:tcW w:type="dxa" w:w="4873"/>
            <w:vAlign w:val="center"/>
          </w:tcPr>
          <w:p>
            <w:pPr>
              <w:spacing w:line="276" w:lineRule="auto" w:before="0" w:after="0"/>
            </w:pPr>
            <w:r/>
            <w:r>
              <w:rPr>
                <w:rFonts w:ascii="Figtree" w:hAnsi="Figtree"/>
                <w:b w:val="0"/>
                <w:i w:val="0"/>
                <w:sz w:val="20"/>
              </w:rPr>
              <w:t>SettleMint</w:t>
            </w:r>
          </w:p>
        </w:tc>
      </w:tr>
      <w:tr>
        <w:trPr>
          <w:trHeight w:val="425" w:hRule="atLeast"/>
        </w:trPr>
        <w:tc>
          <w:tcPr>
            <w:tcW w:type="dxa" w:w="4873"/>
            <w:vAlign w:val="center"/>
          </w:tcPr>
          <w:p>
            <w:pPr>
              <w:spacing w:line="276" w:lineRule="auto" w:before="0" w:after="0"/>
            </w:pPr>
            <w:r/>
            <w:r>
              <w:rPr>
                <w:rFonts w:ascii="Figtree" w:hAnsi="Figtree"/>
                <w:b/>
                <w:i w:val="0"/>
                <w:sz w:val="20"/>
              </w:rPr>
              <w:t>Purpose</w:t>
            </w:r>
          </w:p>
        </w:tc>
        <w:tc>
          <w:tcPr>
            <w:tcW w:type="dxa" w:w="4873"/>
            <w:vAlign w:val="center"/>
          </w:tcPr>
          <w:p>
            <w:pPr>
              <w:spacing w:line="276" w:lineRule="auto" w:before="0" w:after="0"/>
            </w:pPr>
            <w:r/>
            <w:r>
              <w:rPr>
                <w:rFonts w:ascii="Figtree" w:hAnsi="Figtree"/>
                <w:b w:val="0"/>
                <w:i w:val="0"/>
                <w:sz w:val="20"/>
              </w:rPr>
              <w:t>Produce a binding commercial proposal with firm pricing and a detailed Statement of Work based on the scoping workshop output</w:t>
            </w:r>
          </w:p>
        </w:tc>
      </w:tr>
      <w:tr>
        <w:trPr>
          <w:trHeight w:val="425" w:hRule="atLeast"/>
        </w:trPr>
        <w:tc>
          <w:tcPr>
            <w:tcW w:type="dxa" w:w="4873"/>
            <w:vAlign w:val="center"/>
          </w:tcPr>
          <w:p>
            <w:pPr>
              <w:spacing w:line="276" w:lineRule="auto" w:before="0" w:after="0"/>
            </w:pPr>
            <w:r/>
            <w:r>
              <w:rPr>
                <w:rFonts w:ascii="Figtree" w:hAnsi="Figtree"/>
                <w:b/>
                <w:i w:val="0"/>
                <w:sz w:val="20"/>
              </w:rPr>
              <w:t>Output</w:t>
            </w:r>
          </w:p>
        </w:tc>
        <w:tc>
          <w:tcPr>
            <w:tcW w:type="dxa" w:w="4873"/>
            <w:vAlign w:val="center"/>
          </w:tcPr>
          <w:p>
            <w:pPr>
              <w:spacing w:line="276" w:lineRule="auto" w:before="0" w:after="0"/>
            </w:pPr>
            <w:r/>
            <w:r>
              <w:rPr>
                <w:rFonts w:ascii="Figtree" w:hAnsi="Figtree"/>
                <w:b w:val="0"/>
                <w:i w:val="0"/>
                <w:sz w:val="20"/>
              </w:rPr>
              <w:t>Binding commercial offer (firm pricing for license, implementation, and support); Statement of Work with detailed deliverables, acceptance criteria, timeline, and milestone payments</w:t>
            </w:r>
          </w:p>
        </w:tc>
      </w:tr>
      <w:tr>
        <w:trPr>
          <w:trHeight w:val="425" w:hRule="atLeast"/>
        </w:trPr>
        <w:tc>
          <w:tcPr>
            <w:tcW w:type="dxa" w:w="4873"/>
            <w:vAlign w:val="center"/>
          </w:tcPr>
          <w:p>
            <w:pPr>
              <w:spacing w:line="276" w:lineRule="auto" w:before="0" w:after="0"/>
            </w:pPr>
            <w:r/>
            <w:r>
              <w:rPr>
                <w:rFonts w:ascii="Figtree" w:hAnsi="Figtree"/>
                <w:b/>
                <w:i w:val="0"/>
                <w:sz w:val="20"/>
              </w:rPr>
              <w:t>Timing</w:t>
            </w:r>
          </w:p>
        </w:tc>
        <w:tc>
          <w:tcPr>
            <w:tcW w:type="dxa" w:w="4873"/>
            <w:vAlign w:val="center"/>
          </w:tcPr>
          <w:p>
            <w:pPr>
              <w:spacing w:line="276" w:lineRule="auto" w:before="0" w:after="0"/>
            </w:pPr>
            <w:r/>
            <w:r>
              <w:rPr>
                <w:rFonts w:ascii="Figtree" w:hAnsi="Figtree"/>
                <w:b w:val="0"/>
                <w:i w:val="0"/>
                <w:sz w:val="20"/>
              </w:rPr>
              <w:t>By 11 April 2026 (5 business days after scoping workshop)</w:t>
            </w:r>
          </w:p>
        </w:tc>
      </w:tr>
    </w:tbl>
    <w:p>
      <w:pPr>
        <w:spacing w:before="0" w:after="0" w:line="120" w:lineRule="exact"/>
      </w:pPr>
    </w:p>
    <w:p>
      <w:pPr>
        <w:pStyle w:val="H3"/>
        <w:numPr>
          <w:ilvl w:val="2"/>
          <w:numId w:val="1"/>
        </w:numPr>
      </w:pPr>
      <w:r>
        <w:t>Contract Execution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9"/>
        <w:gridCol w:w="7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Owner</w:t>
            </w:r>
          </w:p>
        </w:tc>
        <w:tc>
          <w:tcPr>
            <w:tcW w:type="dxa" w:w="4873"/>
            <w:vAlign w:val="center"/>
          </w:tcPr>
          <w:p>
            <w:pPr>
              <w:spacing w:line="276" w:lineRule="auto" w:before="0" w:after="0"/>
            </w:pPr>
            <w:r/>
            <w:r>
              <w:rPr>
                <w:rFonts w:ascii="Figtree" w:hAnsi="Figtree"/>
                <w:b w:val="0"/>
                <w:i w:val="0"/>
                <w:sz w:val="20"/>
              </w:rPr>
              <w:t>SettleMint + Neptune</w:t>
            </w:r>
          </w:p>
        </w:tc>
      </w:tr>
      <w:tr>
        <w:trPr>
          <w:trHeight w:val="425" w:hRule="atLeast"/>
        </w:trPr>
        <w:tc>
          <w:tcPr>
            <w:tcW w:type="dxa" w:w="4873"/>
            <w:vAlign w:val="center"/>
          </w:tcPr>
          <w:p>
            <w:pPr>
              <w:spacing w:line="276" w:lineRule="auto" w:before="0" w:after="0"/>
            </w:pPr>
            <w:r/>
            <w:r>
              <w:rPr>
                <w:rFonts w:ascii="Figtree" w:hAnsi="Figtree"/>
                <w:b/>
                <w:i w:val="0"/>
                <w:sz w:val="20"/>
              </w:rPr>
              <w:t>Purpose</w:t>
            </w:r>
          </w:p>
        </w:tc>
        <w:tc>
          <w:tcPr>
            <w:tcW w:type="dxa" w:w="4873"/>
            <w:vAlign w:val="center"/>
          </w:tcPr>
          <w:p>
            <w:pPr>
              <w:spacing w:line="276" w:lineRule="auto" w:before="0" w:after="0"/>
            </w:pPr>
            <w:r/>
            <w:r>
              <w:rPr>
                <w:rFonts w:ascii="Figtree" w:hAnsi="Figtree"/>
                <w:b w:val="0"/>
                <w:i w:val="0"/>
                <w:sz w:val="20"/>
              </w:rPr>
              <w:t>Finalize and execute MSA, Platform License Agreement, Statement of Work, and Support Schedule</w:t>
            </w:r>
          </w:p>
        </w:tc>
      </w:tr>
      <w:tr>
        <w:trPr>
          <w:trHeight w:val="425" w:hRule="atLeast"/>
        </w:trPr>
        <w:tc>
          <w:tcPr>
            <w:tcW w:type="dxa" w:w="4873"/>
            <w:vAlign w:val="center"/>
          </w:tcPr>
          <w:p>
            <w:pPr>
              <w:spacing w:line="276" w:lineRule="auto" w:before="0" w:after="0"/>
            </w:pPr>
            <w:r/>
            <w:r>
              <w:rPr>
                <w:rFonts w:ascii="Figtree" w:hAnsi="Figtree"/>
                <w:b/>
                <w:i w:val="0"/>
                <w:sz w:val="20"/>
              </w:rPr>
              <w:t>Output</w:t>
            </w:r>
          </w:p>
        </w:tc>
        <w:tc>
          <w:tcPr>
            <w:tcW w:type="dxa" w:w="4873"/>
            <w:vAlign w:val="center"/>
          </w:tcPr>
          <w:p>
            <w:pPr>
              <w:spacing w:line="276" w:lineRule="auto" w:before="0" w:after="0"/>
            </w:pPr>
            <w:r/>
            <w:r>
              <w:rPr>
                <w:rFonts w:ascii="Figtree" w:hAnsi="Figtree"/>
                <w:b w:val="0"/>
                <w:i w:val="0"/>
                <w:sz w:val="20"/>
              </w:rPr>
              <w:t>Signed agreements; project kickoff authorization</w:t>
            </w:r>
          </w:p>
        </w:tc>
      </w:tr>
      <w:tr>
        <w:trPr>
          <w:trHeight w:val="425" w:hRule="atLeast"/>
        </w:trPr>
        <w:tc>
          <w:tcPr>
            <w:tcW w:type="dxa" w:w="4873"/>
            <w:vAlign w:val="center"/>
          </w:tcPr>
          <w:p>
            <w:pPr>
              <w:spacing w:line="276" w:lineRule="auto" w:before="0" w:after="0"/>
            </w:pPr>
            <w:r/>
            <w:r>
              <w:rPr>
                <w:rFonts w:ascii="Figtree" w:hAnsi="Figtree"/>
                <w:b/>
                <w:i w:val="0"/>
                <w:sz w:val="20"/>
              </w:rPr>
              <w:t>Timing</w:t>
            </w:r>
          </w:p>
        </w:tc>
        <w:tc>
          <w:tcPr>
            <w:tcW w:type="dxa" w:w="4873"/>
            <w:vAlign w:val="center"/>
          </w:tcPr>
          <w:p>
            <w:pPr>
              <w:spacing w:line="276" w:lineRule="auto" w:before="0" w:after="0"/>
            </w:pPr>
            <w:r/>
            <w:r>
              <w:rPr>
                <w:rFonts w:ascii="Figtree" w:hAnsi="Figtree"/>
                <w:b w:val="0"/>
                <w:i w:val="0"/>
                <w:sz w:val="20"/>
              </w:rPr>
              <w:t>By 18 April 2026 (to meet the 30 April close target and maintain Posidonia readiness)</w:t>
            </w:r>
          </w:p>
        </w:tc>
      </w:tr>
    </w:tbl>
    <w:p>
      <w:pPr>
        <w:spacing w:before="0" w:after="0" w:line="120" w:lineRule="exact"/>
      </w:pPr>
    </w:p>
    <w:p>
      <w:pPr>
        <w:pStyle w:val="H3"/>
        <w:numPr>
          <w:ilvl w:val="2"/>
          <w:numId w:val="1"/>
        </w:numPr>
      </w:pPr>
      <w:r>
        <w:t>Timeline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4"/>
        <w:gridCol w:w="4984"/>
        <w:gridCol w:w="21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Week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Week of 19 March</w:t>
            </w:r>
          </w:p>
        </w:tc>
        <w:tc>
          <w:tcPr>
            <w:tcW w:type="dxa" w:w="3249"/>
            <w:vAlign w:val="center"/>
          </w:tcPr>
          <w:p>
            <w:pPr>
              <w:spacing w:line="276" w:lineRule="auto" w:before="0" w:after="0"/>
            </w:pPr>
            <w:r/>
            <w:r>
              <w:rPr>
                <w:rFonts w:ascii="Figtree" w:hAnsi="Figtree"/>
                <w:b w:val="0"/>
                <w:i w:val="0"/>
                <w:sz w:val="20"/>
              </w:rPr>
              <w:t>Commercial review session</w:t>
            </w:r>
          </w:p>
        </w:tc>
        <w:tc>
          <w:tcPr>
            <w:tcW w:type="dxa" w:w="3249"/>
            <w:vAlign w:val="center"/>
          </w:tcPr>
          <w:p>
            <w:pPr>
              <w:spacing w:line="276" w:lineRule="auto" w:before="0" w:after="0"/>
            </w:pPr>
            <w:r/>
            <w:r>
              <w:rPr>
                <w:rFonts w:ascii="Figtree" w:hAnsi="Figtree"/>
                <w:b w:val="0"/>
                <w:i w:val="0"/>
                <w:sz w:val="20"/>
              </w:rPr>
              <w:t>Immediate</w:t>
            </w:r>
          </w:p>
        </w:tc>
      </w:tr>
      <w:tr>
        <w:trPr>
          <w:trHeight w:val="425" w:hRule="atLeast"/>
        </w:trPr>
        <w:tc>
          <w:tcPr>
            <w:tcW w:type="dxa" w:w="3249"/>
            <w:vAlign w:val="center"/>
          </w:tcPr>
          <w:p>
            <w:pPr>
              <w:spacing w:line="276" w:lineRule="auto" w:before="0" w:after="0"/>
            </w:pPr>
            <w:r/>
            <w:r>
              <w:rPr>
                <w:rFonts w:ascii="Figtree" w:hAnsi="Figtree"/>
                <w:b w:val="0"/>
                <w:i w:val="0"/>
                <w:sz w:val="20"/>
              </w:rPr>
              <w:t>By end of March</w:t>
            </w:r>
          </w:p>
        </w:tc>
        <w:tc>
          <w:tcPr>
            <w:tcW w:type="dxa" w:w="3249"/>
            <w:vAlign w:val="center"/>
          </w:tcPr>
          <w:p>
            <w:pPr>
              <w:spacing w:line="276" w:lineRule="auto" w:before="0" w:after="0"/>
            </w:pPr>
            <w:r/>
            <w:r>
              <w:rPr>
                <w:rFonts w:ascii="Figtree" w:hAnsi="Figtree"/>
                <w:b w:val="0"/>
                <w:i w:val="0"/>
                <w:sz w:val="20"/>
              </w:rPr>
              <w:t>Legal structuring confirmation (Papandreou)</w:t>
            </w:r>
          </w:p>
        </w:tc>
        <w:tc>
          <w:tcPr>
            <w:tcW w:type="dxa" w:w="3249"/>
            <w:vAlign w:val="center"/>
          </w:tcPr>
          <w:p>
            <w:pPr>
              <w:spacing w:line="276" w:lineRule="auto" w:before="0" w:after="0"/>
            </w:pPr>
            <w:r/>
            <w:r>
              <w:rPr>
                <w:rFonts w:ascii="Figtree" w:hAnsi="Figtree"/>
                <w:b w:val="0"/>
                <w:i w:val="0"/>
                <w:sz w:val="20"/>
              </w:rPr>
              <w:t>Critical path</w:t>
            </w:r>
          </w:p>
        </w:tc>
      </w:tr>
      <w:tr>
        <w:trPr>
          <w:trHeight w:val="425" w:hRule="atLeast"/>
        </w:trPr>
        <w:tc>
          <w:tcPr>
            <w:tcW w:type="dxa" w:w="3249"/>
            <w:vAlign w:val="center"/>
          </w:tcPr>
          <w:p>
            <w:pPr>
              <w:spacing w:line="276" w:lineRule="auto" w:before="0" w:after="0"/>
            </w:pPr>
            <w:r/>
            <w:r>
              <w:rPr>
                <w:rFonts w:ascii="Figtree" w:hAnsi="Figtree"/>
                <w:b w:val="0"/>
                <w:i w:val="0"/>
                <w:sz w:val="20"/>
              </w:rPr>
              <w:t>By 4 April</w:t>
            </w:r>
          </w:p>
        </w:tc>
        <w:tc>
          <w:tcPr>
            <w:tcW w:type="dxa" w:w="3249"/>
            <w:vAlign w:val="center"/>
          </w:tcPr>
          <w:p>
            <w:pPr>
              <w:spacing w:line="276" w:lineRule="auto" w:before="0" w:after="0"/>
            </w:pPr>
            <w:r/>
            <w:r>
              <w:rPr>
                <w:rFonts w:ascii="Figtree" w:hAnsi="Figtree"/>
                <w:b w:val="0"/>
                <w:i w:val="0"/>
                <w:sz w:val="20"/>
              </w:rPr>
              <w:t>Scoping workshop (SettleMint + Neptune + MindWave)</w:t>
            </w:r>
          </w:p>
        </w:tc>
        <w:tc>
          <w:tcPr>
            <w:tcW w:type="dxa" w:w="3249"/>
            <w:vAlign w:val="center"/>
          </w:tcPr>
          <w:p>
            <w:pPr>
              <w:spacing w:line="276" w:lineRule="auto" w:before="0" w:after="0"/>
            </w:pPr>
            <w:r/>
            <w:r>
              <w:rPr>
                <w:rFonts w:ascii="Figtree" w:hAnsi="Figtree"/>
                <w:b w:val="0"/>
                <w:i w:val="0"/>
                <w:sz w:val="20"/>
              </w:rPr>
              <w:t>Scheduled</w:t>
            </w:r>
          </w:p>
        </w:tc>
      </w:tr>
      <w:tr>
        <w:trPr>
          <w:trHeight w:val="425" w:hRule="atLeast"/>
        </w:trPr>
        <w:tc>
          <w:tcPr>
            <w:tcW w:type="dxa" w:w="3249"/>
            <w:vAlign w:val="center"/>
          </w:tcPr>
          <w:p>
            <w:pPr>
              <w:spacing w:line="276" w:lineRule="auto" w:before="0" w:after="0"/>
            </w:pPr>
            <w:r/>
            <w:r>
              <w:rPr>
                <w:rFonts w:ascii="Figtree" w:hAnsi="Figtree"/>
                <w:b w:val="0"/>
                <w:i w:val="0"/>
                <w:sz w:val="20"/>
              </w:rPr>
              <w:t>By 11 April</w:t>
            </w:r>
          </w:p>
        </w:tc>
        <w:tc>
          <w:tcPr>
            <w:tcW w:type="dxa" w:w="3249"/>
            <w:vAlign w:val="center"/>
          </w:tcPr>
          <w:p>
            <w:pPr>
              <w:spacing w:line="276" w:lineRule="auto" w:before="0" w:after="0"/>
            </w:pPr>
            <w:r/>
            <w:r>
              <w:rPr>
                <w:rFonts w:ascii="Figtree" w:hAnsi="Figtree"/>
                <w:b w:val="0"/>
                <w:i w:val="0"/>
                <w:sz w:val="20"/>
              </w:rPr>
              <w:t>Binding commercial offer + SOW draft</w:t>
            </w:r>
          </w:p>
        </w:tc>
        <w:tc>
          <w:tcPr>
            <w:tcW w:type="dxa" w:w="3249"/>
            <w:vAlign w:val="center"/>
          </w:tcPr>
          <w:p>
            <w:pPr>
              <w:spacing w:line="276" w:lineRule="auto" w:before="0" w:after="0"/>
            </w:pPr>
            <w:r/>
            <w:r>
              <w:rPr>
                <w:rFonts w:ascii="Figtree" w:hAnsi="Figtree"/>
                <w:b w:val="0"/>
                <w:i w:val="0"/>
                <w:sz w:val="20"/>
              </w:rPr>
              <w:t>SettleMint deliverable</w:t>
            </w:r>
          </w:p>
        </w:tc>
      </w:tr>
      <w:tr>
        <w:trPr>
          <w:trHeight w:val="425" w:hRule="atLeast"/>
        </w:trPr>
        <w:tc>
          <w:tcPr>
            <w:tcW w:type="dxa" w:w="3249"/>
            <w:vAlign w:val="center"/>
          </w:tcPr>
          <w:p>
            <w:pPr>
              <w:spacing w:line="276" w:lineRule="auto" w:before="0" w:after="0"/>
            </w:pPr>
            <w:r/>
            <w:r>
              <w:rPr>
                <w:rFonts w:ascii="Figtree" w:hAnsi="Figtree"/>
                <w:b w:val="0"/>
                <w:i w:val="0"/>
                <w:sz w:val="20"/>
              </w:rPr>
              <w:t>By 18 April</w:t>
            </w:r>
          </w:p>
        </w:tc>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Close target</w:t>
            </w:r>
          </w:p>
        </w:tc>
      </w:tr>
      <w:tr>
        <w:trPr>
          <w:trHeight w:val="425" w:hRule="atLeast"/>
        </w:trPr>
        <w:tc>
          <w:tcPr>
            <w:tcW w:type="dxa" w:w="3249"/>
            <w:vAlign w:val="center"/>
          </w:tcPr>
          <w:p>
            <w:pPr>
              <w:spacing w:line="276" w:lineRule="auto" w:before="0" w:after="0"/>
            </w:pPr>
            <w:r/>
            <w:r>
              <w:rPr>
                <w:rFonts w:ascii="Figtree" w:hAnsi="Figtree"/>
                <w:b w:val="0"/>
                <w:i w:val="0"/>
                <w:sz w:val="20"/>
              </w:rPr>
              <w:t>18 April to end May</w:t>
            </w:r>
          </w:p>
        </w:tc>
        <w:tc>
          <w:tcPr>
            <w:tcW w:type="dxa" w:w="3249"/>
            <w:vAlign w:val="center"/>
          </w:tcPr>
          <w:p>
            <w:pPr>
              <w:spacing w:line="276" w:lineRule="auto" w:before="0" w:after="0"/>
            </w:pPr>
            <w:r/>
            <w:r>
              <w:rPr>
                <w:rFonts w:ascii="Figtree" w:hAnsi="Figtree"/>
                <w:b w:val="0"/>
                <w:i w:val="0"/>
                <w:sz w:val="20"/>
              </w:rPr>
              <w:t>Phase 0 + Phase 1 implementation</w:t>
            </w:r>
          </w:p>
        </w:tc>
        <w:tc>
          <w:tcPr>
            <w:tcW w:type="dxa" w:w="3249"/>
            <w:vAlign w:val="center"/>
          </w:tcPr>
          <w:p>
            <w:pPr>
              <w:spacing w:line="276" w:lineRule="auto" w:before="0" w:after="0"/>
            </w:pPr>
            <w:r/>
            <w:r>
              <w:rPr>
                <w:rFonts w:ascii="Figtree" w:hAnsi="Figtree"/>
                <w:b w:val="0"/>
                <w:i w:val="0"/>
                <w:sz w:val="20"/>
              </w:rPr>
              <w:t>12 weeks</w:t>
            </w:r>
          </w:p>
        </w:tc>
      </w:tr>
      <w:tr>
        <w:trPr>
          <w:trHeight w:val="425" w:hRule="atLeast"/>
        </w:trPr>
        <w:tc>
          <w:tcPr>
            <w:tcW w:type="dxa" w:w="3249"/>
            <w:vAlign w:val="center"/>
          </w:tcPr>
          <w:p>
            <w:pPr>
              <w:spacing w:line="276" w:lineRule="auto" w:before="0" w:after="0"/>
            </w:pPr>
            <w:r/>
            <w:r>
              <w:rPr>
                <w:rFonts w:ascii="Figtree" w:hAnsi="Figtree"/>
                <w:b w:val="0"/>
                <w:i w:val="0"/>
                <w:sz w:val="20"/>
              </w:rPr>
              <w:t>Early June 2026</w:t>
            </w:r>
          </w:p>
        </w:tc>
        <w:tc>
          <w:tcPr>
            <w:tcW w:type="dxa" w:w="3249"/>
            <w:vAlign w:val="center"/>
          </w:tcPr>
          <w:p>
            <w:pPr>
              <w:spacing w:line="276" w:lineRule="auto" w:before="0" w:after="0"/>
            </w:pPr>
            <w:r/>
            <w:r>
              <w:rPr>
                <w:rFonts w:ascii="Figtree" w:hAnsi="Figtree"/>
                <w:b/>
                <w:i w:val="0"/>
                <w:sz w:val="20"/>
              </w:rPr>
              <w:t>Posidonia announcement</w:t>
            </w:r>
          </w:p>
        </w:tc>
        <w:tc>
          <w:tcPr>
            <w:tcW w:type="dxa" w:w="3249"/>
            <w:vAlign w:val="center"/>
          </w:tcPr>
          <w:p>
            <w:pPr>
              <w:spacing w:line="276" w:lineRule="auto" w:before="0" w:after="0"/>
            </w:pPr>
            <w:r/>
            <w:r>
              <w:rPr>
                <w:rFonts w:ascii="Figtree" w:hAnsi="Figtree"/>
                <w:b w:val="0"/>
                <w:i w:val="0"/>
                <w:sz w:val="20"/>
              </w:rPr>
              <w:t>Forcing function</w:t>
            </w:r>
          </w:p>
        </w:tc>
      </w:tr>
    </w:tbl>
    <w:p>
      <w:pPr>
        <w:spacing w:before="0" w:after="0" w:line="120" w:lineRule="exact"/>
      </w:pPr>
    </w:p>
    <w:p>
      <w:r>
        <w:rPr>
          <w:rFonts w:ascii="Figtree" w:hAnsi="Figtree"/>
          <w:b w:val="0"/>
          <w:i w:val="0"/>
          <w:sz w:val="22"/>
        </w:rPr>
        <w:t>Posidonia 2026 is the forcing function that gives this timeline its urgency and its discipline. Every week of delay between now and contract execution is a week lost from the implementation window. SettleMint is prepared to begin Phase 0 within days of contract execution. The question is not platform readiness; it is commercial and legal readiness on Neptune's side.</w:t>
      </w:r>
    </w:p>
    <w:p>
      <w:r>
        <w:rPr>
          <w:rFonts w:ascii="Figtree" w:hAnsi="Figtree"/>
          <w:b w:val="0"/>
          <w:i w:val="0"/>
          <w:sz w:val="22"/>
        </w:rPr>
        <w:t>SettleMint's team is available to support Neptune through each of these steps. The path from this proposal to a credible Posidonia announcement is achievable with disciplined execution across all parties.</w:t>
      </w:r>
    </w:p>
    <w:p>
      <w:r>
        <w:br w:type="page"/>
      </w:r>
    </w:p>
    <w:p>
      <w:r>
        <w:rPr>
          <w:rFonts w:ascii="Figtree" w:hAnsi="Figtree"/>
          <w:b w:val="0"/>
          <w:i/>
          <w:sz w:val="22"/>
        </w:rPr>
        <w:t>This document is confidential and intended solely for Neptune Maritime Leasing. The commercial terms and pricing frameworks described herein are indicative and subject to finalization based on scoping workshop outcomes and mutual agreement. This document does not constitute a binding offer. All figures marked [TO CONFIRM] are working placeholders derived from preliminary commercial discussions and require validation through the scoping process described in the Next Steps section.</w:t>
      </w:r>
    </w:p>
    <w:p>
      <w:r>
        <w:br w:type="page"/>
      </w:r>
    </w:p>
    <w:p>
      <w:r>
        <w:rPr>
          <w:rFonts w:ascii="Figtree" w:hAnsi="Figtree"/>
          <w:b/>
          <w:i w:val="0"/>
          <w:sz w:val="22"/>
        </w:rPr>
        <w:t>SettleMint NV</w:t>
      </w:r>
    </w:p>
    <w:p>
      <w:r>
        <w:rPr>
          <w:rFonts w:ascii="Figtree" w:hAnsi="Figtree"/>
          <w:b w:val="0"/>
          <w:i w:val="0"/>
          <w:sz w:val="22"/>
        </w:rPr>
        <w:t>To initiate commercial discussions or schedule the scoping workshop, please contact:</w:t>
      </w:r>
    </w:p>
    <w:p>
      <w:r>
        <w:rPr>
          <w:rFonts w:ascii="Figtree" w:hAnsi="Figtree"/>
          <w:b w:val="0"/>
          <w:i w:val="0"/>
          <w:sz w:val="22"/>
        </w:rPr>
        <w:t>Matthew Van Niekerk, CEO — matthew@settlemint.com</w:t>
      </w:r>
    </w:p>
    <w:p>
      <w:r>
        <w:rPr>
          <w:rFonts w:ascii="Figtree" w:hAnsi="Figtree"/>
          <w:b w:val="0"/>
          <w:i w:val="0"/>
          <w:sz w:val="22"/>
        </w:rPr>
        <w:t>Roderik van der Veer, CTO — roderik@settlemint.com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