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2434"/>
        <w:gridCol w:w="2434"/>
        <w:gridCol w:w="2434"/>
        <w:gridCol w:w="2434"/>
      </w:tblGrid>
      <w:tr w:rsidR="00F85425" w:rsidRPr="00A9690B" w14:paraId="30CFA822" w14:textId="77777777" w:rsidTr="0093551D">
        <w:trPr>
          <w:jc w:val="center"/>
        </w:trPr>
        <w:tc>
          <w:tcPr>
            <w:tcW w:w="2434" w:type="dxa"/>
            <w:shd w:val="clear" w:color="auto" w:fill="000099"/>
            <w:vAlign w:val="center"/>
          </w:tcPr>
          <w:p w14:paraId="0EBAF31D"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350D5509"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5B840845"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733E1C46"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r>
      <w:tr w:rsidR="00F85425" w:rsidRPr="00A9690B" w14:paraId="5AEE9538" w14:textId="77777777" w:rsidTr="00F85425">
        <w:trPr>
          <w:jc w:val="center"/>
        </w:trPr>
        <w:tc>
          <w:tcPr>
            <w:tcW w:w="2434" w:type="dxa"/>
            <w:vAlign w:val="center"/>
          </w:tcPr>
          <w:p w14:paraId="29720030" w14:textId="77777777" w:rsidR="00F85425" w:rsidRPr="00A9690B" w:rsidRDefault="00F85425" w:rsidP="00F85425"/>
        </w:tc>
        <w:tc>
          <w:tcPr>
            <w:tcW w:w="2434" w:type="dxa"/>
            <w:vAlign w:val="center"/>
          </w:tcPr>
          <w:p w14:paraId="157DF121" w14:textId="77777777" w:rsidR="00F85425" w:rsidRPr="00A9690B" w:rsidRDefault="00F85425" w:rsidP="00F85425"/>
        </w:tc>
        <w:tc>
          <w:tcPr>
            <w:tcW w:w="2434" w:type="dxa"/>
            <w:vAlign w:val="center"/>
          </w:tcPr>
          <w:p w14:paraId="1B98419A" w14:textId="77777777" w:rsidR="00F85425" w:rsidRPr="00A9690B" w:rsidRDefault="00F85425" w:rsidP="00F85425"/>
        </w:tc>
        <w:tc>
          <w:tcPr>
            <w:tcW w:w="2434" w:type="dxa"/>
            <w:vAlign w:val="center"/>
          </w:tcPr>
          <w:p w14:paraId="3B1976C7" w14:textId="77777777" w:rsidR="00F85425" w:rsidRPr="00A9690B" w:rsidRDefault="00F85425" w:rsidP="00F85425"/>
        </w:tc>
      </w:tr>
      <w:tr w:rsidR="00F85425" w:rsidRPr="00A9690B" w14:paraId="19DD7CA3" w14:textId="77777777" w:rsidTr="00F85425">
        <w:trPr>
          <w:jc w:val="center"/>
        </w:trPr>
        <w:tc>
          <w:tcPr>
            <w:tcW w:w="2434" w:type="dxa"/>
            <w:vAlign w:val="center"/>
          </w:tcPr>
          <w:p w14:paraId="0DDF78E3" w14:textId="77777777" w:rsidR="00F85425" w:rsidRPr="00A9690B" w:rsidRDefault="00F85425" w:rsidP="00F85425"/>
        </w:tc>
        <w:tc>
          <w:tcPr>
            <w:tcW w:w="2434" w:type="dxa"/>
            <w:vAlign w:val="center"/>
          </w:tcPr>
          <w:p w14:paraId="512D5363" w14:textId="77777777" w:rsidR="00F85425" w:rsidRPr="00A9690B" w:rsidRDefault="00F85425" w:rsidP="00F85425"/>
        </w:tc>
        <w:tc>
          <w:tcPr>
            <w:tcW w:w="2434" w:type="dxa"/>
            <w:vAlign w:val="center"/>
          </w:tcPr>
          <w:p w14:paraId="52E4DC46" w14:textId="77777777" w:rsidR="00F85425" w:rsidRPr="00A9690B" w:rsidRDefault="00F85425" w:rsidP="00F85425"/>
        </w:tc>
        <w:tc>
          <w:tcPr>
            <w:tcW w:w="2434" w:type="dxa"/>
            <w:vAlign w:val="center"/>
          </w:tcPr>
          <w:p w14:paraId="30E34511" w14:textId="77777777" w:rsidR="00F85425" w:rsidRPr="00A9690B" w:rsidRDefault="00F85425" w:rsidP="00F85425"/>
        </w:tc>
      </w:tr>
      <w:tr w:rsidR="00F85425" w:rsidRPr="00A9690B" w14:paraId="1177ADB2" w14:textId="77777777" w:rsidTr="00F85425">
        <w:trPr>
          <w:jc w:val="center"/>
        </w:trPr>
        <w:tc>
          <w:tcPr>
            <w:tcW w:w="2434" w:type="dxa"/>
            <w:vAlign w:val="center"/>
          </w:tcPr>
          <w:p w14:paraId="61033C6D" w14:textId="77777777" w:rsidR="00F85425" w:rsidRPr="00A9690B" w:rsidRDefault="00F85425" w:rsidP="00F85425"/>
        </w:tc>
        <w:tc>
          <w:tcPr>
            <w:tcW w:w="2434" w:type="dxa"/>
            <w:vAlign w:val="center"/>
          </w:tcPr>
          <w:p w14:paraId="5431F8D0" w14:textId="77777777" w:rsidR="00F85425" w:rsidRPr="00A9690B" w:rsidRDefault="00F85425" w:rsidP="00F85425"/>
        </w:tc>
        <w:tc>
          <w:tcPr>
            <w:tcW w:w="2434" w:type="dxa"/>
            <w:vAlign w:val="center"/>
          </w:tcPr>
          <w:p w14:paraId="1C232DE3" w14:textId="77777777" w:rsidR="00F85425" w:rsidRPr="00A9690B" w:rsidRDefault="00F85425" w:rsidP="00F85425"/>
        </w:tc>
        <w:tc>
          <w:tcPr>
            <w:tcW w:w="2434" w:type="dxa"/>
            <w:vAlign w:val="center"/>
          </w:tcPr>
          <w:p w14:paraId="0CA42DA4" w14:textId="77777777" w:rsidR="00F85425" w:rsidRPr="00A9690B" w:rsidRDefault="00F85425" w:rsidP="00F85425"/>
        </w:tc>
      </w:tr>
      <w:tr w:rsidR="00F85425" w:rsidRPr="00A9690B" w14:paraId="32DCFAF0" w14:textId="77777777" w:rsidTr="00F85425">
        <w:trPr>
          <w:jc w:val="center"/>
        </w:trPr>
        <w:tc>
          <w:tcPr>
            <w:tcW w:w="2434" w:type="dxa"/>
            <w:vAlign w:val="center"/>
          </w:tcPr>
          <w:p w14:paraId="374F3339" w14:textId="77777777" w:rsidR="00F85425" w:rsidRPr="00A9690B" w:rsidRDefault="00F85425" w:rsidP="00F85425"/>
        </w:tc>
        <w:tc>
          <w:tcPr>
            <w:tcW w:w="2434" w:type="dxa"/>
            <w:vAlign w:val="center"/>
          </w:tcPr>
          <w:p w14:paraId="746CD5F7" w14:textId="77777777" w:rsidR="00F85425" w:rsidRPr="00A9690B" w:rsidRDefault="00F85425" w:rsidP="00F85425"/>
        </w:tc>
        <w:tc>
          <w:tcPr>
            <w:tcW w:w="2434" w:type="dxa"/>
            <w:vAlign w:val="center"/>
          </w:tcPr>
          <w:p w14:paraId="0E5950C8" w14:textId="77777777" w:rsidR="00F85425" w:rsidRPr="00A9690B" w:rsidRDefault="00F85425" w:rsidP="00F85425"/>
        </w:tc>
        <w:tc>
          <w:tcPr>
            <w:tcW w:w="2434" w:type="dxa"/>
            <w:vAlign w:val="center"/>
          </w:tcPr>
          <w:p w14:paraId="137CB94A" w14:textId="77777777" w:rsidR="00F85425" w:rsidRPr="00A9690B" w:rsidRDefault="00F85425" w:rsidP="00F85425"/>
        </w:tc>
      </w:tr>
    </w:tbl>
    <w:p>
      <w:pPr/>
      <w:r>
        <w:br w:type="page"/>
      </w:r>
    </w:p>
    <w:p>
      <w:pPr>
        <w:pStyle w:val="H1"/>
      </w:pPr>
      <w:r>
        <w:t>Executive Summary</w:t>
      </w:r>
    </w:p>
    <w:p>
      <w:pPr>
        <w:pStyle w:val="H2"/>
      </w:pPr>
      <w:r>
        <w:t>The Opportunity and the Decision</w:t>
      </w:r>
    </w:p>
    <w:p>
      <w:pPr/>
      <w:r>
        <w:t>Neptune Maritime Leasing is making a decisive move: tokenizing the equity interests of its entire SPC fleet and announcing at Posidonia 2026, the world's premier maritime conference. This is not a proof of concept. Neptune's board and investors have approved the complete programme — all sixty-plus SPCs — from day one. The ambition is to establish Neptune as the first shipping company to run its capital structure on-chain and to lay the foundation for a tokenization platform that can serve the broader shipping industry.</w:t>
      </w:r>
    </w:p>
    <w:p>
      <w:pPr/>
      <w:r>
        <w:t>The timing is deliberate. Posidonia draws the full spectrum of maritime finance — shipowners, institutional investors, lenders, and insurers — into a single week in Athens. Neptune intends to arrive not with a slide deck and a roadmap, but with a live platform: sixty-plus tokenized SPC equity instruments, verified investors, and a functioning investor portal. The signal to the market is unambiguous. Neptune is not exploring tokenization. Neptune is operating it.</w:t>
      </w:r>
    </w:p>
    <w:p>
      <w:pPr>
        <w:pStyle w:val="H2"/>
      </w:pPr>
      <w:r>
        <w:t>The Programme Structure and Strategic Logic</w:t>
      </w:r>
    </w:p>
    <w:p>
      <w:pPr/>
      <w:r>
        <w:t>Neptune's corporate structure is precisely suited to systematic, template-driven tokenization. The hierarchy — a Jersey-domiciled holding company, a Marshall Islands sub-holding, and sixty-plus special purpose companies each ring-fencing a single vessel's receivables and financing — creates natural isolation between assets. Every SPC is a self-contained economic unit with its own charter income, financing obligations, and equity base. This is not a structure that needs to be adapted for tokenization; it is a structure that tokenization was designed for.</w:t>
      </w:r>
    </w:p>
    <w:p>
      <w:pPr/>
      <w:r>
        <w:t>Tokenizing 10 to 30 percent of each SPC's equity rights produces digital instruments with real ownership, voting rights, and dividend entitlements, enforced on-chain and transferable subject to compliance controls. The Latsco Family Office and Costamare, whose combined commitment to Neptune totals $220 million, are the initial investor base for this infrastructure. Their participation establishes the credibility of the programme and provides the anchor capital that makes institutional distribution viable.</w:t>
      </w:r>
    </w:p>
    <w:p>
      <w:pPr/>
      <w:r>
        <w:t>The longer-term vision encompasses 200 to 300 vessels across Neptune and affiliate fleets, and ultimately a tokenization platform available to other shipping operators. Neptune's programme is the proving ground for a new capital market layer in maritime finance — one where vessel equity can be issued, held, transferred, and serviced digitally with the same rigour that governs traditional securities.</w:t>
      </w:r>
    </w:p>
    <w:p>
      <w:pPr>
        <w:pStyle w:val="H2"/>
      </w:pPr>
      <w:r>
        <w:t>Why DALP and Why SettleMint</w:t>
      </w:r>
    </w:p>
    <w:p>
      <w:pPr/>
      <w:r>
        <w:t>SettleMint's Digital Asset Lifecycle Platform provides the complete operating infrastructure for Neptune's programme. DALP is built on ERC-3643, the regulated security token standard, with on-chain investor identity verification through OnchainID, modular compliance enforcement where every token transfer is validated before execution rather than monitored after, configurable token features covering voting rights and yield distribution, and API-first integration surfaces for Neptune's investor portal, core banking systems, and custody providers.</w:t>
      </w:r>
    </w:p>
    <w:p>
      <w:pPr/>
      <w:r>
        <w:t>The distinction matters. DALP does not require Neptune to assemble and integrate separate components for identity, compliance, token issuance, and lifecycle management. These capabilities ship as a single, tested platform with consistent APIs, a unified governance model, and a shared security boundary. Neptune's development team and compliance function work within one system, not across four.</w:t>
      </w:r>
    </w:p>
    <w:p>
      <w:pPr/>
      <w:r>
        <w:t>SettleMint has maintained continuous deployments at regulated banks and sovereign entities for more than seven years, across Europe, the Middle East, and Asia-Pacific. Reference programmes include the first country-scale real estate tokenization infrastructure in Saudi Arabia under Vision 2030, equity tokenization with institutional custody in Abu Dhabi, and multi-asset security token engines at tier-1 banks in Singapore and Japan. SettleMint holds ISO 27001 and SOC 2 Type II certifications and has passed vendor risk assessments at major financial institutions. This is operational infrastructure tested where compliance failures and downtime carry material consequences.</w:t>
      </w:r>
    </w:p>
    <w:p>
      <w:pPr>
        <w:pStyle w:val="H2"/>
      </w:pPr>
      <w:r>
        <w:t>How DALP Makes Sixty-Plus SPCs Achievable</w:t>
      </w:r>
    </w:p>
    <w:p>
      <w:pPr/>
      <w:r>
        <w:t>The key to Neptune's fleet-scale programme is DALP's template-based deployment model. The governance structure, compliance rules, role hierarchy, and token configuration are defined once, validated, and then applied consistently across every SPC deployment via scripted execution. Each SPC receives its own isolated token stack — its own contract, access manager, identity registry, and compliance modules — with no shared state between entities. Deploying sixty-plus SPCs is an execution exercise using proven patterns, not sixty separate implementations.</w:t>
      </w:r>
    </w:p>
    <w:p>
      <w:pPr/>
      <w:r>
        <w:t>This isolation is not incidental — it is architecturally mandated. A compliance event on one SPC's token cannot propagate to another. An investor's identity verification is registered once and referenced across multiple SPCs without duplicating the verification process. A governance action — freezing transfers, updating compliance parameters, adjusting investor limits — targets a single SPC without affecting the rest of the fleet. The result is a programme that scales linearly in operational effort rather than exponentially in coordination overhead.</w:t>
      </w:r>
    </w:p>
    <w:p>
      <w:pPr/>
      <w:r>
        <w:t>DALP's compliance module suite addresses the multi-jurisdictional requirements that come with a fleet spanning Jersey, Marshall Islands, and multiple flag states: jurisdiction-based transfer restrictions, investor count limits, transfer approval workflows, and holding period enforcement, all configurable per SPC at runtime without modifying smart contract code. Role-based access control enforces clear separation of duties between Neptune's governance team, compliance function, and operations team — enforced at the contract level, not by application logic that can be circumvented.</w:t>
      </w:r>
    </w:p>
    <w:p>
      <w:pPr>
        <w:pStyle w:val="H2"/>
      </w:pPr>
      <w:r>
        <w:t>Programme Timeline and Delivery</w:t>
      </w:r>
    </w:p>
    <w:p>
      <w:pPr/>
      <w:r>
        <w:t>The programme runs across four phases aligned to Posidonia.</w:t>
      </w:r>
    </w:p>
    <w:p>
      <w:pPr/>
      <w:r>
        <w:t>The foundation phase spans four weeks from March to April 2026. During this period, SettleMint deploys the DALP infrastructure, configures the governance and compliance framework for Neptune's corporate hierarchy, validates the SPC equity token template against legal and regulatory requirements defined by Alexander Papandreou, and initiates investor identity verification for the Latsco Family Office and Costamare through OnchainID.</w:t>
      </w:r>
    </w:p>
    <w:p>
      <w:pPr/>
      <w:r>
        <w:t>The full fleet deployment phase spans six weeks from April to May 2026. This is the core execution window: all sixty-plus SPC equity tokens deployed using the validated template, compliance configured per entity according to its jurisdiction and investor profile, investors onboarded with verified identities and allocated holdings, and Neptune's development partner delivering the investor portal on DALP's API layer. Core banking integration with Nathek runs in parallel through DALP's REST and webhook interfaces.</w:t>
      </w:r>
    </w:p>
    <w:p>
      <w:pPr/>
      <w:r>
        <w:t>The Posidonia readiness phase spans two weeks in early June 2026. This phase validates the complete programme end-to-end: investor portal functionality, compliance rule enforcement across all SPCs, dividend distribution mechanics, and the operational workflows that Neptune's team will use day-to-day. At Posidonia, Neptune will demonstrate a live platform with sixty-plus tokenized SPC equity tokens, verified investors, and a functioning portal.</w:t>
      </w:r>
    </w:p>
    <w:p>
      <w:pPr/>
      <w:r>
        <w:t>The scale phase extends the model post-Posidonia to affiliate fleets targeting 200 to 300 vessels, secondary trading infrastructure, and fleet-level fund tokens that aggregate exposure across multiple SPCs.</w:t>
      </w:r>
    </w:p>
    <w:p>
      <w:pPr>
        <w:pStyle w:val="H2"/>
      </w:pPr>
      <w:r>
        <w:t>Scope and Partnership</w:t>
      </w:r>
    </w:p>
    <w:p>
      <w:pPr/>
      <w:r>
        <w:t>SettleMint provides the tokenization infrastructure: token issuance, compliance enforcement, identity verification, lifecycle management, and the API layer that connects Neptune's programme to its operational systems. The investor portal is built by Neptune's development partner on DALP's API layer. Core banking integration with Nathek runs through DALP's REST and webhook interfaces. Legal structuring is led by Alexander Papandreou.</w:t>
      </w:r>
    </w:p>
    <w:p>
      <w:pPr/>
      <w:r>
        <w:t>This proposal is explicit about scope. DALP does not provide a secondary trading venue, fiat payment processing, or automated vessel valuation. These are capabilities that sit outside the tokenization infrastructure and will be addressed through Neptune's broader partner ecosystem as the programme matures. What DALP provides is the foundation on which all of those capabilities depend: compliant, auditable, on-chain ownership records with enforced transfer controls and automated lifecycle servicing.</w:t>
      </w:r>
    </w:p>
    <w:p>
      <w:pPr/>
      <w:r>
        <w:t>Neptune's programme is built on what is real and operational. Neptune's vision for maritime tokenization is achievable. The platform is ready. SettleMint is ready to begin.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