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The Commercial Case</w:t>
          </w:r>
          <w:r>
            <w:tab/>
          </w:r>
          <w:r>
            <w:t xml:space="preserve">6</w:t>
          </w:r>
        </w:p>
        <w:p>
          <w:pPr>
            <w:pStyle w:val="TOC3"/>
            <w:tabs>
              <w:tab w:val="right" w:leader="dot" w:pos="9072"/>
            </w:tabs>
          </w:pPr>
          <w:r>
            <w:t xml:space="preserve">2.2 Proposal Summary</w:t>
          </w:r>
          <w:r>
            <w:tab/>
          </w:r>
          <w:r>
            <w:t xml:space="preserve">7</w:t>
          </w:r>
        </w:p>
        <w:p>
          <w:pPr>
            <w:pStyle w:val="TOC2"/>
            <w:tabs>
              <w:tab w:val="right" w:leader="dot" w:pos="9072"/>
            </w:tabs>
          </w:pPr>
          <w:r>
            <w:t xml:space="preserve">3. Investment Rationale</w:t>
          </w:r>
          <w:r>
            <w:tab/>
          </w:r>
          <w:r>
            <w:t xml:space="preserve">8</w:t>
          </w:r>
        </w:p>
        <w:p>
          <w:pPr>
            <w:pStyle w:val="TOC3"/>
            <w:tabs>
              <w:tab w:val="right" w:leader="dot" w:pos="9072"/>
            </w:tabs>
          </w:pPr>
          <w:r>
            <w:t xml:space="preserve">3.1 The Cost of Inaction</w:t>
          </w:r>
          <w:r>
            <w:tab/>
          </w:r>
          <w:r>
            <w:t xml:space="preserve">9</w:t>
          </w:r>
        </w:p>
        <w:p>
          <w:pPr>
            <w:pStyle w:val="TOC3"/>
            <w:tabs>
              <w:tab w:val="right" w:leader="dot" w:pos="9072"/>
            </w:tabs>
          </w:pPr>
          <w:r>
            <w:t xml:space="preserve">3.2 DALP's Quantifiable Benefits</w:t>
          </w:r>
          <w:r>
            <w:tab/>
          </w:r>
          <w:r>
            <w:t xml:space="preserve">10</w:t>
          </w:r>
        </w:p>
        <w:p>
          <w:pPr>
            <w:pStyle w:val="TOC3"/>
            <w:tabs>
              <w:tab w:val="right" w:leader="dot" w:pos="9072"/>
            </w:tabs>
          </w:pPr>
          <w:r>
            <w:t xml:space="preserve">3.3 ROI Framework</w:t>
          </w:r>
          <w:r>
            <w:tab/>
          </w:r>
          <w:r>
            <w:t xml:space="preserve">11</w:t>
          </w:r>
        </w:p>
        <w:p>
          <w:pPr>
            <w:pStyle w:val="TOC3"/>
            <w:tabs>
              <w:tab w:val="right" w:leader="dot" w:pos="9072"/>
            </w:tabs>
          </w:pPr>
          <w:r>
            <w:t xml:space="preserve">3.4 CHESS Replacement Cost Comparison</w:t>
          </w:r>
          <w:r>
            <w:tab/>
          </w:r>
          <w:r>
            <w:t xml:space="preserve">12</w:t>
          </w:r>
        </w:p>
        <w:p>
          <w:pPr>
            <w:pStyle w:val="TOC2"/>
            <w:tabs>
              <w:tab w:val="right" w:leader="dot" w:pos="9072"/>
            </w:tabs>
          </w:pPr>
          <w:r>
            <w:t xml:space="preserve">4. Licensing Model</w:t>
          </w:r>
          <w:r>
            <w:tab/>
          </w:r>
          <w:r>
            <w:t xml:space="preserve">13</w:t>
          </w:r>
        </w:p>
        <w:p>
          <w:pPr>
            <w:pStyle w:val="TOC3"/>
            <w:tabs>
              <w:tab w:val="right" w:leader="dot" w:pos="9072"/>
            </w:tabs>
          </w:pPr>
          <w:r>
            <w:t xml:space="preserve">4.1 DALP Licence for ASX</w:t>
          </w:r>
          <w:r>
            <w:tab/>
          </w:r>
          <w:r>
            <w:t xml:space="preserve">14</w:t>
          </w:r>
        </w:p>
        <w:p>
          <w:pPr>
            <w:pStyle w:val="TOC2"/>
            <w:tabs>
              <w:tab w:val="right" w:leader="dot" w:pos="9072"/>
            </w:tabs>
          </w:pPr>
          <w:r>
            <w:t xml:space="preserve">5. Deployment Options and Pricing</w:t>
          </w:r>
          <w:r>
            <w:tab/>
          </w:r>
          <w:r>
            <w:t xml:space="preserve">15</w:t>
          </w:r>
        </w:p>
        <w:p>
          <w:pPr>
            <w:pStyle w:val="TOC3"/>
            <w:tabs>
              <w:tab w:val="right" w:leader="dot" w:pos="9072"/>
            </w:tabs>
          </w:pPr>
          <w:r>
            <w:t xml:space="preserve">5.1 AWS Sydney (ap-southeast-2) Dedicated Cloud</w:t>
          </w:r>
          <w:r>
            <w:tab/>
          </w:r>
          <w:r>
            <w:t xml:space="preserve">16</w:t>
          </w:r>
        </w:p>
        <w:p>
          <w:pPr>
            <w:pStyle w:val="TOC3"/>
            <w:tabs>
              <w:tab w:val="right" w:leader="dot" w:pos="9072"/>
            </w:tabs>
          </w:pPr>
          <w:r>
            <w:t xml:space="preserve">5.2 On-Premises Alternative</w:t>
          </w:r>
          <w:r>
            <w:tab/>
          </w:r>
          <w:r>
            <w:t xml:space="preserve">17</w:t>
          </w:r>
        </w:p>
        <w:p>
          <w:pPr>
            <w:pStyle w:val="TOC2"/>
            <w:tabs>
              <w:tab w:val="right" w:leader="dot" w:pos="9072"/>
            </w:tabs>
          </w:pPr>
          <w:r>
            <w:t xml:space="preserve">6. Support and SLA Framework</w:t>
          </w:r>
          <w:r>
            <w:tab/>
          </w:r>
          <w:r>
            <w:t xml:space="preserve">18</w:t>
          </w:r>
        </w:p>
        <w:p>
          <w:pPr>
            <w:pStyle w:val="TOC3"/>
            <w:tabs>
              <w:tab w:val="right" w:leader="dot" w:pos="9072"/>
            </w:tabs>
          </w:pPr>
          <w:r>
            <w:t xml:space="preserve">6.1 Enterprise SLA</w:t>
          </w:r>
          <w:r>
            <w:tab/>
          </w:r>
          <w:r>
            <w:t xml:space="preserve">19</w:t>
          </w:r>
        </w:p>
        <w:p>
          <w:pPr>
            <w:pStyle w:val="TOC3"/>
            <w:tabs>
              <w:tab w:val="right" w:leader="dot" w:pos="9072"/>
            </w:tabs>
          </w:pPr>
          <w:r>
            <w:t xml:space="preserve">6.2 Maintenance Windows</w:t>
          </w:r>
          <w:r>
            <w:tab/>
          </w:r>
          <w:r>
            <w:t xml:space="preserve">20</w:t>
          </w:r>
        </w:p>
        <w:p>
          <w:pPr>
            <w:pStyle w:val="TOC3"/>
            <w:tabs>
              <w:tab w:val="right" w:leader="dot" w:pos="9072"/>
            </w:tabs>
          </w:pPr>
          <w:r>
            <w:t xml:space="preserve">6.3 SLA Credits</w:t>
          </w:r>
          <w:r>
            <w:tab/>
          </w:r>
          <w:r>
            <w:t xml:space="preserve">21</w:t>
          </w:r>
        </w:p>
        <w:p>
          <w:pPr>
            <w:pStyle w:val="TOC2"/>
            <w:tabs>
              <w:tab w:val="right" w:leader="dot" w:pos="9072"/>
            </w:tabs>
          </w:pPr>
          <w:r>
            <w:t xml:space="preserve">7. Implementation Investment</w:t>
          </w:r>
          <w:r>
            <w:tab/>
          </w:r>
          <w:r>
            <w:t xml:space="preserve">22</w:t>
          </w:r>
        </w:p>
        <w:p>
          <w:pPr>
            <w:pStyle w:val="TOC3"/>
            <w:tabs>
              <w:tab w:val="right" w:leader="dot" w:pos="9072"/>
            </w:tabs>
          </w:pPr>
          <w:r>
            <w:t xml:space="preserve">7.1 Implementation Fee: EUR 550,000</w:t>
          </w:r>
          <w:r>
            <w:tab/>
          </w:r>
          <w:r>
            <w:t xml:space="preserve">23</w:t>
          </w:r>
        </w:p>
        <w:p>
          <w:pPr>
            <w:pStyle w:val="TOC3"/>
            <w:tabs>
              <w:tab w:val="right" w:leader="dot" w:pos="9072"/>
            </w:tabs>
          </w:pPr>
          <w:r>
            <w:t xml:space="preserve">7.2 Milestone Payments</w:t>
          </w:r>
          <w:r>
            <w:tab/>
          </w:r>
          <w:r>
            <w:t xml:space="preserve">24</w:t>
          </w:r>
        </w:p>
        <w:p>
          <w:pPr>
            <w:pStyle w:val="TOC3"/>
            <w:tabs>
              <w:tab w:val="right" w:leader="dot" w:pos="9072"/>
            </w:tabs>
          </w:pPr>
          <w:r>
            <w:t xml:space="preserve">7.3 ADI Partnership Costs</w:t>
          </w:r>
          <w:r>
            <w:tab/>
          </w:r>
          <w:r>
            <w:t xml:space="preserve">25</w:t>
          </w:r>
        </w:p>
        <w:p>
          <w:pPr>
            <w:pStyle w:val="TOC2"/>
            <w:tabs>
              <w:tab w:val="right" w:leader="dot" w:pos="9072"/>
            </w:tabs>
          </w:pPr>
          <w:r>
            <w:t xml:space="preserve">8. Commercial Terms</w:t>
          </w:r>
          <w:r>
            <w:tab/>
          </w:r>
          <w:r>
            <w:t xml:space="preserve">26</w:t>
          </w:r>
        </w:p>
        <w:p>
          <w:pPr>
            <w:pStyle w:val="TOC3"/>
            <w:tabs>
              <w:tab w:val="right" w:leader="dot" w:pos="9072"/>
            </w:tabs>
          </w:pPr>
          <w:r>
            <w:t xml:space="preserve">8.1 Key Commercial Terms</w:t>
          </w:r>
          <w:r>
            <w:tab/>
          </w:r>
          <w:r>
            <w:t xml:space="preserve">27</w:t>
          </w:r>
        </w:p>
        <w:p>
          <w:pPr>
            <w:pStyle w:val="TOC2"/>
            <w:tabs>
              <w:tab w:val="right" w:leader="dot" w:pos="9072"/>
            </w:tabs>
          </w:pPr>
          <w:r>
            <w:t xml:space="preserve">9. Total Cost of Ownership</w:t>
          </w:r>
          <w:r>
            <w:tab/>
          </w:r>
          <w:r>
            <w:t xml:space="preserve">28</w:t>
          </w:r>
        </w:p>
        <w:p>
          <w:pPr>
            <w:pStyle w:val="TOC3"/>
            <w:tabs>
              <w:tab w:val="right" w:leader="dot" w:pos="9072"/>
            </w:tabs>
          </w:pPr>
          <w:r>
            <w:t xml:space="preserve">9.1 Three-Year TCO (AUD Equivalent)</w:t>
          </w:r>
          <w:r>
            <w:tab/>
          </w:r>
          <w:r>
            <w:t xml:space="preserve">29</w:t>
          </w:r>
        </w:p>
        <w:p>
          <w:pPr>
            <w:pStyle w:val="TOC3"/>
            <w:tabs>
              <w:tab w:val="right" w:leader="dot" w:pos="9072"/>
            </w:tabs>
          </w:pPr>
          <w:r>
            <w:t xml:space="preserve">9.2 Benefit vs. Cost</w:t>
          </w:r>
          <w:r>
            <w:tab/>
          </w:r>
          <w:r>
            <w:t xml:space="preserve">30</w:t>
          </w:r>
        </w:p>
        <w:p>
          <w:pPr>
            <w:pStyle w:val="TOC3"/>
            <w:tabs>
              <w:tab w:val="right" w:leader="dot" w:pos="9072"/>
            </w:tabs>
          </w:pPr>
          <w:r>
            <w:t xml:space="preserve">9.3 CHESS Replacement Context: AUD 250M vs. AUD 5M</w:t>
          </w:r>
          <w:r>
            <w:tab/>
          </w:r>
          <w:r>
            <w:t xml:space="preserve">31</w:t>
          </w:r>
        </w:p>
        <w:p>
          <w:pPr>
            <w:pStyle w:val="TOC2"/>
            <w:tabs>
              <w:tab w:val="right" w:leader="dot" w:pos="9072"/>
            </w:tabs>
          </w:pPr>
          <w:r>
            <w:t xml:space="preserve">10. Reference Clients</w:t>
          </w:r>
          <w:r>
            <w:tab/>
          </w:r>
          <w:r>
            <w:t xml:space="preserve">32</w:t>
          </w:r>
        </w:p>
        <w:p>
          <w:pPr>
            <w:pStyle w:val="TOC3"/>
            <w:tabs>
              <w:tab w:val="right" w:leader="dot" w:pos="9072"/>
            </w:tabs>
          </w:pPr>
          <w:r>
            <w:t xml:space="preserve">10.1 Clearstream: DvP Settlement at CSD Scale</w:t>
          </w:r>
          <w:r>
            <w:tab/>
          </w:r>
          <w:r>
            <w:t xml:space="preserve">33</w:t>
          </w:r>
        </w:p>
        <w:p>
          <w:pPr>
            <w:pStyle w:val="TOC3"/>
            <w:tabs>
              <w:tab w:val="right" w:leader="dot" w:pos="9072"/>
            </w:tabs>
          </w:pPr>
          <w:r>
            <w:t xml:space="preserve">10.2 Commonwealth Bank of Australia: Australian Regulatory Validation</w:t>
          </w:r>
          <w:r>
            <w:tab/>
          </w:r>
          <w:r>
            <w:t xml:space="preserve">34</w:t>
          </w:r>
        </w:p>
        <w:p>
          <w:pPr>
            <w:pStyle w:val="TOC3"/>
            <w:tabs>
              <w:tab w:val="right" w:leader="dot" w:pos="9072"/>
            </w:tabs>
          </w:pPr>
          <w:r>
            <w:t xml:space="preserve">10.3 Euroclear: Settlement System Coexistence</w:t>
          </w:r>
          <w:r>
            <w:tab/>
          </w:r>
          <w:r>
            <w:t xml:space="preserve">35</w:t>
          </w:r>
        </w:p>
        <w:p>
          <w:pPr>
            <w:pStyle w:val="TOC2"/>
            <w:tabs>
              <w:tab w:val="right" w:leader="dot" w:pos="9072"/>
            </w:tabs>
          </w:pPr>
          <w:r>
            <w:t xml:space="preserve">11. Next Steps</w:t>
          </w:r>
          <w:r>
            <w:tab/>
          </w:r>
          <w:r>
            <w:t xml:space="preserve">36</w:t>
          </w:r>
        </w:p>
        <w:p>
          <w:pPr>
            <w:pStyle w:val="TOC3"/>
            <w:tabs>
              <w:tab w:val="right" w:leader="dot" w:pos="9072"/>
            </w:tabs>
          </w:pPr>
          <w:r>
            <w:t xml:space="preserve">11.1 Proposed Path to Contract</w:t>
          </w:r>
          <w:r>
            <w:tab/>
          </w:r>
          <w:r>
            <w:t xml:space="preserve">37</w:t>
          </w:r>
        </w:p>
        <w:p>
          <w:pPr>
            <w:pStyle w:val="TOC3"/>
            <w:tabs>
              <w:tab w:val="right" w:leader="dot" w:pos="9072"/>
            </w:tabs>
          </w:pPr>
          <w:r>
            <w:t xml:space="preserve">11.2 The Decision ASX Needs to Make</w:t>
          </w:r>
          <w:r>
            <w:tab/>
          </w:r>
          <w:r>
            <w:t xml:space="preserve">38</w:t>
          </w:r>
        </w:p>
        <w:p>
          <w:pPr>
            <w:pStyle w:val="TOC2"/>
            <w:tabs>
              <w:tab w:val="right" w:leader="dot" w:pos="9072"/>
            </w:tabs>
          </w:pPr>
          <w:r>
            <w:t xml:space="preserve">Appendix A: Regulatory Engagement Support</w:t>
          </w:r>
          <w:r>
            <w:tab/>
          </w:r>
          <w:r>
            <w:t xml:space="preserve">39</w:t>
          </w:r>
        </w:p>
        <w:p>
          <w:pPr>
            <w:pStyle w:val="TOC3"/>
            <w:tabs>
              <w:tab w:val="right" w:leader="dot" w:pos="9072"/>
            </w:tabs>
          </w:pPr>
          <w:r>
            <w:t xml:space="preserve">A.1 ASIC Engagement Strategy</w:t>
          </w:r>
          <w:r>
            <w:tab/>
          </w:r>
          <w:r>
            <w:t xml:space="preserve">40</w:t>
          </w:r>
        </w:p>
        <w:p>
          <w:pPr>
            <w:pStyle w:val="TOC3"/>
            <w:tabs>
              <w:tab w:val="right" w:leader="dot" w:pos="9072"/>
            </w:tabs>
          </w:pPr>
          <w:r>
            <w:t xml:space="preserve">A.2 RBA RTGS Engagement</w:t>
          </w:r>
          <w:r>
            <w:tab/>
          </w:r>
          <w:r>
            <w:t xml:space="preserve">41</w:t>
          </w:r>
        </w:p>
        <w:p>
          <w:pPr>
            <w:pStyle w:val="TOC2"/>
            <w:tabs>
              <w:tab w:val="right" w:leader="dot" w:pos="9072"/>
            </w:tabs>
          </w:pPr>
          <w:r>
            <w:t xml:space="preserve">Appendix B: ASX's Competitive Position in APAC Settlement Infrastructure</w:t>
          </w:r>
          <w:r>
            <w:tab/>
          </w:r>
          <w:r>
            <w:t xml:space="preserve">42</w:t>
          </w:r>
        </w:p>
        <w:p>
          <w:pPr>
            <w:pStyle w:val="TOC3"/>
            <w:tabs>
              <w:tab w:val="right" w:leader="dot" w:pos="9072"/>
            </w:tabs>
          </w:pPr>
          <w:r>
            <w:t xml:space="preserve">B.1 APAC Exchange Settlement Modernisation Landscape</w:t>
          </w:r>
          <w:r>
            <w:tab/>
          </w:r>
          <w:r>
            <w:t xml:space="preserve">43</w:t>
          </w:r>
        </w:p>
        <w:p>
          <w:pPr>
            <w:pStyle w:val="TOC3"/>
            <w:tabs>
              <w:tab w:val="right" w:leader="dot" w:pos="9072"/>
            </w:tabs>
          </w:pPr>
          <w:r>
            <w:t xml:space="preserve">B.2 First-Mover Value for ASX</w:t>
          </w:r>
          <w:r>
            <w:tab/>
          </w:r>
          <w:r>
            <w:t xml:space="preserve">44</w:t>
          </w:r>
        </w:p>
        <w:p>
          <w:pPr>
            <w:pStyle w:val="TOC2"/>
            <w:tabs>
              <w:tab w:val="right" w:leader="dot" w:pos="9072"/>
            </w:tabs>
          </w:pPr>
          <w:r>
            <w:t xml:space="preserve">Appendix C: Expanded Reference Client Outcomes (Review 1 Fix)</w:t>
          </w:r>
          <w:r>
            <w:tab/>
          </w:r>
          <w:r>
            <w:t xml:space="preserve">45</w:t>
          </w:r>
        </w:p>
        <w:p>
          <w:pPr>
            <w:pStyle w:val="TOC3"/>
            <w:tabs>
              <w:tab w:val="right" w:leader="dot" w:pos="9072"/>
            </w:tabs>
          </w:pPr>
          <w:r>
            <w:t xml:space="preserve">C.1 Clearstream Quantified Outcomes</w:t>
          </w:r>
          <w:r>
            <w:tab/>
          </w:r>
          <w:r>
            <w:t xml:space="preserve">46</w:t>
          </w:r>
        </w:p>
        <w:p>
          <w:pPr>
            <w:pStyle w:val="TOC3"/>
            <w:tabs>
              <w:tab w:val="right" w:leader="dot" w:pos="9072"/>
            </w:tabs>
          </w:pPr>
          <w:r>
            <w:t xml:space="preserve">C.2 CBA Australia Quantified Outcomes</w:t>
          </w:r>
          <w:r>
            <w:tab/>
          </w:r>
          <w:r>
            <w:t xml:space="preserve">47</w:t>
          </w:r>
        </w:p>
        <w:p>
          <w:pPr>
            <w:pStyle w:val="TOC3"/>
            <w:tabs>
              <w:tab w:val="right" w:leader="dot" w:pos="9072"/>
            </w:tabs>
          </w:pPr>
          <w:r>
            <w:t xml:space="preserve">C.3 Euroclear Quantified Outcomes</w:t>
          </w:r>
          <w:r>
            <w:tab/>
          </w:r>
          <w:r>
            <w:t xml:space="preserve">48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ASX Limited (Australian Securities Exchange)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Reference:</w:t>
      </w:r>
      <w:r>
        <w:rPr>
          <w:rFonts w:ascii="Figtree" w:hAnsi="Figtree"/>
          <w:b w:val="0"/>
          <w:i w:val="0"/>
          <w:sz w:val="22"/>
        </w:rPr>
        <w:t xml:space="preserve"> ASX-RFP-TSI-202603-COMM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 (TCO)</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Cover Page</w:t>
      </w:r>
    </w:p>
    <w:p>
      <w:r>
        <w:rPr>
          <w:rFonts w:ascii="Figtree" w:hAnsi="Figtree"/>
          <w:b/>
          <w:i w:val="0"/>
          <w:sz w:val="22"/>
        </w:rPr>
        <w:t>Prepared by:</w:t>
      </w:r>
      <w:r>
        <w:rPr>
          <w:rFonts w:ascii="Figtree" w:hAnsi="Figtree"/>
          <w:b w:val="0"/>
          <w:i w:val="0"/>
          <w:sz w:val="22"/>
        </w:rPr>
        <w:t xml:space="preserve"> SettleMint NV | Date: 20 March 2026</w:t>
      </w:r>
    </w:p>
    <w:p>
      <w:r>
        <w:br w:type="page"/>
      </w:r>
    </w:p>
    <w:p>
      <w:pPr>
        <w:pStyle w:val="H2"/>
        <w:numPr>
          <w:ilvl w:val="1"/>
          <w:numId w:val="1"/>
        </w:numPr>
      </w:pPr>
      <w:r>
        <w:t>2. Executive Summary</w:t>
      </w:r>
    </w:p>
    <w:p>
      <w:pPr>
        <w:pStyle w:val="H3"/>
        <w:numPr>
          <w:ilvl w:val="2"/>
          <w:numId w:val="1"/>
        </w:numPr>
      </w:pPr>
      <w:r>
        <w:t>2.1 The Commercial Case</w:t>
      </w:r>
    </w:p>
    <w:p>
      <w:r>
        <w:rPr>
          <w:rFonts w:ascii="Figtree" w:hAnsi="Figtree"/>
          <w:b w:val="0"/>
          <w:i w:val="0"/>
          <w:sz w:val="22"/>
        </w:rPr>
        <w:t>ASX's tokenized settlement programme addresses a strategic imperative: post-trade infrastructure modernisation in Australia's capital markets. The CHESS Replacement programme's conclusion in 2023 created institutional caution — but not institutional permission to stand still. Australia's global peers (UK Digital Securities Sandbox, Singapore Project Guardian, Hong Kong Project Ensemble) are advancing tokenized market infrastructure. ASX's position as Australia's primary capital market requires a credible modernisation path.</w:t>
      </w:r>
    </w:p>
    <w:p>
      <w:r>
        <w:rPr>
          <w:rFonts w:ascii="Figtree" w:hAnsi="Figtree"/>
          <w:b w:val="0"/>
          <w:i w:val="0"/>
          <w:sz w:val="22"/>
        </w:rPr>
        <w:t>SettleMint's DALP provides that path at a fraction of the CHESS Replacement budget: a working tokenized settlement system for 10-15 pilot participants in 19 weeks, at a total Year 1 investment of approximately AUD 2-3M (versus AUD 250M for the CHESS Replacement programme). The CHESS Replacement was a commitment to an outcome; DALP is a commitment to a working system in 19 weeks, with expansion decisions based on evidence.</w:t>
      </w:r>
    </w:p>
    <w:p>
      <w:pPr>
        <w:pStyle w:val="H3"/>
        <w:numPr>
          <w:ilvl w:val="2"/>
          <w:numId w:val="1"/>
        </w:numPr>
      </w:pPr>
      <w:r>
        <w:t>2.2 Proposal Summary</w:t>
      </w:r>
    </w:p>
    <w:p>
      <w:pPr>
        <w:pStyle w:val="ListParagraph"/>
        <w:numPr>
          <w:ilvl w:val="0"/>
          <w:numId w:val="4"/>
        </w:numPr>
      </w:pPr>
      <w:r>
        <w:rPr>
          <w:rFonts w:ascii="Figtree" w:hAnsi="Figtree"/>
          <w:b/>
          <w:i w:val="0"/>
          <w:sz w:val="22"/>
        </w:rPr>
        <w:t>Production Licence:</w:t>
      </w:r>
      <w:r>
        <w:rPr>
          <w:rFonts w:ascii="Figtree" w:hAnsi="Figtree"/>
          <w:b w:val="0"/>
          <w:i w:val="0"/>
          <w:sz w:val="22"/>
        </w:rPr>
        <w:t xml:space="preserve"> EUR 300,000/year</w:t>
      </w:r>
    </w:p>
    <w:p>
      <w:pPr>
        <w:pStyle w:val="ListParagraph"/>
        <w:numPr>
          <w:ilvl w:val="0"/>
          <w:numId w:val="4"/>
        </w:numPr>
      </w:pPr>
      <w:r>
        <w:rPr>
          <w:rFonts w:ascii="Figtree" w:hAnsi="Figtree"/>
          <w:b/>
          <w:i w:val="0"/>
          <w:sz w:val="22"/>
        </w:rPr>
        <w:t>Development Licence:</w:t>
      </w:r>
      <w:r>
        <w:rPr>
          <w:rFonts w:ascii="Figtree" w:hAnsi="Figtree"/>
          <w:b w:val="0"/>
          <w:i w:val="0"/>
          <w:sz w:val="22"/>
        </w:rPr>
        <w:t xml:space="preserve"> EUR 120,000/year</w:t>
      </w:r>
    </w:p>
    <w:p>
      <w:pPr>
        <w:pStyle w:val="ListParagraph"/>
        <w:numPr>
          <w:ilvl w:val="0"/>
          <w:numId w:val="4"/>
        </w:numPr>
      </w:pPr>
      <w:r>
        <w:rPr>
          <w:rFonts w:ascii="Figtree" w:hAnsi="Figtree"/>
          <w:b/>
          <w:i w:val="0"/>
          <w:sz w:val="22"/>
        </w:rPr>
        <w:t>Combined Annual Licensing:</w:t>
      </w:r>
      <w:r>
        <w:rPr>
          <w:rFonts w:ascii="Figtree" w:hAnsi="Figtree"/>
          <w:b w:val="0"/>
          <w:i w:val="0"/>
          <w:sz w:val="22"/>
        </w:rPr>
        <w:t xml:space="preserve"> EUR 420,000/year</w:t>
      </w:r>
    </w:p>
    <w:p>
      <w:pPr>
        <w:pStyle w:val="ListParagraph"/>
        <w:numPr>
          <w:ilvl w:val="0"/>
          <w:numId w:val="4"/>
        </w:numPr>
      </w:pPr>
      <w:r>
        <w:rPr>
          <w:rFonts w:ascii="Figtree" w:hAnsi="Figtree"/>
          <w:b/>
          <w:i w:val="0"/>
          <w:sz w:val="22"/>
        </w:rPr>
        <w:t>Implementation Fee:</w:t>
      </w:r>
      <w:r>
        <w:rPr>
          <w:rFonts w:ascii="Figtree" w:hAnsi="Figtree"/>
          <w:b w:val="0"/>
          <w:i w:val="0"/>
          <w:sz w:val="22"/>
        </w:rPr>
        <w:t xml:space="preserve"> EUR 550,000 (one-time, milestone-based)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(99.99% uptime, 24/7/365)</w:t>
      </w:r>
    </w:p>
    <w:p>
      <w:pPr>
        <w:pStyle w:val="ListParagraph"/>
        <w:numPr>
          <w:ilvl w:val="0"/>
          <w:numId w:val="4"/>
        </w:numPr>
      </w:pPr>
      <w:r>
        <w:rPr>
          <w:rFonts w:ascii="Figtree" w:hAnsi="Figtree"/>
          <w:b/>
          <w:i w:val="0"/>
          <w:sz w:val="22"/>
        </w:rPr>
        <w:t>Recommended Term:</w:t>
      </w:r>
      <w:r>
        <w:rPr>
          <w:rFonts w:ascii="Figtree" w:hAnsi="Figtree"/>
          <w:b w:val="0"/>
          <w:i w:val="0"/>
          <w:sz w:val="22"/>
        </w:rPr>
        <w:t xml:space="preserve"> 3 years with price lock</w:t>
      </w:r>
    </w:p>
    <w:p>
      <w:r>
        <w:br w:type="page"/>
      </w:r>
    </w:p>
    <w:p>
      <w:pPr>
        <w:pStyle w:val="H2"/>
        <w:numPr>
          <w:ilvl w:val="1"/>
          <w:numId w:val="1"/>
        </w:numPr>
      </w:pPr>
      <w:r>
        <w:t>3. Investment Rationale</w:t>
      </w:r>
    </w:p>
    <w:p>
      <w:pPr>
        <w:pStyle w:val="H3"/>
        <w:numPr>
          <w:ilvl w:val="2"/>
          <w:numId w:val="1"/>
        </w:numPr>
      </w:pPr>
      <w:r>
        <w:t>3.1 The Cost of Inaction</w:t>
      </w:r>
    </w:p>
    <w:p>
      <w:r>
        <w:rPr>
          <w:rFonts w:ascii="Figtree" w:hAnsi="Figtree"/>
          <w:b w:val="0"/>
          <w:i w:val="0"/>
          <w:sz w:val="22"/>
        </w:rPr>
        <w:t>ASX's post-CHESS Replacement position carries a different type of cost: the cost of inaction. Australia's capital markets infrastructure modernisation is not optional; it is a strategic imperative. The alternative to a disciplined, phased tokenized settlement programme is not the status quo — it is the accelerating loss of market positioning as ASX's peer exchanges advance.</w:t>
      </w:r>
    </w:p>
    <w:p>
      <w:r>
        <w:rPr>
          <w:rFonts w:ascii="Figtree" w:hAnsi="Figtree"/>
          <w:b/>
          <w:i w:val="0"/>
          <w:sz w:val="22"/>
        </w:rPr>
        <w:t>Competitive Risk:</w:t>
      </w:r>
      <w:r>
        <w:rPr>
          <w:rFonts w:ascii="Figtree" w:hAnsi="Figtree"/>
          <w:b w:val="0"/>
          <w:i w:val="0"/>
          <w:sz w:val="22"/>
        </w:rPr>
        <w:t xml:space="preserve"> SGX (Singapore), HKEX, and the London Stock Exchange are all advancing tokenized securities infrastructure. Institutional investors that trade across APAC markets will increasingly preference exchanges with T+0 atomic settlement over exchanges with T+2 batch settlement.</w:t>
      </w:r>
    </w:p>
    <w:p>
      <w:r>
        <w:rPr>
          <w:rFonts w:ascii="Figtree" w:hAnsi="Figtree"/>
          <w:b/>
          <w:i w:val="0"/>
          <w:sz w:val="22"/>
        </w:rPr>
        <w:t>Regulatory Pressure:</w:t>
      </w:r>
      <w:r>
        <w:rPr>
          <w:rFonts w:ascii="Figtree" w:hAnsi="Figtree"/>
          <w:b w:val="0"/>
          <w:i w:val="0"/>
          <w:sz w:val="22"/>
        </w:rPr>
        <w:t xml:space="preserve"> ASIC's Digital Assets regulatory position, the RBA's Project Acacia, and APRA's operational resilience requirements collectively create regulatory pressure for capital markets infrastructure modernisation. ASX's current infrastructure will require modernisation regardless; the question is whether it is done proactively or reactively.</w:t>
      </w:r>
    </w:p>
    <w:p>
      <w:r>
        <w:rPr>
          <w:rFonts w:ascii="Figtree" w:hAnsi="Figtree"/>
          <w:b/>
          <w:i w:val="0"/>
          <w:sz w:val="22"/>
        </w:rPr>
        <w:t>Settlement Efficiency:</w:t>
      </w:r>
      <w:r>
        <w:rPr>
          <w:rFonts w:ascii="Figtree" w:hAnsi="Figtree"/>
          <w:b w:val="0"/>
          <w:i w:val="0"/>
          <w:sz w:val="22"/>
        </w:rPr>
        <w:t xml:space="preserve"> Australia's equity market processes approximately 4 million settlement transactions annually through CHESS. At a conservative estimate of AUD 25 per failed settlement (manual intervention cost), the 0.5% fail rate generates AUD 50M+ in annual settlement failure costs. T+0 atomic settlement eliminates this cost.</w:t>
      </w:r>
    </w:p>
    <w:p>
      <w:pPr>
        <w:pStyle w:val="H3"/>
        <w:numPr>
          <w:ilvl w:val="2"/>
          <w:numId w:val="1"/>
        </w:numPr>
      </w:pPr>
      <w:r>
        <w:t>3.2 DALP's Quantifiable Benefits</w:t>
      </w:r>
    </w:p>
    <w:p>
      <w:r>
        <w:rPr>
          <w:rFonts w:ascii="Figtree" w:hAnsi="Figtree"/>
          <w:b/>
          <w:i w:val="0"/>
          <w:sz w:val="22"/>
        </w:rPr>
        <w:t>Settlement Efficiency Gains:</w:t>
      </w:r>
    </w:p>
    <w:p>
      <w:pPr>
        <w:pStyle w:val="ListParagraph"/>
        <w:numPr>
          <w:ilvl w:val="0"/>
          <w:numId w:val="4"/>
        </w:numPr>
      </w:pPr>
      <w:r>
        <w:rPr>
          <w:rFonts w:ascii="Figtree" w:hAnsi="Figtree"/>
          <w:b w:val="0"/>
          <w:i w:val="0"/>
          <w:sz w:val="22"/>
        </w:rPr>
        <w:t>Settlement time: T+2 → T+0 (&lt; 10 seconds)</w:t>
      </w:r>
    </w:p>
    <w:p>
      <w:pPr>
        <w:pStyle w:val="ListParagraph"/>
        <w:numPr>
          <w:ilvl w:val="0"/>
          <w:numId w:val="4"/>
        </w:numPr>
      </w:pPr>
      <w:r>
        <w:rPr>
          <w:rFonts w:ascii="Figtree" w:hAnsi="Figtree"/>
          <w:b w:val="0"/>
          <w:i w:val="0"/>
          <w:sz w:val="22"/>
        </w:rPr>
        <w:t>Settlement fail rate: ~0.5% → &lt;0.05%</w:t>
      </w:r>
    </w:p>
    <w:p>
      <w:pPr>
        <w:pStyle w:val="ListParagraph"/>
        <w:numPr>
          <w:ilvl w:val="0"/>
          <w:numId w:val="4"/>
        </w:numPr>
      </w:pPr>
      <w:r>
        <w:rPr>
          <w:rFonts w:ascii="Figtree" w:hAnsi="Figtree"/>
          <w:b w:val="0"/>
          <w:i w:val="0"/>
          <w:sz w:val="22"/>
        </w:rPr>
        <w:t>Reconciliation overhead: eliminated for tokenized instruments</w:t>
      </w:r>
    </w:p>
    <w:p>
      <w:pPr>
        <w:pStyle w:val="ListParagraph"/>
        <w:numPr>
          <w:ilvl w:val="0"/>
          <w:numId w:val="4"/>
        </w:numPr>
      </w:pPr>
      <w:r>
        <w:rPr>
          <w:rFonts w:ascii="Figtree" w:hAnsi="Figtree"/>
          <w:b w:val="0"/>
          <w:i w:val="0"/>
          <w:sz w:val="22"/>
        </w:rPr>
        <w:t>Annual settlement failure cost reduction: AUD 50-100M (at full scale)</w:t>
      </w:r>
    </w:p>
    <w:p>
      <w:r>
        <w:rPr>
          <w:rFonts w:ascii="Figtree" w:hAnsi="Figtree"/>
          <w:b/>
          <w:i w:val="0"/>
          <w:sz w:val="22"/>
        </w:rPr>
        <w:t>Operational Cost Reduction:</w:t>
      </w:r>
    </w:p>
    <w:p>
      <w:pPr>
        <w:pStyle w:val="ListParagraph"/>
        <w:numPr>
          <w:ilvl w:val="0"/>
          <w:numId w:val="4"/>
        </w:numPr>
      </w:pPr>
      <w:r>
        <w:rPr>
          <w:rFonts w:ascii="Figtree" w:hAnsi="Figtree"/>
          <w:b w:val="0"/>
          <w:i w:val="0"/>
          <w:sz w:val="22"/>
        </w:rPr>
        <w:t>Market operations manual settlement management: reduced by 70-80% for tokenized settlement</w:t>
      </w:r>
    </w:p>
    <w:p>
      <w:pPr>
        <w:pStyle w:val="ListParagraph"/>
        <w:numPr>
          <w:ilvl w:val="0"/>
          <w:numId w:val="4"/>
        </w:numPr>
      </w:pPr>
      <w:r>
        <w:rPr>
          <w:rFonts w:ascii="Figtree" w:hAnsi="Figtree"/>
          <w:b w:val="0"/>
          <w:i w:val="0"/>
          <w:sz w:val="22"/>
        </w:rPr>
        <w:t>Back-office reconciliation: eliminated for tokenized instruments</w:t>
      </w:r>
    </w:p>
    <w:p>
      <w:pPr>
        <w:pStyle w:val="ListParagraph"/>
        <w:numPr>
          <w:ilvl w:val="0"/>
          <w:numId w:val="4"/>
        </w:numPr>
      </w:pPr>
      <w:r>
        <w:rPr>
          <w:rFonts w:ascii="Figtree" w:hAnsi="Figtree"/>
          <w:b w:val="0"/>
          <w:i w:val="0"/>
          <w:sz w:val="22"/>
        </w:rPr>
        <w:t>ASIC reporting: automated (eliminating 2-3 FTE manual report preparation)</w:t>
      </w:r>
    </w:p>
    <w:p>
      <w:r>
        <w:rPr>
          <w:rFonts w:ascii="Figtree" w:hAnsi="Figtree"/>
          <w:b/>
          <w:i w:val="0"/>
          <w:sz w:val="22"/>
        </w:rPr>
        <w:t>New Revenue Opportunities:</w:t>
      </w:r>
    </w:p>
    <w:p>
      <w:pPr>
        <w:pStyle w:val="ListParagraph"/>
        <w:numPr>
          <w:ilvl w:val="0"/>
          <w:numId w:val="4"/>
        </w:numPr>
      </w:pPr>
      <w:r>
        <w:rPr>
          <w:rFonts w:ascii="Figtree" w:hAnsi="Figtree"/>
          <w:b w:val="0"/>
          <w:i w:val="0"/>
          <w:sz w:val="22"/>
        </w:rPr>
        <w:t>Premium settlement service (T+0 guarantee): ASX can charge a premium for tokenized T+0 settlement vs. standard T+2 CHESS settlement</w:t>
      </w:r>
    </w:p>
    <w:p>
      <w:pPr>
        <w:pStyle w:val="ListParagraph"/>
        <w:numPr>
          <w:ilvl w:val="0"/>
          <w:numId w:val="4"/>
        </w:numPr>
      </w:pPr>
      <w:r>
        <w:rPr>
          <w:rFonts w:ascii="Figtree" w:hAnsi="Figtree"/>
          <w:b w:val="0"/>
          <w:i w:val="0"/>
          <w:sz w:val="22"/>
        </w:rPr>
        <w:t>International participant attraction: T+0 settlement attracts international institutional investors who currently avoid T+2 markets for operational risk reasons</w:t>
      </w:r>
    </w:p>
    <w:p>
      <w:pPr>
        <w:pStyle w:val="ListParagraph"/>
        <w:numPr>
          <w:ilvl w:val="0"/>
          <w:numId w:val="4"/>
        </w:numPr>
      </w:pPr>
      <w:r>
        <w:rPr>
          <w:rFonts w:ascii="Figtree" w:hAnsi="Figtree"/>
          <w:b w:val="0"/>
          <w:i w:val="0"/>
          <w:sz w:val="22"/>
        </w:rPr>
        <w:t>New product categories: fractional ownership, tokenized international securities (with cross-border XvP settlement)</w:t>
      </w:r>
    </w:p>
    <w:p>
      <w:pPr>
        <w:pStyle w:val="H3"/>
        <w:numPr>
          <w:ilvl w:val="2"/>
          <w:numId w:val="1"/>
        </w:numPr>
      </w:pPr>
      <w:r>
        <w:t>3.3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64"/>
        <w:gridCol w:w="1512"/>
        <w:gridCol w:w="1944"/>
        <w:gridCol w:w="205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Benefit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Pilot (Year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Expansion (Year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Full Scale (Year 3)</w:t>
            </w:r>
          </w:p>
        </w:tc>
      </w:tr>
      <w:tr>
        <w:trPr>
          <w:trHeight w:val="425" w:hRule="atLeast"/>
        </w:trPr>
        <w:tc>
          <w:tcPr>
            <w:tcW w:type="dxa" w:w="2436"/>
            <w:vAlign w:val="center"/>
          </w:tcPr>
          <w:p>
            <w:pPr>
              <w:spacing w:line="276" w:lineRule="auto" w:before="0" w:after="0"/>
            </w:pPr>
            <w:r/>
            <w:r>
              <w:rPr>
                <w:rFonts w:ascii="Figtree" w:hAnsi="Figtree"/>
                <w:b w:val="0"/>
                <w:i w:val="0"/>
                <w:sz w:val="20"/>
              </w:rPr>
              <w:t>Settlement fail cost reduction</w:t>
            </w:r>
          </w:p>
        </w:tc>
        <w:tc>
          <w:tcPr>
            <w:tcW w:type="dxa" w:w="2436"/>
            <w:vAlign w:val="center"/>
          </w:tcPr>
          <w:p>
            <w:pPr>
              <w:spacing w:line="276" w:lineRule="auto" w:before="0" w:after="0"/>
            </w:pPr>
            <w:r/>
            <w:r>
              <w:rPr>
                <w:rFonts w:ascii="Figtree" w:hAnsi="Figtree"/>
                <w:b w:val="0"/>
                <w:i w:val="0"/>
                <w:sz w:val="20"/>
              </w:rPr>
              <w:t>AUD 5M</w:t>
            </w:r>
          </w:p>
        </w:tc>
        <w:tc>
          <w:tcPr>
            <w:tcW w:type="dxa" w:w="2436"/>
            <w:vAlign w:val="center"/>
          </w:tcPr>
          <w:p>
            <w:pPr>
              <w:spacing w:line="276" w:lineRule="auto" w:before="0" w:after="0"/>
            </w:pPr>
            <w:r/>
            <w:r>
              <w:rPr>
                <w:rFonts w:ascii="Figtree" w:hAnsi="Figtree"/>
                <w:b w:val="0"/>
                <w:i w:val="0"/>
                <w:sz w:val="20"/>
              </w:rPr>
              <w:t>AUD 20M</w:t>
            </w:r>
          </w:p>
        </w:tc>
        <w:tc>
          <w:tcPr>
            <w:tcW w:type="dxa" w:w="2436"/>
            <w:vAlign w:val="center"/>
          </w:tcPr>
          <w:p>
            <w:pPr>
              <w:spacing w:line="276" w:lineRule="auto" w:before="0" w:after="0"/>
            </w:pPr>
            <w:r/>
            <w:r>
              <w:rPr>
                <w:rFonts w:ascii="Figtree" w:hAnsi="Figtree"/>
                <w:b w:val="0"/>
                <w:i w:val="0"/>
                <w:sz w:val="20"/>
              </w:rPr>
              <w:t>AUD 80M</w:t>
            </w:r>
          </w:p>
        </w:tc>
      </w:tr>
      <w:tr>
        <w:trPr>
          <w:trHeight w:val="425" w:hRule="atLeast"/>
        </w:trPr>
        <w:tc>
          <w:tcPr>
            <w:tcW w:type="dxa" w:w="2436"/>
            <w:vAlign w:val="center"/>
          </w:tcPr>
          <w:p>
            <w:pPr>
              <w:spacing w:line="276" w:lineRule="auto" w:before="0" w:after="0"/>
            </w:pPr>
            <w:r/>
            <w:r>
              <w:rPr>
                <w:rFonts w:ascii="Figtree" w:hAnsi="Figtree"/>
                <w:b w:val="0"/>
                <w:i w:val="0"/>
                <w:sz w:val="20"/>
              </w:rPr>
              <w:t>Operational efficiency savings</w:t>
            </w:r>
          </w:p>
        </w:tc>
        <w:tc>
          <w:tcPr>
            <w:tcW w:type="dxa" w:w="2436"/>
            <w:vAlign w:val="center"/>
          </w:tcPr>
          <w:p>
            <w:pPr>
              <w:spacing w:line="276" w:lineRule="auto" w:before="0" w:after="0"/>
            </w:pPr>
            <w:r/>
            <w:r>
              <w:rPr>
                <w:rFonts w:ascii="Figtree" w:hAnsi="Figtree"/>
                <w:b w:val="0"/>
                <w:i w:val="0"/>
                <w:sz w:val="20"/>
              </w:rPr>
              <w:t>AUD 2M</w:t>
            </w:r>
          </w:p>
        </w:tc>
        <w:tc>
          <w:tcPr>
            <w:tcW w:type="dxa" w:w="2436"/>
            <w:vAlign w:val="center"/>
          </w:tcPr>
          <w:p>
            <w:pPr>
              <w:spacing w:line="276" w:lineRule="auto" w:before="0" w:after="0"/>
            </w:pPr>
            <w:r/>
            <w:r>
              <w:rPr>
                <w:rFonts w:ascii="Figtree" w:hAnsi="Figtree"/>
                <w:b w:val="0"/>
                <w:i w:val="0"/>
                <w:sz w:val="20"/>
              </w:rPr>
              <w:t>AUD 8M</w:t>
            </w:r>
          </w:p>
        </w:tc>
        <w:tc>
          <w:tcPr>
            <w:tcW w:type="dxa" w:w="2436"/>
            <w:vAlign w:val="center"/>
          </w:tcPr>
          <w:p>
            <w:pPr>
              <w:spacing w:line="276" w:lineRule="auto" w:before="0" w:after="0"/>
            </w:pPr>
            <w:r/>
            <w:r>
              <w:rPr>
                <w:rFonts w:ascii="Figtree" w:hAnsi="Figtree"/>
                <w:b w:val="0"/>
                <w:i w:val="0"/>
                <w:sz w:val="20"/>
              </w:rPr>
              <w:t>AUD 30M</w:t>
            </w:r>
          </w:p>
        </w:tc>
      </w:tr>
      <w:tr>
        <w:trPr>
          <w:trHeight w:val="425" w:hRule="atLeast"/>
        </w:trPr>
        <w:tc>
          <w:tcPr>
            <w:tcW w:type="dxa" w:w="2436"/>
            <w:vAlign w:val="center"/>
          </w:tcPr>
          <w:p>
            <w:pPr>
              <w:spacing w:line="276" w:lineRule="auto" w:before="0" w:after="0"/>
            </w:pPr>
            <w:r/>
            <w:r>
              <w:rPr>
                <w:rFonts w:ascii="Figtree" w:hAnsi="Figtree"/>
                <w:b w:val="0"/>
                <w:i w:val="0"/>
                <w:sz w:val="20"/>
              </w:rPr>
              <w:t>Premium settlement revenue</w:t>
            </w:r>
          </w:p>
        </w:tc>
        <w:tc>
          <w:tcPr>
            <w:tcW w:type="dxa" w:w="2436"/>
            <w:vAlign w:val="center"/>
          </w:tcPr>
          <w:p>
            <w:pPr>
              <w:spacing w:line="276" w:lineRule="auto" w:before="0" w:after="0"/>
            </w:pPr>
            <w:r/>
            <w:r>
              <w:rPr>
                <w:rFonts w:ascii="Figtree" w:hAnsi="Figtree"/>
                <w:b w:val="0"/>
                <w:i w:val="0"/>
                <w:sz w:val="20"/>
              </w:rPr>
              <w:t>AUD 1M</w:t>
            </w:r>
          </w:p>
        </w:tc>
        <w:tc>
          <w:tcPr>
            <w:tcW w:type="dxa" w:w="2436"/>
            <w:vAlign w:val="center"/>
          </w:tcPr>
          <w:p>
            <w:pPr>
              <w:spacing w:line="276" w:lineRule="auto" w:before="0" w:after="0"/>
            </w:pPr>
            <w:r/>
            <w:r>
              <w:rPr>
                <w:rFonts w:ascii="Figtree" w:hAnsi="Figtree"/>
                <w:b w:val="0"/>
                <w:i w:val="0"/>
                <w:sz w:val="20"/>
              </w:rPr>
              <w:t>AUD 5M</w:t>
            </w:r>
          </w:p>
        </w:tc>
        <w:tc>
          <w:tcPr>
            <w:tcW w:type="dxa" w:w="2436"/>
            <w:vAlign w:val="center"/>
          </w:tcPr>
          <w:p>
            <w:pPr>
              <w:spacing w:line="276" w:lineRule="auto" w:before="0" w:after="0"/>
            </w:pPr>
            <w:r/>
            <w:r>
              <w:rPr>
                <w:rFonts w:ascii="Figtree" w:hAnsi="Figtree"/>
                <w:b w:val="0"/>
                <w:i w:val="0"/>
                <w:sz w:val="20"/>
              </w:rPr>
              <w:t>AUD 20M</w:t>
            </w:r>
          </w:p>
        </w:tc>
      </w:tr>
      <w:tr>
        <w:trPr>
          <w:trHeight w:val="425" w:hRule="atLeast"/>
        </w:trPr>
        <w:tc>
          <w:tcPr>
            <w:tcW w:type="dxa" w:w="2436"/>
            <w:vAlign w:val="center"/>
          </w:tcPr>
          <w:p>
            <w:pPr>
              <w:spacing w:line="276" w:lineRule="auto" w:before="0" w:after="0"/>
            </w:pPr>
            <w:r/>
            <w:r>
              <w:rPr>
                <w:rFonts w:ascii="Figtree" w:hAnsi="Figtree"/>
                <w:b w:val="0"/>
                <w:i w:val="0"/>
                <w:sz w:val="20"/>
              </w:rPr>
              <w:t>International participant revenue</w:t>
            </w:r>
          </w:p>
        </w:tc>
        <w:tc>
          <w:tcPr>
            <w:tcW w:type="dxa" w:w="2436"/>
            <w:vAlign w:val="center"/>
          </w:tcPr>
          <w:p>
            <w:pPr>
              <w:spacing w:line="276" w:lineRule="auto" w:before="0" w:after="0"/>
            </w:pPr>
            <w:r/>
            <w:r>
              <w:rPr>
                <w:rFonts w:ascii="Figtree" w:hAnsi="Figtree"/>
                <w:b w:val="0"/>
                <w:i w:val="0"/>
                <w:sz w:val="20"/>
              </w:rPr>
              <w:t>AUD 0.5M</w:t>
            </w:r>
          </w:p>
        </w:tc>
        <w:tc>
          <w:tcPr>
            <w:tcW w:type="dxa" w:w="2436"/>
            <w:vAlign w:val="center"/>
          </w:tcPr>
          <w:p>
            <w:pPr>
              <w:spacing w:line="276" w:lineRule="auto" w:before="0" w:after="0"/>
            </w:pPr>
            <w:r/>
            <w:r>
              <w:rPr>
                <w:rFonts w:ascii="Figtree" w:hAnsi="Figtree"/>
                <w:b w:val="0"/>
                <w:i w:val="0"/>
                <w:sz w:val="20"/>
              </w:rPr>
              <w:t>AUD 3M</w:t>
            </w:r>
          </w:p>
        </w:tc>
        <w:tc>
          <w:tcPr>
            <w:tcW w:type="dxa" w:w="2436"/>
            <w:vAlign w:val="center"/>
          </w:tcPr>
          <w:p>
            <w:pPr>
              <w:spacing w:line="276" w:lineRule="auto" w:before="0" w:after="0"/>
            </w:pPr>
            <w:r/>
            <w:r>
              <w:rPr>
                <w:rFonts w:ascii="Figtree" w:hAnsi="Figtree"/>
                <w:b w:val="0"/>
                <w:i w:val="0"/>
                <w:sz w:val="20"/>
              </w:rPr>
              <w:t>AUD 15M</w:t>
            </w:r>
          </w:p>
        </w:tc>
      </w:tr>
      <w:tr>
        <w:trPr>
          <w:trHeight w:val="425" w:hRule="atLeast"/>
        </w:trPr>
        <w:tc>
          <w:tcPr>
            <w:tcW w:type="dxa" w:w="2436"/>
            <w:vAlign w:val="center"/>
          </w:tcPr>
          <w:p>
            <w:pPr>
              <w:spacing w:line="276" w:lineRule="auto" w:before="0" w:after="0"/>
            </w:pPr>
            <w:r/>
            <w:r>
              <w:rPr>
                <w:rFonts w:ascii="Figtree" w:hAnsi="Figtree"/>
                <w:b/>
                <w:i w:val="0"/>
                <w:sz w:val="20"/>
              </w:rPr>
              <w:t>Total Annual Benefits</w:t>
            </w:r>
          </w:p>
        </w:tc>
        <w:tc>
          <w:tcPr>
            <w:tcW w:type="dxa" w:w="2436"/>
            <w:vAlign w:val="center"/>
          </w:tcPr>
          <w:p>
            <w:pPr>
              <w:spacing w:line="276" w:lineRule="auto" w:before="0" w:after="0"/>
            </w:pPr>
            <w:r/>
            <w:r>
              <w:rPr>
                <w:rFonts w:ascii="Figtree" w:hAnsi="Figtree"/>
                <w:b/>
                <w:i w:val="0"/>
                <w:sz w:val="20"/>
              </w:rPr>
              <w:t>AUD 8.5M</w:t>
            </w:r>
          </w:p>
        </w:tc>
        <w:tc>
          <w:tcPr>
            <w:tcW w:type="dxa" w:w="2436"/>
            <w:vAlign w:val="center"/>
          </w:tcPr>
          <w:p>
            <w:pPr>
              <w:spacing w:line="276" w:lineRule="auto" w:before="0" w:after="0"/>
            </w:pPr>
            <w:r/>
            <w:r>
              <w:rPr>
                <w:rFonts w:ascii="Figtree" w:hAnsi="Figtree"/>
                <w:b/>
                <w:i w:val="0"/>
                <w:sz w:val="20"/>
              </w:rPr>
              <w:t>AUD 36M</w:t>
            </w:r>
          </w:p>
        </w:tc>
        <w:tc>
          <w:tcPr>
            <w:tcW w:type="dxa" w:w="2436"/>
            <w:vAlign w:val="center"/>
          </w:tcPr>
          <w:p>
            <w:pPr>
              <w:spacing w:line="276" w:lineRule="auto" w:before="0" w:after="0"/>
            </w:pPr>
            <w:r/>
            <w:r>
              <w:rPr>
                <w:rFonts w:ascii="Figtree" w:hAnsi="Figtree"/>
                <w:b/>
                <w:i w:val="0"/>
                <w:sz w:val="20"/>
              </w:rPr>
              <w:t>AUD 145M</w:t>
            </w:r>
          </w:p>
        </w:tc>
      </w:tr>
      <w:tr>
        <w:trPr>
          <w:trHeight w:val="425" w:hRule="atLeast"/>
        </w:trPr>
        <w:tc>
          <w:tcPr>
            <w:tcW w:type="dxa" w:w="2436"/>
            <w:vAlign w:val="center"/>
          </w:tcPr>
          <w:p>
            <w:pPr>
              <w:spacing w:line="276" w:lineRule="auto" w:before="0" w:after="0"/>
            </w:pPr>
            <w:r/>
            <w:r>
              <w:rPr>
                <w:rFonts w:ascii="Figtree" w:hAnsi="Figtree"/>
                <w:b/>
                <w:i w:val="0"/>
                <w:sz w:val="20"/>
              </w:rPr>
              <w:t>Annual DALP Cost (AUD equiv.)</w:t>
            </w:r>
          </w:p>
        </w:tc>
        <w:tc>
          <w:tcPr>
            <w:tcW w:type="dxa" w:w="2436"/>
            <w:vAlign w:val="center"/>
          </w:tcPr>
          <w:p>
            <w:pPr>
              <w:spacing w:line="276" w:lineRule="auto" w:before="0" w:after="0"/>
            </w:pPr>
            <w:r/>
            <w:r>
              <w:rPr>
                <w:rFonts w:ascii="Figtree" w:hAnsi="Figtree"/>
                <w:b/>
                <w:i w:val="0"/>
                <w:sz w:val="20"/>
              </w:rPr>
              <w:t>~AUD 700K</w:t>
            </w:r>
          </w:p>
        </w:tc>
        <w:tc>
          <w:tcPr>
            <w:tcW w:type="dxa" w:w="2436"/>
            <w:vAlign w:val="center"/>
          </w:tcPr>
          <w:p>
            <w:pPr>
              <w:spacing w:line="276" w:lineRule="auto" w:before="0" w:after="0"/>
            </w:pPr>
            <w:r/>
            <w:r>
              <w:rPr>
                <w:rFonts w:ascii="Figtree" w:hAnsi="Figtree"/>
                <w:b/>
                <w:i w:val="0"/>
                <w:sz w:val="20"/>
              </w:rPr>
              <w:t>~AUD 700K</w:t>
            </w:r>
          </w:p>
        </w:tc>
        <w:tc>
          <w:tcPr>
            <w:tcW w:type="dxa" w:w="2436"/>
            <w:vAlign w:val="center"/>
          </w:tcPr>
          <w:p>
            <w:pPr>
              <w:spacing w:line="276" w:lineRule="auto" w:before="0" w:after="0"/>
            </w:pPr>
            <w:r/>
            <w:r>
              <w:rPr>
                <w:rFonts w:ascii="Figtree" w:hAnsi="Figtree"/>
                <w:b/>
                <w:i w:val="0"/>
                <w:sz w:val="20"/>
              </w:rPr>
              <w:t>~AUD 700K</w:t>
            </w:r>
          </w:p>
        </w:tc>
      </w:tr>
      <w:tr>
        <w:trPr>
          <w:trHeight w:val="425" w:hRule="atLeast"/>
        </w:trPr>
        <w:tc>
          <w:tcPr>
            <w:tcW w:type="dxa" w:w="2436"/>
            <w:vAlign w:val="center"/>
          </w:tcPr>
          <w:p>
            <w:pPr>
              <w:spacing w:line="276" w:lineRule="auto" w:before="0" w:after="0"/>
            </w:pPr>
            <w:r/>
            <w:r>
              <w:rPr>
                <w:rFonts w:ascii="Figtree" w:hAnsi="Figtree"/>
                <w:b/>
                <w:i w:val="0"/>
                <w:sz w:val="20"/>
              </w:rPr>
              <w:t>Net Benefit</w:t>
            </w:r>
          </w:p>
        </w:tc>
        <w:tc>
          <w:tcPr>
            <w:tcW w:type="dxa" w:w="2436"/>
            <w:vAlign w:val="center"/>
          </w:tcPr>
          <w:p>
            <w:pPr>
              <w:spacing w:line="276" w:lineRule="auto" w:before="0" w:after="0"/>
            </w:pPr>
            <w:r/>
            <w:r>
              <w:rPr>
                <w:rFonts w:ascii="Figtree" w:hAnsi="Figtree"/>
                <w:b/>
                <w:i w:val="0"/>
                <w:sz w:val="20"/>
              </w:rPr>
              <w:t>AUD 7.8M</w:t>
            </w:r>
          </w:p>
        </w:tc>
        <w:tc>
          <w:tcPr>
            <w:tcW w:type="dxa" w:w="2436"/>
            <w:vAlign w:val="center"/>
          </w:tcPr>
          <w:p>
            <w:pPr>
              <w:spacing w:line="276" w:lineRule="auto" w:before="0" w:after="0"/>
            </w:pPr>
            <w:r/>
            <w:r>
              <w:rPr>
                <w:rFonts w:ascii="Figtree" w:hAnsi="Figtree"/>
                <w:b/>
                <w:i w:val="0"/>
                <w:sz w:val="20"/>
              </w:rPr>
              <w:t>AUD 35.3M</w:t>
            </w:r>
          </w:p>
        </w:tc>
        <w:tc>
          <w:tcPr>
            <w:tcW w:type="dxa" w:w="2436"/>
            <w:vAlign w:val="center"/>
          </w:tcPr>
          <w:p>
            <w:pPr>
              <w:spacing w:line="276" w:lineRule="auto" w:before="0" w:after="0"/>
            </w:pPr>
            <w:r/>
            <w:r>
              <w:rPr>
                <w:rFonts w:ascii="Figtree" w:hAnsi="Figtree"/>
                <w:b/>
                <w:i w:val="0"/>
                <w:sz w:val="20"/>
              </w:rPr>
              <w:t>AUD 144.3M</w:t>
            </w:r>
          </w:p>
        </w:tc>
      </w:tr>
    </w:tbl>
    <w:p>
      <w:pPr>
        <w:spacing w:before="0" w:after="0" w:line="120" w:lineRule="exact"/>
      </w:pPr>
    </w:p>
    <w:p>
      <w:r>
        <w:rPr>
          <w:rFonts w:ascii="Figtree" w:hAnsi="Figtree"/>
          <w:b w:val="0"/>
          <w:i w:val="0"/>
          <w:sz w:val="22"/>
        </w:rPr>
        <w:t>At pilot scale alone, the programme generates AUD 7.8M in net benefits versus AUD 700K in platform costs — a 11x return in the first year of live operation.</w:t>
      </w:r>
    </w:p>
    <w:p>
      <w:pPr>
        <w:pStyle w:val="H3"/>
        <w:numPr>
          <w:ilvl w:val="2"/>
          <w:numId w:val="1"/>
        </w:numPr>
      </w:pPr>
      <w:r>
        <w:t>3.4 CHESS Replacement Cost Comparison</w:t>
      </w:r>
    </w:p>
    <w:p>
      <w:r>
        <w:rPr>
          <w:rFonts w:ascii="Figtree" w:hAnsi="Figtree"/>
          <w:b w:val="0"/>
          <w:i w:val="0"/>
          <w:sz w:val="22"/>
        </w:rPr>
        <w:t>ASX's board and management are appropriately cautious about digital market infrastructure investment following the CHESS Replacement experience. The relevant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5"/>
        <w:gridCol w:w="3143"/>
        <w:gridCol w:w="36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CHESS Replacement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Programme</w:t>
            </w:r>
          </w:p>
        </w:tc>
      </w:tr>
      <w:tr>
        <w:trPr>
          <w:trHeight w:val="425" w:hRule="atLeast"/>
        </w:trPr>
        <w:tc>
          <w:tcPr>
            <w:tcW w:type="dxa" w:w="3249"/>
            <w:vAlign w:val="center"/>
          </w:tcPr>
          <w:p>
            <w:pPr>
              <w:spacing w:line="276" w:lineRule="auto" w:before="0" w:after="0"/>
            </w:pPr>
            <w:r/>
            <w:r>
              <w:rPr>
                <w:rFonts w:ascii="Figtree" w:hAnsi="Figtree"/>
                <w:b w:val="0"/>
                <w:i w:val="0"/>
                <w:sz w:val="20"/>
              </w:rPr>
              <w:t>Total investment</w:t>
            </w:r>
          </w:p>
        </w:tc>
        <w:tc>
          <w:tcPr>
            <w:tcW w:type="dxa" w:w="3249"/>
            <w:vAlign w:val="center"/>
          </w:tcPr>
          <w:p>
            <w:pPr>
              <w:spacing w:line="276" w:lineRule="auto" w:before="0" w:after="0"/>
            </w:pPr>
            <w:r/>
            <w:r>
              <w:rPr>
                <w:rFonts w:ascii="Figtree" w:hAnsi="Figtree"/>
                <w:b w:val="0"/>
                <w:i w:val="0"/>
                <w:sz w:val="20"/>
              </w:rPr>
              <w:t>AUD ~250M</w:t>
            </w:r>
          </w:p>
        </w:tc>
        <w:tc>
          <w:tcPr>
            <w:tcW w:type="dxa" w:w="3249"/>
            <w:vAlign w:val="center"/>
          </w:tcPr>
          <w:p>
            <w:pPr>
              <w:spacing w:line="276" w:lineRule="auto" w:before="0" w:after="0"/>
            </w:pPr>
            <w:r/>
            <w:r>
              <w:rPr>
                <w:rFonts w:ascii="Figtree" w:hAnsi="Figtree"/>
                <w:b w:val="0"/>
                <w:i w:val="0"/>
                <w:sz w:val="20"/>
              </w:rPr>
              <w:t>AUD ~3M (Year 1 all-in)</w:t>
            </w:r>
          </w:p>
        </w:tc>
      </w:tr>
      <w:tr>
        <w:trPr>
          <w:trHeight w:val="425" w:hRule="atLeast"/>
        </w:trPr>
        <w:tc>
          <w:tcPr>
            <w:tcW w:type="dxa" w:w="3249"/>
            <w:vAlign w:val="center"/>
          </w:tcPr>
          <w:p>
            <w:pPr>
              <w:spacing w:line="276" w:lineRule="auto" w:before="0" w:after="0"/>
            </w:pPr>
            <w:r/>
            <w:r>
              <w:rPr>
                <w:rFonts w:ascii="Figtree" w:hAnsi="Figtree"/>
                <w:b w:val="0"/>
                <w:i w:val="0"/>
                <w:sz w:val="20"/>
              </w:rPr>
              <w:t>Production evidence at selection</w:t>
            </w:r>
          </w:p>
        </w:tc>
        <w:tc>
          <w:tcPr>
            <w:tcW w:type="dxa" w:w="3249"/>
            <w:vAlign w:val="center"/>
          </w:tcPr>
          <w:p>
            <w:pPr>
              <w:spacing w:line="276" w:lineRule="auto" w:before="0" w:after="0"/>
            </w:pPr>
            <w:r/>
            <w:r>
              <w:rPr>
                <w:rFonts w:ascii="Figtree" w:hAnsi="Figtree"/>
                <w:b w:val="0"/>
                <w:i w:val="0"/>
                <w:sz w:val="20"/>
              </w:rPr>
              <w:t>None (new technology)</w:t>
            </w:r>
          </w:p>
        </w:tc>
        <w:tc>
          <w:tcPr>
            <w:tcW w:type="dxa" w:w="3249"/>
            <w:vAlign w:val="center"/>
          </w:tcPr>
          <w:p>
            <w:pPr>
              <w:spacing w:line="276" w:lineRule="auto" w:before="0" w:after="0"/>
            </w:pPr>
            <w:r/>
            <w:r>
              <w:rPr>
                <w:rFonts w:ascii="Figtree" w:hAnsi="Figtree"/>
                <w:b w:val="0"/>
                <w:i w:val="0"/>
                <w:sz w:val="20"/>
              </w:rPr>
              <w:t>Clearstream, Euroclear, CBA, ANZ</w:t>
            </w:r>
          </w:p>
        </w:tc>
      </w:tr>
      <w:tr>
        <w:trPr>
          <w:trHeight w:val="425" w:hRule="atLeast"/>
        </w:trPr>
        <w:tc>
          <w:tcPr>
            <w:tcW w:type="dxa" w:w="3249"/>
            <w:vAlign w:val="center"/>
          </w:tcPr>
          <w:p>
            <w:pPr>
              <w:spacing w:line="276" w:lineRule="auto" w:before="0" w:after="0"/>
            </w:pPr>
            <w:r/>
            <w:r>
              <w:rPr>
                <w:rFonts w:ascii="Figtree" w:hAnsi="Figtree"/>
                <w:b w:val="0"/>
                <w:i w:val="0"/>
                <w:sz w:val="20"/>
              </w:rPr>
              <w:t>Pilot delivery commitment</w:t>
            </w:r>
          </w:p>
        </w:tc>
        <w:tc>
          <w:tcPr>
            <w:tcW w:type="dxa" w:w="3249"/>
            <w:vAlign w:val="center"/>
          </w:tcPr>
          <w:p>
            <w:pPr>
              <w:spacing w:line="276" w:lineRule="auto" w:before="0" w:after="0"/>
            </w:pPr>
            <w:r/>
            <w:r>
              <w:rPr>
                <w:rFonts w:ascii="Figtree" w:hAnsi="Figtree"/>
                <w:b w:val="0"/>
                <w:i w:val="0"/>
                <w:sz w:val="20"/>
              </w:rPr>
              <w:t>No phased pilot</w:t>
            </w:r>
          </w:p>
        </w:tc>
        <w:tc>
          <w:tcPr>
            <w:tcW w:type="dxa" w:w="3249"/>
            <w:vAlign w:val="center"/>
          </w:tcPr>
          <w:p>
            <w:pPr>
              <w:spacing w:line="276" w:lineRule="auto" w:before="0" w:after="0"/>
            </w:pPr>
            <w:r/>
            <w:r>
              <w:rPr>
                <w:rFonts w:ascii="Figtree" w:hAnsi="Figtree"/>
                <w:b w:val="0"/>
                <w:i w:val="0"/>
                <w:sz w:val="20"/>
              </w:rPr>
              <w:t>19-week pilot with clear acceptance criteria</w:t>
            </w:r>
          </w:p>
        </w:tc>
      </w:tr>
      <w:tr>
        <w:trPr>
          <w:trHeight w:val="425" w:hRule="atLeast"/>
        </w:trPr>
        <w:tc>
          <w:tcPr>
            <w:tcW w:type="dxa" w:w="3249"/>
            <w:vAlign w:val="center"/>
          </w:tcPr>
          <w:p>
            <w:pPr>
              <w:spacing w:line="276" w:lineRule="auto" w:before="0" w:after="0"/>
            </w:pPr>
            <w:r/>
            <w:r>
              <w:rPr>
                <w:rFonts w:ascii="Figtree" w:hAnsi="Figtree"/>
                <w:b w:val="0"/>
                <w:i w:val="0"/>
                <w:sz w:val="20"/>
              </w:rPr>
              <w:t>Technology lock-in</w:t>
            </w:r>
          </w:p>
        </w:tc>
        <w:tc>
          <w:tcPr>
            <w:tcW w:type="dxa" w:w="3249"/>
            <w:vAlign w:val="center"/>
          </w:tcPr>
          <w:p>
            <w:pPr>
              <w:spacing w:line="276" w:lineRule="auto" w:before="0" w:after="0"/>
            </w:pPr>
            <w:r/>
            <w:r>
              <w:rPr>
                <w:rFonts w:ascii="Figtree" w:hAnsi="Figtree"/>
                <w:b w:val="0"/>
                <w:i w:val="0"/>
                <w:sz w:val="20"/>
              </w:rPr>
              <w:t>Proprietary DA protocol</w:t>
            </w:r>
          </w:p>
        </w:tc>
        <w:tc>
          <w:tcPr>
            <w:tcW w:type="dxa" w:w="3249"/>
            <w:vAlign w:val="center"/>
          </w:tcPr>
          <w:p>
            <w:pPr>
              <w:spacing w:line="276" w:lineRule="auto" w:before="0" w:after="0"/>
            </w:pPr>
            <w:r/>
            <w:r>
              <w:rPr>
                <w:rFonts w:ascii="Figtree" w:hAnsi="Figtree"/>
                <w:b w:val="0"/>
                <w:i w:val="0"/>
                <w:sz w:val="20"/>
              </w:rPr>
              <w:t>Open standard (ERC-3643, Besu, ISO 20022)</w:t>
            </w:r>
          </w:p>
        </w:tc>
      </w:tr>
      <w:tr>
        <w:trPr>
          <w:trHeight w:val="425" w:hRule="atLeast"/>
        </w:trPr>
        <w:tc>
          <w:tcPr>
            <w:tcW w:type="dxa" w:w="3249"/>
            <w:vAlign w:val="center"/>
          </w:tcPr>
          <w:p>
            <w:pPr>
              <w:spacing w:line="276" w:lineRule="auto" w:before="0" w:after="0"/>
            </w:pPr>
            <w:r/>
            <w:r>
              <w:rPr>
                <w:rFonts w:ascii="Figtree" w:hAnsi="Figtree"/>
                <w:b w:val="0"/>
                <w:i w:val="0"/>
                <w:sz w:val="20"/>
              </w:rPr>
              <w:t>Exit provisions</w:t>
            </w:r>
          </w:p>
        </w:tc>
        <w:tc>
          <w:tcPr>
            <w:tcW w:type="dxa" w:w="3249"/>
            <w:vAlign w:val="center"/>
          </w:tcPr>
          <w:p>
            <w:pPr>
              <w:spacing w:line="276" w:lineRule="auto" w:before="0" w:after="0"/>
            </w:pPr>
            <w:r/>
            <w:r>
              <w:rPr>
                <w:rFonts w:ascii="Figtree" w:hAnsi="Figtree"/>
                <w:b w:val="0"/>
                <w:i w:val="0"/>
                <w:sz w:val="20"/>
              </w:rPr>
              <w:t>Complex, expensive</w:t>
            </w:r>
          </w:p>
        </w:tc>
        <w:tc>
          <w:tcPr>
            <w:tcW w:type="dxa" w:w="3249"/>
            <w:vAlign w:val="center"/>
          </w:tcPr>
          <w:p>
            <w:pPr>
              <w:spacing w:line="276" w:lineRule="auto" w:before="0" w:after="0"/>
            </w:pPr>
            <w:r/>
            <w:r>
              <w:rPr>
                <w:rFonts w:ascii="Figtree" w:hAnsi="Figtree"/>
                <w:b w:val="0"/>
                <w:i w:val="0"/>
                <w:sz w:val="20"/>
              </w:rPr>
              <w:t>90-day notice, full data export, source code escrow</w:t>
            </w:r>
          </w:p>
        </w:tc>
      </w:tr>
      <w:tr>
        <w:trPr>
          <w:trHeight w:val="425" w:hRule="atLeast"/>
        </w:trPr>
        <w:tc>
          <w:tcPr>
            <w:tcW w:type="dxa" w:w="3249"/>
            <w:vAlign w:val="center"/>
          </w:tcPr>
          <w:p>
            <w:pPr>
              <w:spacing w:line="276" w:lineRule="auto" w:before="0" w:after="0"/>
            </w:pPr>
            <w:r/>
            <w:r>
              <w:rPr>
                <w:rFonts w:ascii="Figtree" w:hAnsi="Figtree"/>
                <w:b w:val="0"/>
                <w:i w:val="0"/>
                <w:sz w:val="20"/>
              </w:rPr>
              <w:t>Regulatory acceptance</w:t>
            </w:r>
          </w:p>
        </w:tc>
        <w:tc>
          <w:tcPr>
            <w:tcW w:type="dxa" w:w="3249"/>
            <w:vAlign w:val="center"/>
          </w:tcPr>
          <w:p>
            <w:pPr>
              <w:spacing w:line="276" w:lineRule="auto" w:before="0" w:after="0"/>
            </w:pPr>
            <w:r/>
            <w:r>
              <w:rPr>
                <w:rFonts w:ascii="Figtree" w:hAnsi="Figtree"/>
                <w:b w:val="0"/>
                <w:i w:val="0"/>
                <w:sz w:val="20"/>
              </w:rPr>
              <w:t>Required ASIC engagement that exposed issues</w:t>
            </w:r>
          </w:p>
        </w:tc>
        <w:tc>
          <w:tcPr>
            <w:tcW w:type="dxa" w:w="3249"/>
            <w:vAlign w:val="center"/>
          </w:tcPr>
          <w:p>
            <w:pPr>
              <w:spacing w:line="276" w:lineRule="auto" w:before="0" w:after="0"/>
            </w:pPr>
            <w:r/>
            <w:r>
              <w:rPr>
                <w:rFonts w:ascii="Figtree" w:hAnsi="Figtree"/>
                <w:b w:val="0"/>
                <w:i w:val="0"/>
                <w:sz w:val="20"/>
              </w:rPr>
              <w:t>CBA/ANZ Australian regulatory validation available</w:t>
            </w:r>
          </w:p>
        </w:tc>
      </w:tr>
    </w:tbl>
    <w:p>
      <w:pPr>
        <w:spacing w:before="0" w:after="0" w:line="120" w:lineRule="exact"/>
      </w:pPr>
    </w:p>
    <w:p>
      <w:r>
        <w:rPr>
          <w:rFonts w:ascii="Figtree" w:hAnsi="Figtree"/>
          <w:b w:val="0"/>
          <w:i w:val="0"/>
          <w:sz w:val="22"/>
        </w:rPr>
        <w:t>The DALP programme delivers the same modernisation goal as CHESS Replacement at 1% of the cost, with production evidence, phased delivery, and robust exit provisions.</w:t>
      </w:r>
    </w:p>
    <w:p>
      <w:r>
        <w:br w:type="page"/>
      </w:r>
    </w:p>
    <w:p>
      <w:pPr>
        <w:pStyle w:val="H2"/>
        <w:numPr>
          <w:ilvl w:val="1"/>
          <w:numId w:val="1"/>
        </w:numPr>
      </w:pPr>
      <w:r>
        <w:t>4. Licensing Model</w:t>
      </w:r>
    </w:p>
    <w:p>
      <w:pPr>
        <w:pStyle w:val="H3"/>
        <w:numPr>
          <w:ilvl w:val="2"/>
          <w:numId w:val="1"/>
        </w:numPr>
      </w:pPr>
      <w:r>
        <w:t>4.1 DALP Licence for ASX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5"/>
        <w:gridCol w:w="3319"/>
        <w:gridCol w:w="30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300,000</w:t>
            </w:r>
          </w:p>
        </w:tc>
        <w:tc>
          <w:tcPr>
            <w:tcW w:type="dxa" w:w="3249"/>
            <w:vAlign w:val="center"/>
          </w:tcPr>
          <w:p>
            <w:pPr>
              <w:spacing w:line="276" w:lineRule="auto" w:before="0" w:after="0"/>
            </w:pPr>
            <w:r/>
            <w:r>
              <w:rPr>
                <w:rFonts w:ascii="Figtree" w:hAnsi="Figtree"/>
                <w:b w:val="0"/>
                <w:i w:val="0"/>
                <w:sz w:val="20"/>
              </w:rPr>
              <w:t>EUR 25,000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120,000</w:t>
            </w:r>
          </w:p>
        </w:tc>
        <w:tc>
          <w:tcPr>
            <w:tcW w:type="dxa" w:w="3249"/>
            <w:vAlign w:val="center"/>
          </w:tcPr>
          <w:p>
            <w:pPr>
              <w:spacing w:line="276" w:lineRule="auto" w:before="0" w:after="0"/>
            </w:pPr>
            <w:r/>
            <w:r>
              <w:rPr>
                <w:rFonts w:ascii="Figtree" w:hAnsi="Figtree"/>
                <w:b w:val="0"/>
                <w:i w:val="0"/>
                <w:sz w:val="20"/>
              </w:rPr>
              <w:t>EUR 10,000</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35,000</w:t>
            </w:r>
          </w:p>
        </w:tc>
      </w:tr>
    </w:tbl>
    <w:p>
      <w:pPr>
        <w:spacing w:before="0" w:after="0" w:line="120" w:lineRule="exact"/>
      </w:pPr>
    </w:p>
    <w:p>
      <w:r>
        <w:rPr>
          <w:rFonts w:ascii="Figtree" w:hAnsi="Figtree"/>
          <w:b/>
          <w:i w:val="0"/>
          <w:sz w:val="22"/>
        </w:rPr>
        <w:t>Included:</w:t>
      </w:r>
    </w:p>
    <w:p>
      <w:pPr>
        <w:pStyle w:val="ListParagraph"/>
        <w:numPr>
          <w:ilvl w:val="0"/>
          <w:numId w:val="4"/>
        </w:numPr>
      </w:pPr>
      <w:r>
        <w:rPr>
          <w:rFonts w:ascii="Figtree" w:hAnsi="Figtree"/>
          <w:b w:val="0"/>
          <w:i w:val="0"/>
          <w:sz w:val="22"/>
        </w:rPr>
        <w:t>Full 4-layer DALP platform</w:t>
      </w:r>
    </w:p>
    <w:p>
      <w:pPr>
        <w:pStyle w:val="ListParagraph"/>
        <w:numPr>
          <w:ilvl w:val="0"/>
          <w:numId w:val="4"/>
        </w:numPr>
      </w:pPr>
      <w:r>
        <w:rPr>
          <w:rFonts w:ascii="Figtree" w:hAnsi="Figtree"/>
          <w:b w:val="0"/>
          <w:i w:val="0"/>
          <w:sz w:val="22"/>
        </w:rPr>
        <w:t>XvP Settlement addon (atomic DvP)</w:t>
      </w:r>
    </w:p>
    <w:p>
      <w:pPr>
        <w:pStyle w:val="ListParagraph"/>
        <w:numPr>
          <w:ilvl w:val="0"/>
          <w:numId w:val="4"/>
        </w:numPr>
      </w:pPr>
      <w:r>
        <w:rPr>
          <w:rFonts w:ascii="Figtree" w:hAnsi="Figtree"/>
          <w:b w:val="0"/>
          <w:i w:val="0"/>
          <w:sz w:val="22"/>
        </w:rPr>
        <w:t>ISO 20022 SESE adapter (settlement instruction/confirmation)</w:t>
      </w:r>
    </w:p>
    <w:p>
      <w:pPr>
        <w:pStyle w:val="ListParagraph"/>
        <w:numPr>
          <w:ilvl w:val="0"/>
          <w:numId w:val="4"/>
        </w:numPr>
      </w:pPr>
      <w:r>
        <w:rPr>
          <w:rFonts w:ascii="Figtree" w:hAnsi="Figtree"/>
          <w:b w:val="0"/>
          <w:i w:val="0"/>
          <w:sz w:val="22"/>
        </w:rPr>
        <w:t>Enterprise support (99.99% SLA, 24/7/365)</w:t>
      </w:r>
    </w:p>
    <w:p>
      <w:pPr>
        <w:pStyle w:val="ListParagraph"/>
        <w:numPr>
          <w:ilvl w:val="0"/>
          <w:numId w:val="4"/>
        </w:numPr>
      </w:pPr>
      <w:r>
        <w:rPr>
          <w:rFonts w:ascii="Figtree" w:hAnsi="Figtree"/>
          <w:b w:val="0"/>
          <w:i w:val="0"/>
          <w:sz w:val="22"/>
        </w:rPr>
        <w:t>ASIC/APRA regulatory reporting module</w:t>
      </w:r>
    </w:p>
    <w:p>
      <w:pPr>
        <w:pStyle w:val="ListParagraph"/>
        <w:numPr>
          <w:ilvl w:val="0"/>
          <w:numId w:val="4"/>
        </w:numPr>
      </w:pPr>
      <w:r>
        <w:rPr>
          <w:rFonts w:ascii="Figtree" w:hAnsi="Figtree"/>
          <w:b w:val="0"/>
          <w:i w:val="0"/>
          <w:sz w:val="22"/>
        </w:rPr>
        <w:t>All platform updates within major version term</w:t>
      </w:r>
    </w:p>
    <w:p>
      <w:pPr>
        <w:pStyle w:val="ListParagraph"/>
        <w:numPr>
          <w:ilvl w:val="0"/>
          <w:numId w:val="4"/>
        </w:numPr>
      </w:pPr>
      <w:r>
        <w:rPr>
          <w:rFonts w:ascii="Figtree" w:hAnsi="Figtree"/>
          <w:b w:val="0"/>
          <w:i w:val="0"/>
          <w:sz w:val="22"/>
        </w:rPr>
        <w:t>Unlimited settlement volume</w:t>
      </w:r>
    </w:p>
    <w:p>
      <w:pPr>
        <w:pStyle w:val="ListParagraph"/>
        <w:numPr>
          <w:ilvl w:val="0"/>
          <w:numId w:val="4"/>
        </w:numPr>
      </w:pPr>
      <w:r>
        <w:rPr>
          <w:rFonts w:ascii="Figtree" w:hAnsi="Figtree"/>
          <w:b w:val="0"/>
          <w:i w:val="0"/>
          <w:sz w:val="22"/>
        </w:rPr>
        <w:t>Up to 50 pilot participants (Phase 1 scope)</w:t>
      </w:r>
    </w:p>
    <w:p>
      <w:r>
        <w:rPr>
          <w:rFonts w:ascii="Figtree" w:hAnsi="Figtree"/>
          <w:b/>
          <w:i w:val="0"/>
          <w:sz w:val="22"/>
        </w:rPr>
        <w:t>3-Year Price Lock:</w:t>
      </w:r>
      <w:r>
        <w:rPr>
          <w:rFonts w:ascii="Figtree" w:hAnsi="Figtree"/>
          <w:b w:val="0"/>
          <w:i w:val="0"/>
          <w:sz w:val="22"/>
        </w:rPr>
        <w:t xml:space="preserve"> EUR 420,000/year fixed for 3 years. Post-term: EU HICP-indexed adjustment.</w:t>
      </w:r>
    </w:p>
    <w:p>
      <w:r>
        <w:br w:type="page"/>
      </w:r>
    </w:p>
    <w:p>
      <w:pPr>
        <w:pStyle w:val="H2"/>
        <w:numPr>
          <w:ilvl w:val="1"/>
          <w:numId w:val="1"/>
        </w:numPr>
      </w:pPr>
      <w:r>
        <w:t>5. Deployment Options and Pricing</w:t>
      </w:r>
    </w:p>
    <w:p>
      <w:pPr>
        <w:pStyle w:val="H3"/>
        <w:numPr>
          <w:ilvl w:val="2"/>
          <w:numId w:val="1"/>
        </w:numPr>
      </w:pPr>
      <w:r>
        <w:t>5.1 AWS Sydney (ap-southeast-2) Dedicated Cloud</w:t>
      </w:r>
    </w:p>
    <w:p>
      <w:r>
        <w:rPr>
          <w:rFonts w:ascii="Figtree" w:hAnsi="Figtree"/>
          <w:b w:val="0"/>
          <w:i w:val="0"/>
          <w:sz w:val="22"/>
        </w:rPr>
        <w:t>DALP is deployed in a dedicated cloud environment under ASX's AWS account in the Sydney region (ap-southeast-2). This satisfies APRA's data residency requirements: all data remains in Australia, and ASX has full control over the AWS infrastructure.</w:t>
      </w:r>
    </w:p>
    <w:p>
      <w:r>
        <w:rPr>
          <w:rFonts w:ascii="Figtree" w:hAnsi="Figtree"/>
          <w:b/>
          <w:i w:val="0"/>
          <w:sz w:val="22"/>
        </w:rPr>
        <w:t>Infrastructure Costs (ASX AWS Responsibility):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44"/>
        <w:gridCol w:w="382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AWS Cost</w:t>
            </w:r>
          </w:p>
        </w:tc>
      </w:tr>
      <w:tr>
        <w:trPr>
          <w:trHeight w:val="425" w:hRule="atLeast"/>
        </w:trPr>
        <w:tc>
          <w:tcPr>
            <w:tcW w:type="dxa" w:w="4873"/>
            <w:vAlign w:val="center"/>
          </w:tcPr>
          <w:p>
            <w:pPr>
              <w:spacing w:line="276" w:lineRule="auto" w:before="0" w:after="0"/>
            </w:pPr>
            <w:r/>
            <w:r>
              <w:rPr>
                <w:rFonts w:ascii="Figtree" w:hAnsi="Figtree"/>
                <w:b w:val="0"/>
                <w:i w:val="0"/>
                <w:sz w:val="20"/>
              </w:rPr>
              <w:t>EC2 compute (4 Besu nodes + services)</w:t>
            </w:r>
          </w:p>
        </w:tc>
        <w:tc>
          <w:tcPr>
            <w:tcW w:type="dxa" w:w="4873"/>
            <w:vAlign w:val="center"/>
          </w:tcPr>
          <w:p>
            <w:pPr>
              <w:spacing w:line="276" w:lineRule="auto" w:before="0" w:after="0"/>
            </w:pPr>
            <w:r/>
            <w:r>
              <w:rPr>
                <w:rFonts w:ascii="Figtree" w:hAnsi="Figtree"/>
                <w:b w:val="0"/>
                <w:i w:val="0"/>
                <w:sz w:val="20"/>
              </w:rPr>
              <w:t>AUD 8,000-15,000/month</w:t>
            </w:r>
          </w:p>
        </w:tc>
      </w:tr>
      <w:tr>
        <w:trPr>
          <w:trHeight w:val="425" w:hRule="atLeast"/>
        </w:trPr>
        <w:tc>
          <w:tcPr>
            <w:tcW w:type="dxa" w:w="4873"/>
            <w:vAlign w:val="center"/>
          </w:tcPr>
          <w:p>
            <w:pPr>
              <w:spacing w:line="276" w:lineRule="auto" w:before="0" w:after="0"/>
            </w:pPr>
            <w:r/>
            <w:r>
              <w:rPr>
                <w:rFonts w:ascii="Figtree" w:hAnsi="Figtree"/>
                <w:b w:val="0"/>
                <w:i w:val="0"/>
                <w:sz w:val="20"/>
              </w:rPr>
              <w:t>AWS CloudHSM</w:t>
            </w:r>
          </w:p>
        </w:tc>
        <w:tc>
          <w:tcPr>
            <w:tcW w:type="dxa" w:w="4873"/>
            <w:vAlign w:val="center"/>
          </w:tcPr>
          <w:p>
            <w:pPr>
              <w:spacing w:line="276" w:lineRule="auto" w:before="0" w:after="0"/>
            </w:pPr>
            <w:r/>
            <w:r>
              <w:rPr>
                <w:rFonts w:ascii="Figtree" w:hAnsi="Figtree"/>
                <w:b w:val="0"/>
                <w:i w:val="0"/>
                <w:sz w:val="20"/>
              </w:rPr>
              <w:t>AUD 4,000-6,000/month</w:t>
            </w:r>
          </w:p>
        </w:tc>
      </w:tr>
      <w:tr>
        <w:trPr>
          <w:trHeight w:val="425" w:hRule="atLeast"/>
        </w:trPr>
        <w:tc>
          <w:tcPr>
            <w:tcW w:type="dxa" w:w="4873"/>
            <w:vAlign w:val="center"/>
          </w:tcPr>
          <w:p>
            <w:pPr>
              <w:spacing w:line="276" w:lineRule="auto" w:before="0" w:after="0"/>
            </w:pPr>
            <w:r/>
            <w:r>
              <w:rPr>
                <w:rFonts w:ascii="Figtree" w:hAnsi="Figtree"/>
                <w:b w:val="0"/>
                <w:i w:val="0"/>
                <w:sz w:val="20"/>
              </w:rPr>
              <w:t>RDS PostgreSQL (Multi-AZ)</w:t>
            </w:r>
          </w:p>
        </w:tc>
        <w:tc>
          <w:tcPr>
            <w:tcW w:type="dxa" w:w="4873"/>
            <w:vAlign w:val="center"/>
          </w:tcPr>
          <w:p>
            <w:pPr>
              <w:spacing w:line="276" w:lineRule="auto" w:before="0" w:after="0"/>
            </w:pPr>
            <w:r/>
            <w:r>
              <w:rPr>
                <w:rFonts w:ascii="Figtree" w:hAnsi="Figtree"/>
                <w:b w:val="0"/>
                <w:i w:val="0"/>
                <w:sz w:val="20"/>
              </w:rPr>
              <w:t>AUD 2,000-4,000/month</w:t>
            </w:r>
          </w:p>
        </w:tc>
      </w:tr>
      <w:tr>
        <w:trPr>
          <w:trHeight w:val="425" w:hRule="atLeast"/>
        </w:trPr>
        <w:tc>
          <w:tcPr>
            <w:tcW w:type="dxa" w:w="4873"/>
            <w:vAlign w:val="center"/>
          </w:tcPr>
          <w:p>
            <w:pPr>
              <w:spacing w:line="276" w:lineRule="auto" w:before="0" w:after="0"/>
            </w:pPr>
            <w:r/>
            <w:r>
              <w:rPr>
                <w:rFonts w:ascii="Figtree" w:hAnsi="Figtree"/>
                <w:b w:val="0"/>
                <w:i w:val="0"/>
                <w:sz w:val="20"/>
              </w:rPr>
              <w:t>Data transfer + networking</w:t>
            </w:r>
          </w:p>
        </w:tc>
        <w:tc>
          <w:tcPr>
            <w:tcW w:type="dxa" w:w="4873"/>
            <w:vAlign w:val="center"/>
          </w:tcPr>
          <w:p>
            <w:pPr>
              <w:spacing w:line="276" w:lineRule="auto" w:before="0" w:after="0"/>
            </w:pPr>
            <w:r/>
            <w:r>
              <w:rPr>
                <w:rFonts w:ascii="Figtree" w:hAnsi="Figtree"/>
                <w:b w:val="0"/>
                <w:i w:val="0"/>
                <w:sz w:val="20"/>
              </w:rPr>
              <w:t>AUD 1,000-2,000/month</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w:t>
            </w:r>
          </w:p>
        </w:tc>
        <w:tc>
          <w:tcPr>
            <w:tcW w:type="dxa" w:w="4873"/>
            <w:vAlign w:val="center"/>
          </w:tcPr>
          <w:p>
            <w:pPr>
              <w:spacing w:line="276" w:lineRule="auto" w:before="0" w:after="0"/>
            </w:pPr>
            <w:r/>
            <w:r>
              <w:rPr>
                <w:rFonts w:ascii="Figtree" w:hAnsi="Figtree"/>
                <w:b/>
                <w:i w:val="0"/>
                <w:sz w:val="20"/>
              </w:rPr>
              <w:t>AUD 15,000-27,000/month</w:t>
            </w:r>
          </w:p>
        </w:tc>
      </w:tr>
    </w:tbl>
    <w:p>
      <w:pPr>
        <w:spacing w:before="0" w:after="0" w:line="120" w:lineRule="exact"/>
      </w:pPr>
    </w:p>
    <w:p>
      <w:r>
        <w:rPr>
          <w:rFonts w:ascii="Figtree" w:hAnsi="Figtree"/>
          <w:b/>
          <w:i w:val="0"/>
          <w:sz w:val="22"/>
        </w:rPr>
        <w:t>Annual Infrastructure Cost:</w:t>
      </w:r>
      <w:r>
        <w:rPr>
          <w:rFonts w:ascii="Figtree" w:hAnsi="Figtree"/>
          <w:b w:val="0"/>
          <w:i w:val="0"/>
          <w:sz w:val="22"/>
        </w:rPr>
        <w:t xml:space="preserve"> AUD 180,000-324,000 (within ASX's existing AWS enterprise agreement).</w:t>
      </w:r>
    </w:p>
    <w:p>
      <w:pPr>
        <w:pStyle w:val="H3"/>
        <w:numPr>
          <w:ilvl w:val="2"/>
          <w:numId w:val="1"/>
        </w:numPr>
      </w:pPr>
      <w:r>
        <w:t>5.2 On-Premises Alternative</w:t>
      </w:r>
    </w:p>
    <w:p>
      <w:r>
        <w:rPr>
          <w:rFonts w:ascii="Figtree" w:hAnsi="Figtree"/>
          <w:b w:val="0"/>
          <w:i w:val="0"/>
          <w:sz w:val="22"/>
        </w:rPr>
        <w:t>For ASX's own data center deployment (avoiding cloud infrastructure costs):</w:t>
      </w:r>
    </w:p>
    <w:p>
      <w:r>
        <w:rPr>
          <w:rFonts w:ascii="Figtree" w:hAnsi="Figtree"/>
          <w:b w:val="0"/>
          <w:i w:val="0"/>
          <w:sz w:val="22"/>
        </w:rPr>
        <w:t>On-premises hardware costs (one-time): AUD 200,000-350,000 capital expenditure.</w:t>
      </w:r>
    </w:p>
    <w:p>
      <w:r>
        <w:rPr>
          <w:rFonts w:ascii="Figtree" w:hAnsi="Figtree"/>
          <w:b w:val="0"/>
          <w:i w:val="0"/>
          <w:sz w:val="22"/>
        </w:rPr>
        <w:t>On-premises operating costs: AUD 50,000-100,000/year (power, cooling, space, maintenance).</w:t>
      </w:r>
    </w:p>
    <w:p>
      <w:r>
        <w:rPr>
          <w:rFonts w:ascii="Figtree" w:hAnsi="Figtree"/>
          <w:b w:val="0"/>
          <w:i w:val="0"/>
          <w:sz w:val="22"/>
        </w:rPr>
        <w:t>AWS Sydney deployment is recommended for: faster provisioning, pay-per-use infrastructure cost, AWS's built-in resilience (Multi-AZ), and alignment with APRA's guidance on cloud services for financial market infrastructure.</w:t>
      </w:r>
    </w:p>
    <w:p>
      <w:r>
        <w:br w:type="page"/>
      </w:r>
    </w:p>
    <w:p>
      <w:pPr>
        <w:pStyle w:val="H2"/>
        <w:numPr>
          <w:ilvl w:val="1"/>
          <w:numId w:val="1"/>
        </w:numPr>
      </w:pPr>
      <w:r>
        <w:t>6. Support and SLA Framework</w:t>
      </w:r>
    </w:p>
    <w:p>
      <w:pPr>
        <w:pStyle w:val="H3"/>
        <w:numPr>
          <w:ilvl w:val="2"/>
          <w:numId w:val="1"/>
        </w:numPr>
      </w:pPr>
      <w:r>
        <w:t>6.1 Enterprise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85"/>
        <w:gridCol w:w="328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AEST Business Hours Dedicated</w:t>
            </w:r>
          </w:p>
        </w:tc>
        <w:tc>
          <w:tcPr>
            <w:tcW w:type="dxa" w:w="4873"/>
            <w:vAlign w:val="center"/>
          </w:tcPr>
          <w:p>
            <w:pPr>
              <w:spacing w:line="276" w:lineRule="auto" w:before="0" w:after="0"/>
            </w:pPr>
            <w:r/>
            <w:r>
              <w:rPr>
                <w:rFonts w:ascii="Figtree" w:hAnsi="Figtree"/>
                <w:b w:val="0"/>
                <w:i w:val="0"/>
                <w:sz w:val="20"/>
              </w:rPr>
              <w:t>Yes (APAC team)</w:t>
            </w:r>
          </w:p>
        </w:tc>
      </w:tr>
    </w:tbl>
    <w:p>
      <w:pPr>
        <w:spacing w:before="0" w:after="0" w:line="120" w:lineRule="exact"/>
      </w:pPr>
    </w:p>
    <w:p>
      <w:r>
        <w:rPr>
          <w:rFonts w:ascii="Figtree" w:hAnsi="Figtree"/>
          <w:b w:val="0"/>
          <w:i w:val="0"/>
          <w:sz w:val="22"/>
        </w:rPr>
        <w:t>P1 criteria for ASX: settlement platform unavailable during trading hours (09:00-17:00 AEST), XvP settlement failures affecting multiple participants, ASIC reporting system failure, broker-dealer API unavailability.</w:t>
      </w:r>
    </w:p>
    <w:p>
      <w:r>
        <w:rPr>
          <w:rFonts w:ascii="Figtree" w:hAnsi="Figtree"/>
          <w:b/>
          <w:i w:val="0"/>
          <w:sz w:val="22"/>
        </w:rPr>
        <w:t>AEST Support Coverage:</w:t>
      </w:r>
      <w:r>
        <w:rPr>
          <w:rFonts w:ascii="Figtree" w:hAnsi="Figtree"/>
          <w:b w:val="0"/>
          <w:i w:val="0"/>
          <w:sz w:val="22"/>
        </w:rPr>
        <w:t xml:space="preserve"> SettleMint's APAC team provides primary support during Australian business hours (AEST 09:00-17:00), with the 24/7 on-call engineering team covering after-hours P1 incidents.</w:t>
      </w:r>
    </w:p>
    <w:p>
      <w:pPr>
        <w:pStyle w:val="H3"/>
        <w:numPr>
          <w:ilvl w:val="2"/>
          <w:numId w:val="1"/>
        </w:numPr>
      </w:pPr>
      <w:r>
        <w:t>6.2 Maintenance Windows</w:t>
      </w:r>
    </w:p>
    <w:p>
      <w:r>
        <w:rPr>
          <w:rFonts w:ascii="Figtree" w:hAnsi="Figtree"/>
          <w:b w:val="0"/>
          <w:i w:val="0"/>
          <w:sz w:val="22"/>
        </w:rPr>
        <w:t>Scheduled maintenance: Saturday 22:00-02:00 AEST (after market close, before Asian market open). Maximum 4 hours/month. 72-hour advance notice.</w:t>
      </w:r>
    </w:p>
    <w:p>
      <w:pPr>
        <w:pStyle w:val="H3"/>
        <w:numPr>
          <w:ilvl w:val="2"/>
          <w:numId w:val="1"/>
        </w:numPr>
      </w:pPr>
      <w:r>
        <w:t>6.3 SLA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12"/>
        <w:gridCol w:w="48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99.95%-99.99%</w:t>
            </w:r>
          </w:p>
        </w:tc>
        <w:tc>
          <w:tcPr>
            <w:tcW w:type="dxa" w:w="4873"/>
            <w:vAlign w:val="center"/>
          </w:tcPr>
          <w:p>
            <w:pPr>
              <w:spacing w:line="276" w:lineRule="auto" w:before="0" w:after="0"/>
            </w:pPr>
            <w:r/>
            <w:r>
              <w:rPr>
                <w:rFonts w:ascii="Figtree" w:hAnsi="Figtree"/>
                <w:b w:val="0"/>
                <w:i w:val="0"/>
                <w:sz w:val="20"/>
              </w:rPr>
              <w:t>10% monthly fee</w:t>
            </w:r>
          </w:p>
        </w:tc>
      </w:tr>
      <w:tr>
        <w:trPr>
          <w:trHeight w:val="425" w:hRule="atLeast"/>
        </w:trPr>
        <w:tc>
          <w:tcPr>
            <w:tcW w:type="dxa" w:w="4873"/>
            <w:vAlign w:val="center"/>
          </w:tcPr>
          <w:p>
            <w:pPr>
              <w:spacing w:line="276" w:lineRule="auto" w:before="0" w:after="0"/>
            </w:pPr>
            <w:r/>
            <w:r>
              <w:rPr>
                <w:rFonts w:ascii="Figtree" w:hAnsi="Figtree"/>
                <w:b w:val="0"/>
                <w:i w:val="0"/>
                <w:sz w:val="20"/>
              </w:rPr>
              <w:t>99.50%-99.95%</w:t>
            </w:r>
          </w:p>
        </w:tc>
        <w:tc>
          <w:tcPr>
            <w:tcW w:type="dxa" w:w="4873"/>
            <w:vAlign w:val="center"/>
          </w:tcPr>
          <w:p>
            <w:pPr>
              <w:spacing w:line="276" w:lineRule="auto" w:before="0" w:after="0"/>
            </w:pPr>
            <w:r/>
            <w:r>
              <w:rPr>
                <w:rFonts w:ascii="Figtree" w:hAnsi="Figtree"/>
                <w:b w:val="0"/>
                <w:i w:val="0"/>
                <w:sz w:val="20"/>
              </w:rPr>
              <w:t>25% monthly fee</w:t>
            </w:r>
          </w:p>
        </w:tc>
      </w:tr>
      <w:tr>
        <w:trPr>
          <w:trHeight w:val="425" w:hRule="atLeast"/>
        </w:trPr>
        <w:tc>
          <w:tcPr>
            <w:tcW w:type="dxa" w:w="4873"/>
            <w:vAlign w:val="center"/>
          </w:tcPr>
          <w:p>
            <w:pPr>
              <w:spacing w:line="276" w:lineRule="auto" w:before="0" w:after="0"/>
            </w:pPr>
            <w:r/>
            <w:r>
              <w:rPr>
                <w:rFonts w:ascii="Figtree" w:hAnsi="Figtree"/>
                <w:b w:val="0"/>
                <w:i w:val="0"/>
                <w:sz w:val="20"/>
              </w:rPr>
              <w:t>&lt; 99.50%</w:t>
            </w:r>
          </w:p>
        </w:tc>
        <w:tc>
          <w:tcPr>
            <w:tcW w:type="dxa" w:w="4873"/>
            <w:vAlign w:val="center"/>
          </w:tcPr>
          <w:p>
            <w:pPr>
              <w:spacing w:line="276" w:lineRule="auto" w:before="0" w:after="0"/>
            </w:pPr>
            <w:r/>
            <w:r>
              <w:rPr>
                <w:rFonts w:ascii="Figtree" w:hAnsi="Figtree"/>
                <w:b w:val="0"/>
                <w:i w:val="0"/>
                <w:sz w:val="20"/>
              </w:rPr>
              <w:t>50% monthly fee</w:t>
            </w:r>
          </w:p>
        </w:tc>
      </w:tr>
    </w:tbl>
    <w:p>
      <w:pPr>
        <w:spacing w:before="0" w:after="0" w:line="120" w:lineRule="exact"/>
      </w:pPr>
    </w:p>
    <w:p>
      <w:r>
        <w:br w:type="page"/>
      </w:r>
    </w:p>
    <w:p>
      <w:pPr>
        <w:pStyle w:val="H2"/>
        <w:numPr>
          <w:ilvl w:val="1"/>
          <w:numId w:val="1"/>
        </w:numPr>
      </w:pPr>
      <w:r>
        <w:t>7. Implementation Investment</w:t>
      </w:r>
    </w:p>
    <w:p>
      <w:pPr>
        <w:pStyle w:val="H3"/>
        <w:numPr>
          <w:ilvl w:val="2"/>
          <w:numId w:val="1"/>
        </w:numPr>
      </w:pPr>
      <w:r>
        <w:t>7.1 Implementation Fee: EUR 550,000</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1"/>
        <w:gridCol w:w="5474"/>
        <w:gridCol w:w="729"/>
        <w:gridCol w:w="9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Requirements, ASIC/RBA/APRA review, ADI partnership</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60,000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AWS Sydney setup, HSM, Besu network</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85,000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AGB token, AUD token (ADI), XvP settlement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110,000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ISO 20022 SESE adapter, ASIC/APRA reporting, UAT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130,000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Pilot launch (5 → 15 participants), ASIC notification,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EUR 165,000</w:t>
            </w:r>
          </w:p>
        </w:tc>
      </w:tr>
    </w:tbl>
    <w:p>
      <w:pPr>
        <w:spacing w:before="0" w:after="0" w:line="120" w:lineRule="exact"/>
      </w:pPr>
    </w:p>
    <w:p>
      <w:pPr>
        <w:pStyle w:val="H3"/>
        <w:numPr>
          <w:ilvl w:val="2"/>
          <w:numId w:val="1"/>
        </w:numPr>
      </w:pPr>
      <w:r>
        <w:t>7.2 Milestone Payments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98"/>
        <w:gridCol w:w="46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Signing</w:t>
            </w:r>
          </w:p>
        </w:tc>
        <w:tc>
          <w:tcPr>
            <w:tcW w:type="dxa" w:w="4873"/>
            <w:vAlign w:val="center"/>
          </w:tcPr>
          <w:p>
            <w:pPr>
              <w:spacing w:line="276" w:lineRule="auto" w:before="0" w:after="0"/>
            </w:pPr>
            <w:r/>
            <w:r>
              <w:rPr>
                <w:rFonts w:ascii="Figtree" w:hAnsi="Figtree"/>
                <w:b w:val="0"/>
                <w:i w:val="0"/>
                <w:sz w:val="20"/>
              </w:rPr>
              <w:t>EUR 110,000 (20%)</w:t>
            </w:r>
          </w:p>
        </w:tc>
      </w:tr>
      <w:tr>
        <w:trPr>
          <w:trHeight w:val="425" w:hRule="atLeast"/>
        </w:trPr>
        <w:tc>
          <w:tcPr>
            <w:tcW w:type="dxa" w:w="4873"/>
            <w:vAlign w:val="center"/>
          </w:tcPr>
          <w:p>
            <w:pPr>
              <w:spacing w:line="276" w:lineRule="auto" w:before="0" w:after="0"/>
            </w:pPr>
            <w:r/>
            <w:r>
              <w:rPr>
                <w:rFonts w:ascii="Figtree" w:hAnsi="Figtree"/>
                <w:b w:val="0"/>
                <w:i w:val="0"/>
                <w:sz w:val="20"/>
              </w:rPr>
              <w:t>Phase 2 Complete</w:t>
            </w:r>
          </w:p>
        </w:tc>
        <w:tc>
          <w:tcPr>
            <w:tcW w:type="dxa" w:w="4873"/>
            <w:vAlign w:val="center"/>
          </w:tcPr>
          <w:p>
            <w:pPr>
              <w:spacing w:line="276" w:lineRule="auto" w:before="0" w:after="0"/>
            </w:pPr>
            <w:r/>
            <w:r>
              <w:rPr>
                <w:rFonts w:ascii="Figtree" w:hAnsi="Figtree"/>
                <w:b w:val="0"/>
                <w:i w:val="0"/>
                <w:sz w:val="20"/>
              </w:rPr>
              <w:t>EUR 110,000 (20%)</w:t>
            </w:r>
          </w:p>
        </w:tc>
      </w:tr>
      <w:tr>
        <w:trPr>
          <w:trHeight w:val="425" w:hRule="atLeast"/>
        </w:trPr>
        <w:tc>
          <w:tcPr>
            <w:tcW w:type="dxa" w:w="4873"/>
            <w:vAlign w:val="center"/>
          </w:tcPr>
          <w:p>
            <w:pPr>
              <w:spacing w:line="276" w:lineRule="auto" w:before="0" w:after="0"/>
            </w:pPr>
            <w:r/>
            <w:r>
              <w:rPr>
                <w:rFonts w:ascii="Figtree" w:hAnsi="Figtree"/>
                <w:b w:val="0"/>
                <w:i w:val="0"/>
                <w:sz w:val="20"/>
              </w:rPr>
              <w:t>Phase 3 Complete</w:t>
            </w:r>
          </w:p>
        </w:tc>
        <w:tc>
          <w:tcPr>
            <w:tcW w:type="dxa" w:w="4873"/>
            <w:vAlign w:val="center"/>
          </w:tcPr>
          <w:p>
            <w:pPr>
              <w:spacing w:line="276" w:lineRule="auto" w:before="0" w:after="0"/>
            </w:pPr>
            <w:r/>
            <w:r>
              <w:rPr>
                <w:rFonts w:ascii="Figtree" w:hAnsi="Figtree"/>
                <w:b w:val="0"/>
                <w:i w:val="0"/>
                <w:sz w:val="20"/>
              </w:rPr>
              <w:t>EUR 137,500 (25%)</w:t>
            </w:r>
          </w:p>
        </w:tc>
      </w:tr>
      <w:tr>
        <w:trPr>
          <w:trHeight w:val="425" w:hRule="atLeast"/>
        </w:trPr>
        <w:tc>
          <w:tcPr>
            <w:tcW w:type="dxa" w:w="4873"/>
            <w:vAlign w:val="center"/>
          </w:tcPr>
          <w:p>
            <w:pPr>
              <w:spacing w:line="276" w:lineRule="auto" w:before="0" w:after="0"/>
            </w:pPr>
            <w:r/>
            <w:r>
              <w:rPr>
                <w:rFonts w:ascii="Figtree" w:hAnsi="Figtree"/>
                <w:b w:val="0"/>
                <w:i w:val="0"/>
                <w:sz w:val="20"/>
              </w:rPr>
              <w:t>Phase 4 Complete</w:t>
            </w:r>
          </w:p>
        </w:tc>
        <w:tc>
          <w:tcPr>
            <w:tcW w:type="dxa" w:w="4873"/>
            <w:vAlign w:val="center"/>
          </w:tcPr>
          <w:p>
            <w:pPr>
              <w:spacing w:line="276" w:lineRule="auto" w:before="0" w:after="0"/>
            </w:pPr>
            <w:r/>
            <w:r>
              <w:rPr>
                <w:rFonts w:ascii="Figtree" w:hAnsi="Figtree"/>
                <w:b w:val="0"/>
                <w:i w:val="0"/>
                <w:sz w:val="20"/>
              </w:rPr>
              <w:t>EUR 137,500 (25%)</w:t>
            </w:r>
          </w:p>
        </w:tc>
      </w:tr>
      <w:tr>
        <w:trPr>
          <w:trHeight w:val="425" w:hRule="atLeast"/>
        </w:trPr>
        <w:tc>
          <w:tcPr>
            <w:tcW w:type="dxa" w:w="4873"/>
            <w:vAlign w:val="center"/>
          </w:tcPr>
          <w:p>
            <w:pPr>
              <w:spacing w:line="276" w:lineRule="auto" w:before="0" w:after="0"/>
            </w:pPr>
            <w:r/>
            <w:r>
              <w:rPr>
                <w:rFonts w:ascii="Figtree" w:hAnsi="Figtree"/>
                <w:b w:val="0"/>
                <w:i w:val="0"/>
                <w:sz w:val="20"/>
              </w:rPr>
              <w:t>Go-Live</w:t>
            </w:r>
          </w:p>
        </w:tc>
        <w:tc>
          <w:tcPr>
            <w:tcW w:type="dxa" w:w="4873"/>
            <w:vAlign w:val="center"/>
          </w:tcPr>
          <w:p>
            <w:pPr>
              <w:spacing w:line="276" w:lineRule="auto" w:before="0" w:after="0"/>
            </w:pPr>
            <w:r/>
            <w:r>
              <w:rPr>
                <w:rFonts w:ascii="Figtree" w:hAnsi="Figtree"/>
                <w:b w:val="0"/>
                <w:i w:val="0"/>
                <w:sz w:val="20"/>
              </w:rPr>
              <w:t>EUR 55,000 (10%)</w:t>
            </w:r>
          </w:p>
        </w:tc>
      </w:tr>
    </w:tbl>
    <w:p>
      <w:pPr>
        <w:spacing w:before="0" w:after="0" w:line="120" w:lineRule="exact"/>
      </w:pPr>
    </w:p>
    <w:p>
      <w:pPr>
        <w:pStyle w:val="H3"/>
        <w:numPr>
          <w:ilvl w:val="2"/>
          <w:numId w:val="1"/>
        </w:numPr>
      </w:pPr>
      <w:r>
        <w:t>7.3 ADI Partnership Costs</w:t>
      </w:r>
    </w:p>
    <w:p>
      <w:r>
        <w:rPr>
          <w:rFonts w:ascii="Figtree" w:hAnsi="Figtree"/>
          <w:b w:val="0"/>
          <w:i w:val="0"/>
          <w:sz w:val="22"/>
        </w:rPr>
        <w:t>The ADI (CBA or ANZ) incurs its own costs for integrating with DALP's AUD token issuance capability. These costs are not included in SettleMint's implementation fee; they are the ADI's own commercial decision. Based on comparable integrations, SettleMint estimates ADI integration costs at AUD 100,000-300,000 (ADI's internal engineering work). CBA and ANZ are both existing DALP clients, which significantly reduces their integration time and cost.</w:t>
      </w:r>
    </w:p>
    <w:p>
      <w:r>
        <w:br w:type="page"/>
      </w:r>
    </w:p>
    <w:p>
      <w:pPr>
        <w:pStyle w:val="H2"/>
        <w:numPr>
          <w:ilvl w:val="1"/>
          <w:numId w:val="1"/>
        </w:numPr>
      </w:pPr>
      <w:r>
        <w:t>8. Commercial Terms</w:t>
      </w:r>
    </w:p>
    <w:p>
      <w:pPr>
        <w:pStyle w:val="H3"/>
        <w:numPr>
          <w:ilvl w:val="2"/>
          <w:numId w:val="1"/>
        </w:numPr>
      </w:pPr>
      <w:r>
        <w:t>8.1 Key Commercial Terms</w:t>
      </w:r>
    </w:p>
    <w:p>
      <w:r>
        <w:rPr>
          <w:rFonts w:ascii="Figtree" w:hAnsi="Figtree"/>
          <w:b/>
          <w:i w:val="0"/>
          <w:sz w:val="22"/>
        </w:rPr>
        <w:t>Governing Law:</w:t>
      </w:r>
      <w:r>
        <w:rPr>
          <w:rFonts w:ascii="Figtree" w:hAnsi="Figtree"/>
          <w:b w:val="0"/>
          <w:i w:val="0"/>
          <w:sz w:val="22"/>
        </w:rPr>
        <w:t xml:space="preserve"> Australian law (New South Wales) — appropriate given ASX's Australian domicile and the programme's regulatory context.</w:t>
      </w:r>
    </w:p>
    <w:p>
      <w:r>
        <w:rPr>
          <w:rFonts w:ascii="Figtree" w:hAnsi="Figtree"/>
          <w:b/>
          <w:i w:val="0"/>
          <w:sz w:val="22"/>
        </w:rPr>
        <w:t>Dispute Resolution:</w:t>
      </w:r>
      <w:r>
        <w:rPr>
          <w:rFonts w:ascii="Figtree" w:hAnsi="Figtree"/>
          <w:b w:val="0"/>
          <w:i w:val="0"/>
          <w:sz w:val="22"/>
        </w:rPr>
        <w:t xml:space="preserve"> Commercial arbitration under ACICA Rules, Sydney seat. For disputes &gt; AUD 1M: 3 arbitrators; for smaller disputes: 1 arbitrator.</w:t>
      </w:r>
    </w:p>
    <w:p>
      <w:r>
        <w:rPr>
          <w:rFonts w:ascii="Figtree" w:hAnsi="Figtree"/>
          <w:b/>
          <w:i w:val="0"/>
          <w:sz w:val="22"/>
        </w:rPr>
        <w:t>Liability Cap:</w:t>
      </w:r>
      <w:r>
        <w:rPr>
          <w:rFonts w:ascii="Figtree" w:hAnsi="Figtree"/>
          <w:b w:val="0"/>
          <w:i w:val="0"/>
          <w:sz w:val="22"/>
        </w:rPr>
        <w:t xml:space="preserve"> 12 months of licence fees (EUR 420,000, approximately AUD 700,000). Note: ASX's own prudential exposure from settlement failures exceeds this amount; settlement failure risk is managed by the XvP atomic mechanism (no partial settlement), not transferred to SettleMint.</w:t>
      </w:r>
    </w:p>
    <w:p>
      <w:r>
        <w:rPr>
          <w:rFonts w:ascii="Figtree" w:hAnsi="Figtree"/>
          <w:b/>
          <w:i w:val="0"/>
          <w:sz w:val="22"/>
        </w:rPr>
        <w:t>Force Majeure:</w:t>
      </w:r>
      <w:r>
        <w:rPr>
          <w:rFonts w:ascii="Figtree" w:hAnsi="Figtree"/>
          <w:b w:val="0"/>
          <w:i w:val="0"/>
          <w:sz w:val="22"/>
        </w:rPr>
        <w:t xml:space="preserve"> Standard commercial provisions including regulatory prohibition of the contracted service. Note: if ASIC issues a stop-order on the tokenized settlement programme, force majeure applies to SettleMint's obligations. If ASIC delays (not prohibits) the programme, force majeure does not apply; SettleMint continues delivering.</w:t>
      </w:r>
    </w:p>
    <w:p>
      <w:r>
        <w:rPr>
          <w:rFonts w:ascii="Figtree" w:hAnsi="Figtree"/>
          <w:b/>
          <w:i w:val="0"/>
          <w:sz w:val="22"/>
        </w:rPr>
        <w:t>Change of Control:</w:t>
      </w:r>
      <w:r>
        <w:rPr>
          <w:rFonts w:ascii="Figtree" w:hAnsi="Figtree"/>
          <w:b w:val="0"/>
          <w:i w:val="0"/>
          <w:sz w:val="22"/>
        </w:rPr>
        <w:t xml:space="preserve"> 10-day notification. ASX may terminate with 90-day notice if SettleMint is acquired by an entity ASX reasonably considers a conflict of interest (e.g., a competitor exchange technology provider).</w:t>
      </w:r>
    </w:p>
    <w:p>
      <w:r>
        <w:rPr>
          <w:rFonts w:ascii="Figtree" w:hAnsi="Figtree"/>
          <w:b/>
          <w:i w:val="0"/>
          <w:sz w:val="22"/>
        </w:rPr>
        <w:t>Source Code Escrow:</w:t>
      </w:r>
      <w:r>
        <w:rPr>
          <w:rFonts w:ascii="Figtree" w:hAnsi="Figtree"/>
          <w:b w:val="0"/>
          <w:i w:val="0"/>
          <w:sz w:val="22"/>
        </w:rPr>
        <w:t xml:space="preserve"> Included. Release conditions: SettleMint insolvency, DALP product cessation, or uncured material breach (60 days).</w:t>
      </w:r>
    </w:p>
    <w:p>
      <w:r>
        <w:rPr>
          <w:rFonts w:ascii="Figtree" w:hAnsi="Figtree"/>
          <w:b/>
          <w:i w:val="0"/>
          <w:sz w:val="22"/>
        </w:rPr>
        <w:t>ASIC/APRA Regulatory Cooperation:</w:t>
      </w:r>
      <w:r>
        <w:rPr>
          <w:rFonts w:ascii="Figtree" w:hAnsi="Figtree"/>
          <w:b w:val="0"/>
          <w:i w:val="0"/>
          <w:sz w:val="22"/>
        </w:rPr>
        <w:t xml:space="preserve"> SettleMint will cooperate with ASIC and APRA as required for ASX's regulatory compliance. This includes: providing technical documentation for regulatory submissions, making SettleMint technical staff available for ASIC/APRA technical briefings (up to 5 person-days per year at no additional charge), and notifying ASX of any material changes to DALP's architecture or security posture within 10 business days.</w:t>
      </w:r>
    </w:p>
    <w:p>
      <w:r>
        <w:rPr>
          <w:rFonts w:ascii="Figtree" w:hAnsi="Figtree"/>
          <w:b/>
          <w:i w:val="0"/>
          <w:sz w:val="22"/>
        </w:rPr>
        <w:t>Audit Rights:</w:t>
      </w:r>
      <w:r>
        <w:rPr>
          <w:rFonts w:ascii="Figtree" w:hAnsi="Figtree"/>
          <w:b w:val="0"/>
          <w:i w:val="0"/>
          <w:sz w:val="22"/>
        </w:rPr>
        <w:t xml:space="preserve"> ASX (and ASIC/APRA if required) may audit SettleMint's security and compliance controls once per year, with 30 days' notice.</w:t>
      </w:r>
    </w:p>
    <w:p>
      <w:r>
        <w:br w:type="page"/>
      </w:r>
    </w:p>
    <w:p>
      <w:pPr>
        <w:pStyle w:val="H2"/>
        <w:numPr>
          <w:ilvl w:val="1"/>
          <w:numId w:val="1"/>
        </w:numPr>
      </w:pPr>
      <w:r>
        <w:t>9. Total Cost of Ownership</w:t>
      </w:r>
    </w:p>
    <w:p>
      <w:pPr>
        <w:pStyle w:val="H3"/>
        <w:numPr>
          <w:ilvl w:val="2"/>
          <w:numId w:val="1"/>
        </w:numPr>
      </w:pPr>
      <w:r>
        <w:t>9.1 Three-Year TCO (AUD Equivalent)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9"/>
        <w:gridCol w:w="1640"/>
        <w:gridCol w:w="1640"/>
        <w:gridCol w:w="1640"/>
        <w:gridCol w:w="164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DALP Licence (~AUD equiv.)</w:t>
            </w:r>
          </w:p>
        </w:tc>
        <w:tc>
          <w:tcPr>
            <w:tcW w:type="dxa" w:w="1949"/>
            <w:vAlign w:val="center"/>
          </w:tcPr>
          <w:p>
            <w:pPr>
              <w:spacing w:line="276" w:lineRule="auto" w:before="0" w:after="0"/>
            </w:pPr>
            <w:r/>
            <w:r>
              <w:rPr>
                <w:rFonts w:ascii="Figtree" w:hAnsi="Figtree"/>
                <w:b w:val="0"/>
                <w:i w:val="0"/>
                <w:sz w:val="20"/>
              </w:rPr>
              <w:t>AUD 700,000</w:t>
            </w:r>
          </w:p>
        </w:tc>
        <w:tc>
          <w:tcPr>
            <w:tcW w:type="dxa" w:w="1949"/>
            <w:vAlign w:val="center"/>
          </w:tcPr>
          <w:p>
            <w:pPr>
              <w:spacing w:line="276" w:lineRule="auto" w:before="0" w:after="0"/>
            </w:pPr>
            <w:r/>
            <w:r>
              <w:rPr>
                <w:rFonts w:ascii="Figtree" w:hAnsi="Figtree"/>
                <w:b w:val="0"/>
                <w:i w:val="0"/>
                <w:sz w:val="20"/>
              </w:rPr>
              <w:t>AUD 700,000</w:t>
            </w:r>
          </w:p>
        </w:tc>
        <w:tc>
          <w:tcPr>
            <w:tcW w:type="dxa" w:w="1949"/>
            <w:vAlign w:val="center"/>
          </w:tcPr>
          <w:p>
            <w:pPr>
              <w:spacing w:line="276" w:lineRule="auto" w:before="0" w:after="0"/>
            </w:pPr>
            <w:r/>
            <w:r>
              <w:rPr>
                <w:rFonts w:ascii="Figtree" w:hAnsi="Figtree"/>
                <w:b w:val="0"/>
                <w:i w:val="0"/>
                <w:sz w:val="20"/>
              </w:rPr>
              <w:t>AUD 700,000</w:t>
            </w:r>
          </w:p>
        </w:tc>
        <w:tc>
          <w:tcPr>
            <w:tcW w:type="dxa" w:w="1949"/>
            <w:vAlign w:val="center"/>
          </w:tcPr>
          <w:p>
            <w:pPr>
              <w:spacing w:line="276" w:lineRule="auto" w:before="0" w:after="0"/>
            </w:pPr>
            <w:r/>
            <w:r>
              <w:rPr>
                <w:rFonts w:ascii="Figtree" w:hAnsi="Figtree"/>
                <w:b w:val="0"/>
                <w:i w:val="0"/>
                <w:sz w:val="20"/>
              </w:rPr>
              <w:t>AUD 2,100,000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Fee</w:t>
            </w:r>
          </w:p>
        </w:tc>
        <w:tc>
          <w:tcPr>
            <w:tcW w:type="dxa" w:w="1949"/>
            <w:vAlign w:val="center"/>
          </w:tcPr>
          <w:p>
            <w:pPr>
              <w:spacing w:line="276" w:lineRule="auto" w:before="0" w:after="0"/>
            </w:pPr>
            <w:r/>
            <w:r>
              <w:rPr>
                <w:rFonts w:ascii="Figtree" w:hAnsi="Figtree"/>
                <w:b w:val="0"/>
                <w:i w:val="0"/>
                <w:sz w:val="20"/>
              </w:rPr>
              <w:t>AUD 900,000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AUD 900,000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(AWS)</w:t>
            </w:r>
          </w:p>
        </w:tc>
        <w:tc>
          <w:tcPr>
            <w:tcW w:type="dxa" w:w="1949"/>
            <w:vAlign w:val="center"/>
          </w:tcPr>
          <w:p>
            <w:pPr>
              <w:spacing w:line="276" w:lineRule="auto" w:before="0" w:after="0"/>
            </w:pPr>
            <w:r/>
            <w:r>
              <w:rPr>
                <w:rFonts w:ascii="Figtree" w:hAnsi="Figtree"/>
                <w:b w:val="0"/>
                <w:i w:val="0"/>
                <w:sz w:val="20"/>
              </w:rPr>
              <w:t>AUD 250,000</w:t>
            </w:r>
          </w:p>
        </w:tc>
        <w:tc>
          <w:tcPr>
            <w:tcW w:type="dxa" w:w="1949"/>
            <w:vAlign w:val="center"/>
          </w:tcPr>
          <w:p>
            <w:pPr>
              <w:spacing w:line="276" w:lineRule="auto" w:before="0" w:after="0"/>
            </w:pPr>
            <w:r/>
            <w:r>
              <w:rPr>
                <w:rFonts w:ascii="Figtree" w:hAnsi="Figtree"/>
                <w:b w:val="0"/>
                <w:i w:val="0"/>
                <w:sz w:val="20"/>
              </w:rPr>
              <w:t>AUD 250,000</w:t>
            </w:r>
          </w:p>
        </w:tc>
        <w:tc>
          <w:tcPr>
            <w:tcW w:type="dxa" w:w="1949"/>
            <w:vAlign w:val="center"/>
          </w:tcPr>
          <w:p>
            <w:pPr>
              <w:spacing w:line="276" w:lineRule="auto" w:before="0" w:after="0"/>
            </w:pPr>
            <w:r/>
            <w:r>
              <w:rPr>
                <w:rFonts w:ascii="Figtree" w:hAnsi="Figtree"/>
                <w:b w:val="0"/>
                <w:i w:val="0"/>
                <w:sz w:val="20"/>
              </w:rPr>
              <w:t>AUD 250,000</w:t>
            </w:r>
          </w:p>
        </w:tc>
        <w:tc>
          <w:tcPr>
            <w:tcW w:type="dxa" w:w="1949"/>
            <w:vAlign w:val="center"/>
          </w:tcPr>
          <w:p>
            <w:pPr>
              <w:spacing w:line="276" w:lineRule="auto" w:before="0" w:after="0"/>
            </w:pPr>
            <w:r/>
            <w:r>
              <w:rPr>
                <w:rFonts w:ascii="Figtree" w:hAnsi="Figtree"/>
                <w:b w:val="0"/>
                <w:i w:val="0"/>
                <w:sz w:val="20"/>
              </w:rPr>
              <w:t>AUD 750,000</w:t>
            </w:r>
          </w:p>
        </w:tc>
      </w:tr>
      <w:tr>
        <w:trPr>
          <w:trHeight w:val="425" w:hRule="atLeast"/>
        </w:trPr>
        <w:tc>
          <w:tcPr>
            <w:tcW w:type="dxa" w:w="1949"/>
            <w:vAlign w:val="center"/>
          </w:tcPr>
          <w:p>
            <w:pPr>
              <w:spacing w:line="276" w:lineRule="auto" w:before="0" w:after="0"/>
            </w:pPr>
            <w:r/>
            <w:r>
              <w:rPr>
                <w:rFonts w:ascii="Figtree" w:hAnsi="Figtree"/>
                <w:b w:val="0"/>
                <w:i w:val="0"/>
                <w:sz w:val="20"/>
              </w:rPr>
              <w:t>ASX Internal (IT + Ops)</w:t>
            </w:r>
          </w:p>
        </w:tc>
        <w:tc>
          <w:tcPr>
            <w:tcW w:type="dxa" w:w="1949"/>
            <w:vAlign w:val="center"/>
          </w:tcPr>
          <w:p>
            <w:pPr>
              <w:spacing w:line="276" w:lineRule="auto" w:before="0" w:after="0"/>
            </w:pPr>
            <w:r/>
            <w:r>
              <w:rPr>
                <w:rFonts w:ascii="Figtree" w:hAnsi="Figtree"/>
                <w:b w:val="0"/>
                <w:i w:val="0"/>
                <w:sz w:val="20"/>
              </w:rPr>
              <w:t>AUD 500,000</w:t>
            </w:r>
          </w:p>
        </w:tc>
        <w:tc>
          <w:tcPr>
            <w:tcW w:type="dxa" w:w="1949"/>
            <w:vAlign w:val="center"/>
          </w:tcPr>
          <w:p>
            <w:pPr>
              <w:spacing w:line="276" w:lineRule="auto" w:before="0" w:after="0"/>
            </w:pPr>
            <w:r/>
            <w:r>
              <w:rPr>
                <w:rFonts w:ascii="Figtree" w:hAnsi="Figtree"/>
                <w:b w:val="0"/>
                <w:i w:val="0"/>
                <w:sz w:val="20"/>
              </w:rPr>
              <w:t>AUD 200,000</w:t>
            </w:r>
          </w:p>
        </w:tc>
        <w:tc>
          <w:tcPr>
            <w:tcW w:type="dxa" w:w="1949"/>
            <w:vAlign w:val="center"/>
          </w:tcPr>
          <w:p>
            <w:pPr>
              <w:spacing w:line="276" w:lineRule="auto" w:before="0" w:after="0"/>
            </w:pPr>
            <w:r/>
            <w:r>
              <w:rPr>
                <w:rFonts w:ascii="Figtree" w:hAnsi="Figtree"/>
                <w:b w:val="0"/>
                <w:i w:val="0"/>
                <w:sz w:val="20"/>
              </w:rPr>
              <w:t>AUD 200,000</w:t>
            </w:r>
          </w:p>
        </w:tc>
        <w:tc>
          <w:tcPr>
            <w:tcW w:type="dxa" w:w="1949"/>
            <w:vAlign w:val="center"/>
          </w:tcPr>
          <w:p>
            <w:pPr>
              <w:spacing w:line="276" w:lineRule="auto" w:before="0" w:after="0"/>
            </w:pPr>
            <w:r/>
            <w:r>
              <w:rPr>
                <w:rFonts w:ascii="Figtree" w:hAnsi="Figtree"/>
                <w:b w:val="0"/>
                <w:i w:val="0"/>
                <w:sz w:val="20"/>
              </w:rPr>
              <w:t>AUD 900,000</w:t>
            </w:r>
          </w:p>
        </w:tc>
      </w:tr>
      <w:tr>
        <w:trPr>
          <w:trHeight w:val="425" w:hRule="atLeast"/>
        </w:trPr>
        <w:tc>
          <w:tcPr>
            <w:tcW w:type="dxa" w:w="1949"/>
            <w:vAlign w:val="center"/>
          </w:tcPr>
          <w:p>
            <w:pPr>
              <w:spacing w:line="276" w:lineRule="auto" w:before="0" w:after="0"/>
            </w:pPr>
            <w:r/>
            <w:r>
              <w:rPr>
                <w:rFonts w:ascii="Figtree" w:hAnsi="Figtree"/>
                <w:b w:val="0"/>
                <w:i w:val="0"/>
                <w:sz w:val="20"/>
              </w:rPr>
              <w:t>ADI Partnership Cost</w:t>
            </w:r>
          </w:p>
        </w:tc>
        <w:tc>
          <w:tcPr>
            <w:tcW w:type="dxa" w:w="1949"/>
            <w:vAlign w:val="center"/>
          </w:tcPr>
          <w:p>
            <w:pPr>
              <w:spacing w:line="276" w:lineRule="auto" w:before="0" w:after="0"/>
            </w:pPr>
            <w:r/>
            <w:r>
              <w:rPr>
                <w:rFonts w:ascii="Figtree" w:hAnsi="Figtree"/>
                <w:b w:val="0"/>
                <w:i w:val="0"/>
                <w:sz w:val="20"/>
              </w:rPr>
              <w:t>AUD 200,000</w:t>
            </w:r>
          </w:p>
        </w:tc>
        <w:tc>
          <w:tcPr>
            <w:tcW w:type="dxa" w:w="1949"/>
            <w:vAlign w:val="center"/>
          </w:tcPr>
          <w:p>
            <w:pPr>
              <w:spacing w:line="276" w:lineRule="auto" w:before="0" w:after="0"/>
            </w:pPr>
            <w:r/>
            <w:r>
              <w:rPr>
                <w:rFonts w:ascii="Figtree" w:hAnsi="Figtree"/>
                <w:b w:val="0"/>
                <w:i w:val="0"/>
                <w:sz w:val="20"/>
              </w:rPr>
              <w:t>AUD 50,000</w:t>
            </w:r>
          </w:p>
        </w:tc>
        <w:tc>
          <w:tcPr>
            <w:tcW w:type="dxa" w:w="1949"/>
            <w:vAlign w:val="center"/>
          </w:tcPr>
          <w:p>
            <w:pPr>
              <w:spacing w:line="276" w:lineRule="auto" w:before="0" w:after="0"/>
            </w:pPr>
            <w:r/>
            <w:r>
              <w:rPr>
                <w:rFonts w:ascii="Figtree" w:hAnsi="Figtree"/>
                <w:b w:val="0"/>
                <w:i w:val="0"/>
                <w:sz w:val="20"/>
              </w:rPr>
              <w:t>AUD 50,000</w:t>
            </w:r>
          </w:p>
        </w:tc>
        <w:tc>
          <w:tcPr>
            <w:tcW w:type="dxa" w:w="1949"/>
            <w:vAlign w:val="center"/>
          </w:tcPr>
          <w:p>
            <w:pPr>
              <w:spacing w:line="276" w:lineRule="auto" w:before="0" w:after="0"/>
            </w:pPr>
            <w:r/>
            <w:r>
              <w:rPr>
                <w:rFonts w:ascii="Figtree" w:hAnsi="Figtree"/>
                <w:b w:val="0"/>
                <w:i w:val="0"/>
                <w:sz w:val="20"/>
              </w:rPr>
              <w:t>AUD 300,000</w:t>
            </w:r>
          </w:p>
        </w:tc>
      </w:tr>
      <w:tr>
        <w:trPr>
          <w:trHeight w:val="425" w:hRule="atLeast"/>
        </w:trPr>
        <w:tc>
          <w:tcPr>
            <w:tcW w:type="dxa" w:w="1949"/>
            <w:vAlign w:val="center"/>
          </w:tcPr>
          <w:p>
            <w:pPr>
              <w:spacing w:line="276" w:lineRule="auto" w:before="0" w:after="0"/>
            </w:pPr>
            <w:r/>
            <w:r>
              <w:rPr>
                <w:rFonts w:ascii="Figtree" w:hAnsi="Figtree"/>
                <w:b/>
                <w:i w:val="0"/>
                <w:sz w:val="20"/>
              </w:rPr>
              <w:t>Total TCO</w:t>
            </w:r>
          </w:p>
        </w:tc>
        <w:tc>
          <w:tcPr>
            <w:tcW w:type="dxa" w:w="1949"/>
            <w:vAlign w:val="center"/>
          </w:tcPr>
          <w:p>
            <w:pPr>
              <w:spacing w:line="276" w:lineRule="auto" w:before="0" w:after="0"/>
            </w:pPr>
            <w:r/>
            <w:r>
              <w:rPr>
                <w:rFonts w:ascii="Figtree" w:hAnsi="Figtree"/>
                <w:b/>
                <w:i w:val="0"/>
                <w:sz w:val="20"/>
              </w:rPr>
              <w:t>AUD 2,550,000</w:t>
            </w:r>
          </w:p>
        </w:tc>
        <w:tc>
          <w:tcPr>
            <w:tcW w:type="dxa" w:w="1949"/>
            <w:vAlign w:val="center"/>
          </w:tcPr>
          <w:p>
            <w:pPr>
              <w:spacing w:line="276" w:lineRule="auto" w:before="0" w:after="0"/>
            </w:pPr>
            <w:r/>
            <w:r>
              <w:rPr>
                <w:rFonts w:ascii="Figtree" w:hAnsi="Figtree"/>
                <w:b/>
                <w:i w:val="0"/>
                <w:sz w:val="20"/>
              </w:rPr>
              <w:t>AUD 1,200,000</w:t>
            </w:r>
          </w:p>
        </w:tc>
        <w:tc>
          <w:tcPr>
            <w:tcW w:type="dxa" w:w="1949"/>
            <w:vAlign w:val="center"/>
          </w:tcPr>
          <w:p>
            <w:pPr>
              <w:spacing w:line="276" w:lineRule="auto" w:before="0" w:after="0"/>
            </w:pPr>
            <w:r/>
            <w:r>
              <w:rPr>
                <w:rFonts w:ascii="Figtree" w:hAnsi="Figtree"/>
                <w:b/>
                <w:i w:val="0"/>
                <w:sz w:val="20"/>
              </w:rPr>
              <w:t>AUD 1,200,000</w:t>
            </w:r>
          </w:p>
        </w:tc>
        <w:tc>
          <w:tcPr>
            <w:tcW w:type="dxa" w:w="1949"/>
            <w:vAlign w:val="center"/>
          </w:tcPr>
          <w:p>
            <w:pPr>
              <w:spacing w:line="276" w:lineRule="auto" w:before="0" w:after="0"/>
            </w:pPr>
            <w:r/>
            <w:r>
              <w:rPr>
                <w:rFonts w:ascii="Figtree" w:hAnsi="Figtree"/>
                <w:b/>
                <w:i w:val="0"/>
                <w:sz w:val="20"/>
              </w:rPr>
              <w:t>AUD 4,950,000</w:t>
            </w:r>
          </w:p>
        </w:tc>
      </w:tr>
    </w:tbl>
    <w:p>
      <w:pPr>
        <w:spacing w:before="0" w:after="0" w:line="120" w:lineRule="exact"/>
      </w:pPr>
    </w:p>
    <w:p>
      <w:pPr>
        <w:pStyle w:val="H3"/>
        <w:numPr>
          <w:ilvl w:val="2"/>
          <w:numId w:val="1"/>
        </w:numPr>
      </w:pPr>
      <w:r>
        <w:t>9.2 Benefit vs.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96"/>
        <w:gridCol w:w="1904"/>
        <w:gridCol w:w="2016"/>
        <w:gridCol w:w="2128"/>
        <w:gridCol w:w="2128"/>
      </w:tblGrid>
      <w:tr>
        <w:trPr>
          <w:trHeight w:val="425" w:hRule="atLeast"/>
        </w:trPr>
        <w:tc>
          <w:tcPr>
            <w:tcW w:type="dxa" w:w="1949"/>
            <w:vAlign w:val="center"/>
            <w:shd w:fill="E8E0F0" w:val="clear"/>
          </w:tcPr>
          <w:p>
            <w:pPr>
              <w:spacing w:line="276" w:lineRule="auto" w:before="0" w:after="0"/>
              <w:jc w:val="left"/>
            </w:pPr>
            <w:r>
              <w:rPr>
                <w:b/>
                <w:color w:val="2D1A8C"/>
              </w:rPr>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Benefits</w:t>
            </w:r>
          </w:p>
        </w:tc>
        <w:tc>
          <w:tcPr>
            <w:tcW w:type="dxa" w:w="1949"/>
            <w:vAlign w:val="center"/>
          </w:tcPr>
          <w:p>
            <w:pPr>
              <w:spacing w:line="276" w:lineRule="auto" w:before="0" w:after="0"/>
            </w:pPr>
            <w:r/>
            <w:r>
              <w:rPr>
                <w:rFonts w:ascii="Figtree" w:hAnsi="Figtree"/>
                <w:b w:val="0"/>
                <w:i w:val="0"/>
                <w:sz w:val="20"/>
              </w:rPr>
              <w:t>AUD 8,500,000</w:t>
            </w:r>
          </w:p>
        </w:tc>
        <w:tc>
          <w:tcPr>
            <w:tcW w:type="dxa" w:w="1949"/>
            <w:vAlign w:val="center"/>
          </w:tcPr>
          <w:p>
            <w:pPr>
              <w:spacing w:line="276" w:lineRule="auto" w:before="0" w:after="0"/>
            </w:pPr>
            <w:r/>
            <w:r>
              <w:rPr>
                <w:rFonts w:ascii="Figtree" w:hAnsi="Figtree"/>
                <w:b w:val="0"/>
                <w:i w:val="0"/>
                <w:sz w:val="20"/>
              </w:rPr>
              <w:t>AUD 36,000,000</w:t>
            </w:r>
          </w:p>
        </w:tc>
        <w:tc>
          <w:tcPr>
            <w:tcW w:type="dxa" w:w="1949"/>
            <w:vAlign w:val="center"/>
          </w:tcPr>
          <w:p>
            <w:pPr>
              <w:spacing w:line="276" w:lineRule="auto" w:before="0" w:after="0"/>
            </w:pPr>
            <w:r/>
            <w:r>
              <w:rPr>
                <w:rFonts w:ascii="Figtree" w:hAnsi="Figtree"/>
                <w:b w:val="0"/>
                <w:i w:val="0"/>
                <w:sz w:val="20"/>
              </w:rPr>
              <w:t>AUD 145,000,000</w:t>
            </w:r>
          </w:p>
        </w:tc>
        <w:tc>
          <w:tcPr>
            <w:tcW w:type="dxa" w:w="1949"/>
            <w:vAlign w:val="center"/>
          </w:tcPr>
          <w:p>
            <w:pPr>
              <w:spacing w:line="276" w:lineRule="auto" w:before="0" w:after="0"/>
            </w:pPr>
            <w:r/>
            <w:r>
              <w:rPr>
                <w:rFonts w:ascii="Figtree" w:hAnsi="Figtree"/>
                <w:b w:val="0"/>
                <w:i w:val="0"/>
                <w:sz w:val="20"/>
              </w:rPr>
              <w:t>AUD 189,500,000</w:t>
            </w:r>
          </w:p>
        </w:tc>
      </w:tr>
      <w:tr>
        <w:trPr>
          <w:trHeight w:val="425" w:hRule="atLeast"/>
        </w:trPr>
        <w:tc>
          <w:tcPr>
            <w:tcW w:type="dxa" w:w="1949"/>
            <w:vAlign w:val="center"/>
          </w:tcPr>
          <w:p>
            <w:pPr>
              <w:spacing w:line="276" w:lineRule="auto" w:before="0" w:after="0"/>
            </w:pPr>
            <w:r/>
            <w:r>
              <w:rPr>
                <w:rFonts w:ascii="Figtree" w:hAnsi="Figtree"/>
                <w:b w:val="0"/>
                <w:i w:val="0"/>
                <w:sz w:val="20"/>
              </w:rPr>
              <w:t>Costs</w:t>
            </w:r>
          </w:p>
        </w:tc>
        <w:tc>
          <w:tcPr>
            <w:tcW w:type="dxa" w:w="1949"/>
            <w:vAlign w:val="center"/>
          </w:tcPr>
          <w:p>
            <w:pPr>
              <w:spacing w:line="276" w:lineRule="auto" w:before="0" w:after="0"/>
            </w:pPr>
            <w:r/>
            <w:r>
              <w:rPr>
                <w:rFonts w:ascii="Figtree" w:hAnsi="Figtree"/>
                <w:b w:val="0"/>
                <w:i w:val="0"/>
                <w:sz w:val="20"/>
              </w:rPr>
              <w:t>AUD 2,550,000</w:t>
            </w:r>
          </w:p>
        </w:tc>
        <w:tc>
          <w:tcPr>
            <w:tcW w:type="dxa" w:w="1949"/>
            <w:vAlign w:val="center"/>
          </w:tcPr>
          <w:p>
            <w:pPr>
              <w:spacing w:line="276" w:lineRule="auto" w:before="0" w:after="0"/>
            </w:pPr>
            <w:r/>
            <w:r>
              <w:rPr>
                <w:rFonts w:ascii="Figtree" w:hAnsi="Figtree"/>
                <w:b w:val="0"/>
                <w:i w:val="0"/>
                <w:sz w:val="20"/>
              </w:rPr>
              <w:t>AUD 1,200,000</w:t>
            </w:r>
          </w:p>
        </w:tc>
        <w:tc>
          <w:tcPr>
            <w:tcW w:type="dxa" w:w="1949"/>
            <w:vAlign w:val="center"/>
          </w:tcPr>
          <w:p>
            <w:pPr>
              <w:spacing w:line="276" w:lineRule="auto" w:before="0" w:after="0"/>
            </w:pPr>
            <w:r/>
            <w:r>
              <w:rPr>
                <w:rFonts w:ascii="Figtree" w:hAnsi="Figtree"/>
                <w:b w:val="0"/>
                <w:i w:val="0"/>
                <w:sz w:val="20"/>
              </w:rPr>
              <w:t>AUD 1,200,000</w:t>
            </w:r>
          </w:p>
        </w:tc>
        <w:tc>
          <w:tcPr>
            <w:tcW w:type="dxa" w:w="1949"/>
            <w:vAlign w:val="center"/>
          </w:tcPr>
          <w:p>
            <w:pPr>
              <w:spacing w:line="276" w:lineRule="auto" w:before="0" w:after="0"/>
            </w:pPr>
            <w:r/>
            <w:r>
              <w:rPr>
                <w:rFonts w:ascii="Figtree" w:hAnsi="Figtree"/>
                <w:b w:val="0"/>
                <w:i w:val="0"/>
                <w:sz w:val="20"/>
              </w:rPr>
              <w:t>AUD 4,950,000</w:t>
            </w:r>
          </w:p>
        </w:tc>
      </w:tr>
      <w:tr>
        <w:trPr>
          <w:trHeight w:val="425" w:hRule="atLeast"/>
        </w:trPr>
        <w:tc>
          <w:tcPr>
            <w:tcW w:type="dxa" w:w="1949"/>
            <w:vAlign w:val="center"/>
          </w:tcPr>
          <w:p>
            <w:pPr>
              <w:spacing w:line="276" w:lineRule="auto" w:before="0" w:after="0"/>
            </w:pPr>
            <w:r/>
            <w:r>
              <w:rPr>
                <w:rFonts w:ascii="Figtree" w:hAnsi="Figtree"/>
                <w:b/>
                <w:i w:val="0"/>
                <w:sz w:val="20"/>
              </w:rPr>
              <w:t>Net</w:t>
            </w:r>
          </w:p>
        </w:tc>
        <w:tc>
          <w:tcPr>
            <w:tcW w:type="dxa" w:w="1949"/>
            <w:vAlign w:val="center"/>
          </w:tcPr>
          <w:p>
            <w:pPr>
              <w:spacing w:line="276" w:lineRule="auto" w:before="0" w:after="0"/>
            </w:pPr>
            <w:r/>
            <w:r>
              <w:rPr>
                <w:rFonts w:ascii="Figtree" w:hAnsi="Figtree"/>
                <w:b/>
                <w:i w:val="0"/>
                <w:sz w:val="20"/>
              </w:rPr>
              <w:t>AUD 5,950,000</w:t>
            </w:r>
          </w:p>
        </w:tc>
        <w:tc>
          <w:tcPr>
            <w:tcW w:type="dxa" w:w="1949"/>
            <w:vAlign w:val="center"/>
          </w:tcPr>
          <w:p>
            <w:pPr>
              <w:spacing w:line="276" w:lineRule="auto" w:before="0" w:after="0"/>
            </w:pPr>
            <w:r/>
            <w:r>
              <w:rPr>
                <w:rFonts w:ascii="Figtree" w:hAnsi="Figtree"/>
                <w:b/>
                <w:i w:val="0"/>
                <w:sz w:val="20"/>
              </w:rPr>
              <w:t>AUD 34,800,000</w:t>
            </w:r>
          </w:p>
        </w:tc>
        <w:tc>
          <w:tcPr>
            <w:tcW w:type="dxa" w:w="1949"/>
            <w:vAlign w:val="center"/>
          </w:tcPr>
          <w:p>
            <w:pPr>
              <w:spacing w:line="276" w:lineRule="auto" w:before="0" w:after="0"/>
            </w:pPr>
            <w:r/>
            <w:r>
              <w:rPr>
                <w:rFonts w:ascii="Figtree" w:hAnsi="Figtree"/>
                <w:b/>
                <w:i w:val="0"/>
                <w:sz w:val="20"/>
              </w:rPr>
              <w:t>AUD 143,800,000</w:t>
            </w:r>
          </w:p>
        </w:tc>
        <w:tc>
          <w:tcPr>
            <w:tcW w:type="dxa" w:w="1949"/>
            <w:vAlign w:val="center"/>
          </w:tcPr>
          <w:p>
            <w:pPr>
              <w:spacing w:line="276" w:lineRule="auto" w:before="0" w:after="0"/>
            </w:pPr>
            <w:r/>
            <w:r>
              <w:rPr>
                <w:rFonts w:ascii="Figtree" w:hAnsi="Figtree"/>
                <w:b/>
                <w:i w:val="0"/>
                <w:sz w:val="20"/>
              </w:rPr>
              <w:t>AUD 184,550,000</w:t>
            </w:r>
          </w:p>
        </w:tc>
      </w:tr>
    </w:tbl>
    <w:p>
      <w:pPr>
        <w:spacing w:before="0" w:after="0" w:line="120" w:lineRule="exact"/>
      </w:pPr>
    </w:p>
    <w:p>
      <w:r>
        <w:rPr>
          <w:rFonts w:ascii="Figtree" w:hAnsi="Figtree"/>
          <w:b w:val="0"/>
          <w:i w:val="0"/>
          <w:sz w:val="22"/>
        </w:rPr>
        <w:t>3-year ROI: approximately 3,730%. Payback period: within the first 4 months of live pilot operation.</w:t>
      </w:r>
    </w:p>
    <w:p>
      <w:pPr>
        <w:pStyle w:val="H3"/>
        <w:numPr>
          <w:ilvl w:val="2"/>
          <w:numId w:val="1"/>
        </w:numPr>
      </w:pPr>
      <w:r>
        <w:t>9.3 CHESS Replacement Context: AUD 250M vs. AUD 5M</w:t>
      </w:r>
    </w:p>
    <w:p>
      <w:r>
        <w:rPr>
          <w:rFonts w:ascii="Figtree" w:hAnsi="Figtree"/>
          <w:b w:val="0"/>
          <w:i w:val="0"/>
          <w:sz w:val="22"/>
        </w:rPr>
        <w:t>The 3-year all-in DALP programme TCO of AUD 5M is 2% of the CHESS Replacement programme's total spend. For this 2% investment, ASX gets:</w:t>
      </w:r>
    </w:p>
    <w:p>
      <w:pPr>
        <w:pStyle w:val="ListParagraph"/>
        <w:numPr>
          <w:ilvl w:val="0"/>
          <w:numId w:val="4"/>
        </w:numPr>
      </w:pPr>
      <w:r>
        <w:rPr>
          <w:rFonts w:ascii="Figtree" w:hAnsi="Figtree"/>
          <w:b w:val="0"/>
          <w:i w:val="0"/>
          <w:sz w:val="22"/>
        </w:rPr>
        <w:t>Working production settlement system in 19 weeks (CHESS Replacement: 7+ years, no production)</w:t>
      </w:r>
    </w:p>
    <w:p>
      <w:pPr>
        <w:pStyle w:val="ListParagraph"/>
        <w:numPr>
          <w:ilvl w:val="0"/>
          <w:numId w:val="4"/>
        </w:numPr>
      </w:pPr>
      <w:r>
        <w:rPr>
          <w:rFonts w:ascii="Figtree" w:hAnsi="Figtree"/>
          <w:b w:val="0"/>
          <w:i w:val="0"/>
          <w:sz w:val="22"/>
        </w:rPr>
        <w:t>Production evidence from Clearstream, Euroclear, CBA, ANZ (CHESS Replacement: no comparable production reference)</w:t>
      </w:r>
    </w:p>
    <w:p>
      <w:pPr>
        <w:pStyle w:val="ListParagraph"/>
        <w:numPr>
          <w:ilvl w:val="0"/>
          <w:numId w:val="4"/>
        </w:numPr>
      </w:pPr>
      <w:r>
        <w:rPr>
          <w:rFonts w:ascii="Figtree" w:hAnsi="Figtree"/>
          <w:b w:val="0"/>
          <w:i w:val="0"/>
          <w:sz w:val="22"/>
        </w:rPr>
        <w:t>Phased delivery with bounded scope (CHESS Replacement: single-scope programme with expanding scope)</w:t>
      </w:r>
    </w:p>
    <w:p>
      <w:pPr>
        <w:pStyle w:val="ListParagraph"/>
        <w:numPr>
          <w:ilvl w:val="0"/>
          <w:numId w:val="4"/>
        </w:numPr>
      </w:pPr>
      <w:r>
        <w:rPr>
          <w:rFonts w:ascii="Figtree" w:hAnsi="Figtree"/>
          <w:b w:val="0"/>
          <w:i w:val="0"/>
          <w:sz w:val="22"/>
        </w:rPr>
        <w:t>Open standard technology (CHESS Replacement: proprietary Digital Asset Holdings protocol)</w:t>
      </w:r>
    </w:p>
    <w:p>
      <w:pPr>
        <w:pStyle w:val="ListParagraph"/>
        <w:numPr>
          <w:ilvl w:val="0"/>
          <w:numId w:val="4"/>
        </w:numPr>
      </w:pPr>
      <w:r>
        <w:rPr>
          <w:rFonts w:ascii="Figtree" w:hAnsi="Figtree"/>
          <w:b w:val="0"/>
          <w:i w:val="0"/>
          <w:sz w:val="22"/>
        </w:rPr>
        <w:t>90-day exit with full data export (CHESS Replacement: complex disentanglement)</w:t>
      </w:r>
    </w:p>
    <w:p>
      <w:r>
        <w:rPr>
          <w:rFonts w:ascii="Figtree" w:hAnsi="Figtree"/>
          <w:b w:val="0"/>
          <w:i w:val="0"/>
          <w:sz w:val="22"/>
        </w:rPr>
        <w:t>The DALP programme is categorically different from the CHESS Replacement in governance model, technology maturity, and investment structure. The board and management considering the DALP programme can do so on fundamentally different risk terms.</w:t>
      </w:r>
    </w:p>
    <w:p>
      <w:r>
        <w:br w:type="page"/>
      </w:r>
    </w:p>
    <w:p>
      <w:pPr>
        <w:pStyle w:val="H2"/>
        <w:numPr>
          <w:ilvl w:val="1"/>
          <w:numId w:val="1"/>
        </w:numPr>
      </w:pPr>
      <w:r>
        <w:t>10. Reference Clients</w:t>
      </w:r>
    </w:p>
    <w:p>
      <w:pPr>
        <w:pStyle w:val="H3"/>
        <w:numPr>
          <w:ilvl w:val="2"/>
          <w:numId w:val="1"/>
        </w:numPr>
      </w:pPr>
      <w:r>
        <w:t>10.1 Clearstream: DvP Settlement at CSD Scale</w:t>
      </w:r>
    </w:p>
    <w:p>
      <w:r>
        <w:rPr>
          <w:rFonts w:ascii="Figtree" w:hAnsi="Figtree"/>
          <w:b w:val="0"/>
          <w:i w:val="0"/>
          <w:sz w:val="22"/>
        </w:rPr>
        <w:t>Clearstream's tokenized collateral management programme on DALP processes DvP settlement at institutional scale, with USD 5B+ in daily intraday liquidity and a settlement failure rate of 0.02% (vs. CSD industry average of ~2%). Clearstream's CTO team can speak directly to DALP's reliability in a systemic post-trade infrastructure context.</w:t>
      </w:r>
    </w:p>
    <w:p>
      <w:r>
        <w:rPr>
          <w:rFonts w:ascii="Figtree" w:hAnsi="Figtree"/>
          <w:b/>
          <w:i w:val="0"/>
          <w:sz w:val="22"/>
        </w:rPr>
        <w:t>Commercial Outcome:</w:t>
      </w:r>
      <w:r>
        <w:rPr>
          <w:rFonts w:ascii="Figtree" w:hAnsi="Figtree"/>
          <w:b w:val="0"/>
          <w:i w:val="0"/>
          <w:sz w:val="22"/>
        </w:rPr>
        <w:t xml:space="preserve"> Clearstream reports operational savings from reconciliation elimination and settlement fail management reduction of EUR 15M+ annually. The DALP programme pays back in under 3 months of operation.</w:t>
      </w:r>
    </w:p>
    <w:p>
      <w:pPr>
        <w:pStyle w:val="H3"/>
        <w:numPr>
          <w:ilvl w:val="2"/>
          <w:numId w:val="1"/>
        </w:numPr>
      </w:pPr>
      <w:r>
        <w:t>10.2 Commonwealth Bank of Australia: Australian Regulatory Validation</w:t>
      </w:r>
    </w:p>
    <w:p>
      <w:r>
        <w:rPr>
          <w:rFonts w:ascii="Figtree" w:hAnsi="Figtree"/>
          <w:b w:val="0"/>
          <w:i w:val="0"/>
          <w:sz w:val="22"/>
        </w:rPr>
        <w:t>CBA's tokenized bond programme under ASIC's regulated securities framework provides direct Australian regulatory validation: ASIC reviewed and did not object to the tokenized bond structure, APRA's CPS 234 requirements were satisfied by DALP's ISO 27001 certification, and the programme operates in live production.</w:t>
      </w:r>
    </w:p>
    <w:p>
      <w:r>
        <w:rPr>
          <w:rFonts w:ascii="Figtree" w:hAnsi="Figtree"/>
          <w:b w:val="0"/>
          <w:i w:val="0"/>
          <w:sz w:val="22"/>
        </w:rPr>
        <w:t>CBA's APAC technology leadership can speak to ASX about the regulatory engagement process, the DALP technical architecture's ASIC/APRA compliance evidence, and the operational experience of running a tokenized securities programme in the Australian market.</w:t>
      </w:r>
    </w:p>
    <w:p>
      <w:pPr>
        <w:pStyle w:val="H3"/>
        <w:numPr>
          <w:ilvl w:val="2"/>
          <w:numId w:val="1"/>
        </w:numPr>
      </w:pPr>
      <w:r>
        <w:t>10.3 Euroclear: Settlement System Coexistence</w:t>
      </w:r>
    </w:p>
    <w:p>
      <w:r>
        <w:rPr>
          <w:rFonts w:ascii="Figtree" w:hAnsi="Figtree"/>
          <w:b w:val="0"/>
          <w:i w:val="0"/>
          <w:sz w:val="22"/>
        </w:rPr>
        <w:t>Euroclear's DALP deployment operates alongside existing CSD infrastructure (not instead of it), precisely the integration model proposed for ASX. Euroclear's programme demonstrates that DALP can add tokenized settlement capability to an existing post-trade infrastructure operator without disrupting existing operations.</w:t>
      </w:r>
    </w:p>
    <w:p>
      <w:r>
        <w:br w:type="page"/>
      </w:r>
    </w:p>
    <w:p>
      <w:pPr>
        <w:pStyle w:val="H2"/>
        <w:numPr>
          <w:ilvl w:val="1"/>
          <w:numId w:val="1"/>
        </w:numPr>
      </w:pPr>
      <w:r>
        <w:t>11. Next Steps</w:t>
      </w:r>
    </w:p>
    <w:p>
      <w:pPr>
        <w:pStyle w:val="H3"/>
        <w:numPr>
          <w:ilvl w:val="2"/>
          <w:numId w:val="1"/>
        </w:numPr>
      </w:pPr>
      <w:r>
        <w:t>11.1 Proposed Path to Contract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48"/>
        <w:gridCol w:w="302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4873"/>
            <w:vAlign w:val="center"/>
          </w:tcPr>
          <w:p>
            <w:pPr>
              <w:spacing w:line="276" w:lineRule="auto" w:before="0" w:after="0"/>
            </w:pPr>
            <w:r/>
            <w:r>
              <w:rPr>
                <w:rFonts w:ascii="Figtree" w:hAnsi="Figtree"/>
                <w:b w:val="0"/>
                <w:i w:val="0"/>
                <w:sz w:val="20"/>
              </w:rPr>
              <w:t>Technical Deep Dive (SettleMint + ASX IT)</w:t>
            </w:r>
          </w:p>
        </w:tc>
        <w:tc>
          <w:tcPr>
            <w:tcW w:type="dxa" w:w="4873"/>
            <w:vAlign w:val="center"/>
          </w:tcPr>
          <w:p>
            <w:pPr>
              <w:spacing w:line="276" w:lineRule="auto" w:before="0" w:after="0"/>
            </w:pPr>
            <w:r/>
            <w:r>
              <w:rPr>
                <w:rFonts w:ascii="Figtree" w:hAnsi="Figtree"/>
                <w:b w:val="0"/>
                <w:i w:val="0"/>
                <w:sz w:val="20"/>
              </w:rPr>
              <w:t>Week of 30 March 2026</w:t>
            </w:r>
          </w:p>
        </w:tc>
      </w:tr>
      <w:tr>
        <w:trPr>
          <w:trHeight w:val="425" w:hRule="atLeast"/>
        </w:trPr>
        <w:tc>
          <w:tcPr>
            <w:tcW w:type="dxa" w:w="4873"/>
            <w:vAlign w:val="center"/>
          </w:tcPr>
          <w:p>
            <w:pPr>
              <w:spacing w:line="276" w:lineRule="auto" w:before="0" w:after="0"/>
            </w:pPr>
            <w:r/>
            <w:r>
              <w:rPr>
                <w:rFonts w:ascii="Figtree" w:hAnsi="Figtree"/>
                <w:b w:val="0"/>
                <w:i w:val="0"/>
                <w:sz w:val="20"/>
              </w:rPr>
              <w:t>Clearstream / CBA Reference Calls</w:t>
            </w:r>
          </w:p>
        </w:tc>
        <w:tc>
          <w:tcPr>
            <w:tcW w:type="dxa" w:w="4873"/>
            <w:vAlign w:val="center"/>
          </w:tcPr>
          <w:p>
            <w:pPr>
              <w:spacing w:line="276" w:lineRule="auto" w:before="0" w:after="0"/>
            </w:pPr>
            <w:r/>
            <w:r>
              <w:rPr>
                <w:rFonts w:ascii="Figtree" w:hAnsi="Figtree"/>
                <w:b w:val="0"/>
                <w:i w:val="0"/>
                <w:sz w:val="20"/>
              </w:rPr>
              <w:t>Week of 6 April 2026</w:t>
            </w:r>
          </w:p>
        </w:tc>
      </w:tr>
      <w:tr>
        <w:trPr>
          <w:trHeight w:val="425" w:hRule="atLeast"/>
        </w:trPr>
        <w:tc>
          <w:tcPr>
            <w:tcW w:type="dxa" w:w="4873"/>
            <w:vAlign w:val="center"/>
          </w:tcPr>
          <w:p>
            <w:pPr>
              <w:spacing w:line="276" w:lineRule="auto" w:before="0" w:after="0"/>
            </w:pPr>
            <w:r/>
            <w:r>
              <w:rPr>
                <w:rFonts w:ascii="Figtree" w:hAnsi="Figtree"/>
                <w:b w:val="0"/>
                <w:i w:val="0"/>
                <w:sz w:val="20"/>
              </w:rPr>
              <w:t>ASIC Informal Engagement (joint ASX + SettleMint)</w:t>
            </w:r>
          </w:p>
        </w:tc>
        <w:tc>
          <w:tcPr>
            <w:tcW w:type="dxa" w:w="4873"/>
            <w:vAlign w:val="center"/>
          </w:tcPr>
          <w:p>
            <w:pPr>
              <w:spacing w:line="276" w:lineRule="auto" w:before="0" w:after="0"/>
            </w:pPr>
            <w:r/>
            <w:r>
              <w:rPr>
                <w:rFonts w:ascii="Figtree" w:hAnsi="Figtree"/>
                <w:b w:val="0"/>
                <w:i w:val="0"/>
                <w:sz w:val="20"/>
              </w:rPr>
              <w:t>Week of 6 April 2026</w:t>
            </w:r>
          </w:p>
        </w:tc>
      </w:tr>
      <w:tr>
        <w:trPr>
          <w:trHeight w:val="425" w:hRule="atLeast"/>
        </w:trPr>
        <w:tc>
          <w:tcPr>
            <w:tcW w:type="dxa" w:w="4873"/>
            <w:vAlign w:val="center"/>
          </w:tcPr>
          <w:p>
            <w:pPr>
              <w:spacing w:line="276" w:lineRule="auto" w:before="0" w:after="0"/>
            </w:pPr>
            <w:r/>
            <w:r>
              <w:rPr>
                <w:rFonts w:ascii="Figtree" w:hAnsi="Figtree"/>
                <w:b w:val="0"/>
                <w:i w:val="0"/>
                <w:sz w:val="20"/>
              </w:rPr>
              <w:t>RBA Wholesale CBDC Alignment Discussion</w:t>
            </w:r>
          </w:p>
        </w:tc>
        <w:tc>
          <w:tcPr>
            <w:tcW w:type="dxa" w:w="4873"/>
            <w:vAlign w:val="center"/>
          </w:tcPr>
          <w:p>
            <w:pPr>
              <w:spacing w:line="276" w:lineRule="auto" w:before="0" w:after="0"/>
            </w:pPr>
            <w:r/>
            <w:r>
              <w:rPr>
                <w:rFonts w:ascii="Figtree" w:hAnsi="Figtree"/>
                <w:b w:val="0"/>
                <w:i w:val="0"/>
                <w:sz w:val="20"/>
              </w:rPr>
              <w:t>Week of 13 April 2026</w:t>
            </w:r>
          </w:p>
        </w:tc>
      </w:tr>
      <w:tr>
        <w:trPr>
          <w:trHeight w:val="425" w:hRule="atLeast"/>
        </w:trPr>
        <w:tc>
          <w:tcPr>
            <w:tcW w:type="dxa" w:w="4873"/>
            <w:vAlign w:val="center"/>
          </w:tcPr>
          <w:p>
            <w:pPr>
              <w:spacing w:line="276" w:lineRule="auto" w:before="0" w:after="0"/>
            </w:pPr>
            <w:r/>
            <w:r>
              <w:rPr>
                <w:rFonts w:ascii="Figtree" w:hAnsi="Figtree"/>
                <w:b w:val="0"/>
                <w:i w:val="0"/>
                <w:sz w:val="20"/>
              </w:rPr>
              <w:t>Commercial Negotiation</w:t>
            </w:r>
          </w:p>
        </w:tc>
        <w:tc>
          <w:tcPr>
            <w:tcW w:type="dxa" w:w="4873"/>
            <w:vAlign w:val="center"/>
          </w:tcPr>
          <w:p>
            <w:pPr>
              <w:spacing w:line="276" w:lineRule="auto" w:before="0" w:after="0"/>
            </w:pPr>
            <w:r/>
            <w:r>
              <w:rPr>
                <w:rFonts w:ascii="Figtree" w:hAnsi="Figtree"/>
                <w:b w:val="0"/>
                <w:i w:val="0"/>
                <w:sz w:val="20"/>
              </w:rPr>
              <w:t>6-20 April 2026</w:t>
            </w:r>
          </w:p>
        </w:tc>
      </w:tr>
      <w:tr>
        <w:trPr>
          <w:trHeight w:val="425" w:hRule="atLeast"/>
        </w:trPr>
        <w:tc>
          <w:tcPr>
            <w:tcW w:type="dxa" w:w="4873"/>
            <w:vAlign w:val="center"/>
          </w:tcPr>
          <w:p>
            <w:pPr>
              <w:spacing w:line="276" w:lineRule="auto" w:before="0" w:after="0"/>
            </w:pPr>
            <w:r/>
            <w:r>
              <w:rPr>
                <w:rFonts w:ascii="Figtree" w:hAnsi="Figtree"/>
                <w:b w:val="0"/>
                <w:i w:val="0"/>
                <w:sz w:val="20"/>
              </w:rPr>
              <w:t>ADI Partnership Confirmation (CBA or ANZ)</w:t>
            </w:r>
          </w:p>
        </w:tc>
        <w:tc>
          <w:tcPr>
            <w:tcW w:type="dxa" w:w="4873"/>
            <w:vAlign w:val="center"/>
          </w:tcPr>
          <w:p>
            <w:pPr>
              <w:spacing w:line="276" w:lineRule="auto" w:before="0" w:after="0"/>
            </w:pPr>
            <w:r/>
            <w:r>
              <w:rPr>
                <w:rFonts w:ascii="Figtree" w:hAnsi="Figtree"/>
                <w:b w:val="0"/>
                <w:i w:val="0"/>
                <w:sz w:val="20"/>
              </w:rPr>
              <w:t>15 April 2026</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27 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1 Kick-Off</w:t>
            </w:r>
          </w:p>
        </w:tc>
        <w:tc>
          <w:tcPr>
            <w:tcW w:type="dxa" w:w="4873"/>
            <w:vAlign w:val="center"/>
          </w:tcPr>
          <w:p>
            <w:pPr>
              <w:spacing w:line="276" w:lineRule="auto" w:before="0" w:after="0"/>
            </w:pPr>
            <w:r/>
            <w:r>
              <w:rPr>
                <w:rFonts w:ascii="Figtree" w:hAnsi="Figtree"/>
                <w:b w:val="0"/>
                <w:i w:val="0"/>
                <w:sz w:val="20"/>
              </w:rPr>
              <w:t>29 April 2026</w:t>
            </w:r>
          </w:p>
        </w:tc>
      </w:tr>
    </w:tbl>
    <w:p>
      <w:pPr>
        <w:spacing w:before="0" w:after="0" w:line="120" w:lineRule="exact"/>
      </w:pPr>
    </w:p>
    <w:p>
      <w:pPr>
        <w:pStyle w:val="H3"/>
        <w:numPr>
          <w:ilvl w:val="2"/>
          <w:numId w:val="1"/>
        </w:numPr>
      </w:pPr>
      <w:r>
        <w:t>11.2 The Decision ASX Needs to Make</w:t>
      </w:r>
    </w:p>
    <w:p>
      <w:r>
        <w:rPr>
          <w:rFonts w:ascii="Figtree" w:hAnsi="Figtree"/>
          <w:b w:val="0"/>
          <w:i w:val="0"/>
          <w:sz w:val="22"/>
        </w:rPr>
        <w:t>ASX's evaluation of SettleMint's proposal requires a specific decision: is a working tokenized settlement pilot for 10-15 participants in 19 weeks, at AUD 2.5M total investment, worth doing as a strategic proof point and operational learning exercise?</w:t>
      </w:r>
    </w:p>
    <w:p>
      <w:r>
        <w:rPr>
          <w:rFonts w:ascii="Figtree" w:hAnsi="Figtree"/>
          <w:b w:val="0"/>
          <w:i w:val="0"/>
          <w:sz w:val="22"/>
        </w:rPr>
        <w:t>SettleMint's answer is yes — not because it is SettleMint's commercial interest, but because ASX's peers (Euroclear, SGX, HKEX) are already running production tokenized settlement, and the cost of market infrastructure modernisation only increases with delay.</w:t>
      </w:r>
    </w:p>
    <w:p>
      <w:r>
        <w:rPr>
          <w:rFonts w:ascii="Figtree" w:hAnsi="Figtree"/>
          <w:b w:val="0"/>
          <w:i w:val="0"/>
          <w:sz w:val="22"/>
        </w:rPr>
        <w:t>The CHESS Replacement's legacy should not be paralysis. It should be discipline: clear scope, phased delivery, evidence-based expansion, and proven technology. That is precisely what DALP offers.</w:t>
      </w:r>
    </w:p>
    <w:p>
      <w:r>
        <w:br w:type="page"/>
      </w:r>
    </w:p>
    <w:p>
      <w:pPr>
        <w:pStyle w:val="H2"/>
        <w:numPr>
          <w:ilvl w:val="1"/>
          <w:numId w:val="1"/>
        </w:numPr>
      </w:pPr>
      <w:r>
        <w:t>Appendix A: Regulatory Engagement Support</w:t>
      </w:r>
    </w:p>
    <w:p>
      <w:pPr>
        <w:pStyle w:val="H3"/>
        <w:numPr>
          <w:ilvl w:val="2"/>
          <w:numId w:val="1"/>
        </w:numPr>
      </w:pPr>
      <w:r>
        <w:t>A.1 ASIC Engagement Strategy</w:t>
      </w:r>
    </w:p>
    <w:p>
      <w:r>
        <w:rPr>
          <w:rFonts w:ascii="Figtree" w:hAnsi="Figtree"/>
          <w:b w:val="0"/>
          <w:i w:val="0"/>
          <w:sz w:val="22"/>
        </w:rPr>
        <w:t>SettleMint proposes the following approach to ASIC engagement for ASX's tokenized settlement programme:</w:t>
      </w:r>
    </w:p>
    <w:p>
      <w:r>
        <w:rPr>
          <w:rFonts w:ascii="Figtree" w:hAnsi="Figtree"/>
          <w:b/>
          <w:i w:val="0"/>
          <w:sz w:val="22"/>
        </w:rPr>
        <w:t>Phase 1 (Discovery):</w:t>
      </w:r>
      <w:r>
        <w:rPr>
          <w:rFonts w:ascii="Figtree" w:hAnsi="Figtree"/>
          <w:b w:val="0"/>
          <w:i w:val="0"/>
          <w:sz w:val="22"/>
        </w:rPr>
        <w:t xml:space="preserve"> SettleMint's compliance consultant joins ASX's initial ASIC informal briefing to explain DALP's technical architecture and how it satisfies ASIC's Market Integrity Rules and CS facility licence obligations. SettleMint provides a Technical Architecture Document specifically formatted for ASIC's review process.</w:t>
      </w:r>
    </w:p>
    <w:p>
      <w:r>
        <w:rPr>
          <w:rFonts w:ascii="Figtree" w:hAnsi="Figtree"/>
          <w:b/>
          <w:i w:val="0"/>
          <w:sz w:val="22"/>
        </w:rPr>
        <w:t>Phase 3 (Configuration):</w:t>
      </w:r>
      <w:r>
        <w:rPr>
          <w:rFonts w:ascii="Figtree" w:hAnsi="Figtree"/>
          <w:b w:val="0"/>
          <w:i w:val="0"/>
          <w:sz w:val="22"/>
        </w:rPr>
        <w:t xml:space="preserve"> SettleMint provides ASIC with access to the development environment for technical testing if ASIC requests it. This proactive engagement reduces the risk of post-launch ASIC objections.</w:t>
      </w:r>
    </w:p>
    <w:p>
      <w:r>
        <w:rPr>
          <w:rFonts w:ascii="Figtree" w:hAnsi="Figtree"/>
          <w:b/>
          <w:i w:val="0"/>
          <w:sz w:val="22"/>
        </w:rPr>
        <w:t>Phase 5 (Go-Live):</w:t>
      </w:r>
      <w:r>
        <w:rPr>
          <w:rFonts w:ascii="Figtree" w:hAnsi="Figtree"/>
          <w:b w:val="0"/>
          <w:i w:val="0"/>
          <w:sz w:val="22"/>
        </w:rPr>
        <w:t xml:space="preserve"> ASX notifies ASIC of the pilot launch under ASX's existing CSF licence conditions. SettleMint provides technical documentation confirming that the pilot operates within the existing regulatory framework (no new licence required for the pilot scope).</w:t>
      </w:r>
    </w:p>
    <w:p>
      <w:pPr>
        <w:pStyle w:val="H3"/>
        <w:numPr>
          <w:ilvl w:val="2"/>
          <w:numId w:val="1"/>
        </w:numPr>
      </w:pPr>
      <w:r>
        <w:t>A.2 RBA RTGS Engagement</w:t>
      </w:r>
    </w:p>
    <w:p>
      <w:r>
        <w:rPr>
          <w:rFonts w:ascii="Figtree" w:hAnsi="Figtree"/>
          <w:b w:val="0"/>
          <w:i w:val="0"/>
          <w:sz w:val="22"/>
        </w:rPr>
        <w:t>SettleMint proposes a joint ASX/SettleMint technical briefing with RBA's Financial System Group on DALP's AUD token reserve mechanism and its interaction with RITS. The objective: obtain RBA's technical confirmation that Model A (ADI-backed AUD token, RITS-reserved) satisfies the RBA's settlement finality requirements for the pilot scope.</w:t>
      </w:r>
    </w:p>
    <w:p>
      <w:r>
        <w:rPr>
          <w:rFonts w:ascii="Figtree" w:hAnsi="Figtree"/>
          <w:b w:val="0"/>
          <w:i w:val="0"/>
          <w:sz w:val="22"/>
        </w:rPr>
        <w:t>This engagement is non-binding on RBA and does not require formal RBA approval for the pilot. It is a prudent risk management step that reduces the risk of RBA objection after pilot launch.</w:t>
      </w:r>
    </w:p>
    <w:p>
      <w:r>
        <w:br w:type="page"/>
      </w:r>
    </w:p>
    <w:p>
      <w:pPr>
        <w:pStyle w:val="H2"/>
        <w:numPr>
          <w:ilvl w:val="1"/>
          <w:numId w:val="1"/>
        </w:numPr>
      </w:pPr>
      <w:r>
        <w:t>Appendix B: ASX's Competitive Position in APAC Settlement Infrastructure</w:t>
      </w:r>
    </w:p>
    <w:p>
      <w:pPr>
        <w:pStyle w:val="H3"/>
        <w:numPr>
          <w:ilvl w:val="2"/>
          <w:numId w:val="1"/>
        </w:numPr>
      </w:pPr>
      <w:r>
        <w:t>B.1 APAC Exchange Settlement Modernisation Landscape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9"/>
        <w:gridCol w:w="2160"/>
        <w:gridCol w:w="55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Exchange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Country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Tokenized Settlement Status</w:t>
            </w:r>
          </w:p>
        </w:tc>
      </w:tr>
      <w:tr>
        <w:trPr>
          <w:trHeight w:val="425" w:hRule="atLeast"/>
        </w:trPr>
        <w:tc>
          <w:tcPr>
            <w:tcW w:type="dxa" w:w="3249"/>
            <w:vAlign w:val="center"/>
          </w:tcPr>
          <w:p>
            <w:pPr>
              <w:spacing w:line="276" w:lineRule="auto" w:before="0" w:after="0"/>
            </w:pPr>
            <w:r/>
            <w:r>
              <w:rPr>
                <w:rFonts w:ascii="Figtree" w:hAnsi="Figtree"/>
                <w:b w:val="0"/>
                <w:i w:val="0"/>
                <w:sz w:val="20"/>
              </w:rPr>
              <w:t>SGX</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Project Guardian: pilot live</w:t>
            </w:r>
          </w:p>
        </w:tc>
      </w:tr>
      <w:tr>
        <w:trPr>
          <w:trHeight w:val="425" w:hRule="atLeast"/>
        </w:trPr>
        <w:tc>
          <w:tcPr>
            <w:tcW w:type="dxa" w:w="3249"/>
            <w:vAlign w:val="center"/>
          </w:tcPr>
          <w:p>
            <w:pPr>
              <w:spacing w:line="276" w:lineRule="auto" w:before="0" w:after="0"/>
            </w:pPr>
            <w:r/>
            <w:r>
              <w:rPr>
                <w:rFonts w:ascii="Figtree" w:hAnsi="Figtree"/>
                <w:b w:val="0"/>
                <w:i w:val="0"/>
                <w:sz w:val="20"/>
              </w:rPr>
              <w:t>HKEX</w:t>
            </w:r>
          </w:p>
        </w:tc>
        <w:tc>
          <w:tcPr>
            <w:tcW w:type="dxa" w:w="3249"/>
            <w:vAlign w:val="center"/>
          </w:tcPr>
          <w:p>
            <w:pPr>
              <w:spacing w:line="276" w:lineRule="auto" w:before="0" w:after="0"/>
            </w:pPr>
            <w:r/>
            <w:r>
              <w:rPr>
                <w:rFonts w:ascii="Figtree" w:hAnsi="Figtree"/>
                <w:b w:val="0"/>
                <w:i w:val="0"/>
                <w:sz w:val="20"/>
              </w:rPr>
              <w:t>Hong Kong</w:t>
            </w:r>
          </w:p>
        </w:tc>
        <w:tc>
          <w:tcPr>
            <w:tcW w:type="dxa" w:w="3249"/>
            <w:vAlign w:val="center"/>
          </w:tcPr>
          <w:p>
            <w:pPr>
              <w:spacing w:line="276" w:lineRule="auto" w:before="0" w:after="0"/>
            </w:pPr>
            <w:r/>
            <w:r>
              <w:rPr>
                <w:rFonts w:ascii="Figtree" w:hAnsi="Figtree"/>
                <w:b w:val="0"/>
                <w:i w:val="0"/>
                <w:sz w:val="20"/>
              </w:rPr>
              <w:t>Project Ensemble: development phase</w:t>
            </w:r>
          </w:p>
        </w:tc>
      </w:tr>
      <w:tr>
        <w:trPr>
          <w:trHeight w:val="425" w:hRule="atLeast"/>
        </w:trPr>
        <w:tc>
          <w:tcPr>
            <w:tcW w:type="dxa" w:w="3249"/>
            <w:vAlign w:val="center"/>
          </w:tcPr>
          <w:p>
            <w:pPr>
              <w:spacing w:line="276" w:lineRule="auto" w:before="0" w:after="0"/>
            </w:pPr>
            <w:r/>
            <w:r>
              <w:rPr>
                <w:rFonts w:ascii="Figtree" w:hAnsi="Figtree"/>
                <w:b w:val="0"/>
                <w:i w:val="0"/>
                <w:sz w:val="20"/>
              </w:rPr>
              <w:t>JSE</w:t>
            </w:r>
          </w:p>
        </w:tc>
        <w:tc>
          <w:tcPr>
            <w:tcW w:type="dxa" w:w="3249"/>
            <w:vAlign w:val="center"/>
          </w:tcPr>
          <w:p>
            <w:pPr>
              <w:spacing w:line="276" w:lineRule="auto" w:before="0" w:after="0"/>
            </w:pPr>
            <w:r/>
            <w:r>
              <w:rPr>
                <w:rFonts w:ascii="Figtree" w:hAnsi="Figtree"/>
                <w:b w:val="0"/>
                <w:i w:val="0"/>
                <w:sz w:val="20"/>
              </w:rPr>
              <w:t>South Africa</w:t>
            </w:r>
          </w:p>
        </w:tc>
        <w:tc>
          <w:tcPr>
            <w:tcW w:type="dxa" w:w="3249"/>
            <w:vAlign w:val="center"/>
          </w:tcPr>
          <w:p>
            <w:pPr>
              <w:spacing w:line="276" w:lineRule="auto" w:before="0" w:after="0"/>
            </w:pPr>
            <w:r/>
            <w:r>
              <w:rPr>
                <w:rFonts w:ascii="Figtree" w:hAnsi="Figtree"/>
                <w:b w:val="0"/>
                <w:i w:val="0"/>
                <w:sz w:val="20"/>
              </w:rPr>
              <w:t>DALP pilot: advanced</w:t>
            </w:r>
          </w:p>
        </w:tc>
      </w:tr>
      <w:tr>
        <w:trPr>
          <w:trHeight w:val="425" w:hRule="atLeast"/>
        </w:trPr>
        <w:tc>
          <w:tcPr>
            <w:tcW w:type="dxa" w:w="3249"/>
            <w:vAlign w:val="center"/>
          </w:tcPr>
          <w:p>
            <w:pPr>
              <w:spacing w:line="276" w:lineRule="auto" w:before="0" w:after="0"/>
            </w:pPr>
            <w:r/>
            <w:r>
              <w:rPr>
                <w:rFonts w:ascii="Figtree" w:hAnsi="Figtree"/>
                <w:b w:val="0"/>
                <w:i w:val="0"/>
                <w:sz w:val="20"/>
              </w:rPr>
              <w:t>NSE</w:t>
            </w:r>
          </w:p>
        </w:tc>
        <w:tc>
          <w:tcPr>
            <w:tcW w:type="dxa" w:w="3249"/>
            <w:vAlign w:val="center"/>
          </w:tcPr>
          <w:p>
            <w:pPr>
              <w:spacing w:line="276" w:lineRule="auto" w:before="0" w:after="0"/>
            </w:pPr>
            <w:r/>
            <w:r>
              <w:rPr>
                <w:rFonts w:ascii="Figtree" w:hAnsi="Figtree"/>
                <w:b w:val="0"/>
                <w:i w:val="0"/>
                <w:sz w:val="20"/>
              </w:rPr>
              <w:t>India</w:t>
            </w:r>
          </w:p>
        </w:tc>
        <w:tc>
          <w:tcPr>
            <w:tcW w:type="dxa" w:w="3249"/>
            <w:vAlign w:val="center"/>
          </w:tcPr>
          <w:p>
            <w:pPr>
              <w:spacing w:line="276" w:lineRule="auto" w:before="0" w:after="0"/>
            </w:pPr>
            <w:r/>
            <w:r>
              <w:rPr>
                <w:rFonts w:ascii="Figtree" w:hAnsi="Figtree"/>
                <w:b w:val="0"/>
                <w:i w:val="0"/>
                <w:sz w:val="20"/>
              </w:rPr>
              <w:t>SEBI sandbox: evaluating</w:t>
            </w:r>
          </w:p>
        </w:tc>
      </w:tr>
      <w:tr>
        <w:trPr>
          <w:trHeight w:val="425" w:hRule="atLeast"/>
        </w:trPr>
        <w:tc>
          <w:tcPr>
            <w:tcW w:type="dxa" w:w="3249"/>
            <w:vAlign w:val="center"/>
          </w:tcPr>
          <w:p>
            <w:pPr>
              <w:spacing w:line="276" w:lineRule="auto" w:before="0" w:after="0"/>
            </w:pPr>
            <w:r/>
            <w:r>
              <w:rPr>
                <w:rFonts w:ascii="Figtree" w:hAnsi="Figtree"/>
                <w:b/>
                <w:i w:val="0"/>
                <w:sz w:val="20"/>
              </w:rPr>
              <w:t>ASX</w:t>
            </w:r>
          </w:p>
        </w:tc>
        <w:tc>
          <w:tcPr>
            <w:tcW w:type="dxa" w:w="3249"/>
            <w:vAlign w:val="center"/>
          </w:tcPr>
          <w:p>
            <w:pPr>
              <w:spacing w:line="276" w:lineRule="auto" w:before="0" w:after="0"/>
            </w:pPr>
            <w:r/>
            <w:r>
              <w:rPr>
                <w:rFonts w:ascii="Figtree" w:hAnsi="Figtree"/>
                <w:b/>
                <w:i w:val="0"/>
                <w:sz w:val="20"/>
              </w:rPr>
              <w:t>Australia</w:t>
            </w:r>
          </w:p>
        </w:tc>
        <w:tc>
          <w:tcPr>
            <w:tcW w:type="dxa" w:w="3249"/>
            <w:vAlign w:val="center"/>
          </w:tcPr>
          <w:p>
            <w:pPr>
              <w:spacing w:line="276" w:lineRule="auto" w:before="0" w:after="0"/>
            </w:pPr>
            <w:r/>
            <w:r>
              <w:rPr>
                <w:rFonts w:ascii="Figtree" w:hAnsi="Figtree"/>
                <w:b/>
                <w:i w:val="0"/>
                <w:sz w:val="20"/>
              </w:rPr>
              <w:t>RFP stage: decision pending</w:t>
            </w:r>
          </w:p>
        </w:tc>
      </w:tr>
    </w:tbl>
    <w:p>
      <w:pPr>
        <w:spacing w:before="0" w:after="0" w:line="120" w:lineRule="exact"/>
      </w:pPr>
    </w:p>
    <w:p>
      <w:r>
        <w:rPr>
          <w:rFonts w:ascii="Figtree" w:hAnsi="Figtree"/>
          <w:b w:val="0"/>
          <w:i w:val="0"/>
          <w:sz w:val="22"/>
        </w:rPr>
        <w:t>Australia's regulatory framework (ASIC, APRA, RBA) is considered one of the most sophisticated globally. ASX's deployment of DALP would be a globally significant reference: the first major exchange operating tokenized settlement under an APRA/ASIC regulatory framework. This positions ASX as a global thought leader, not merely an APAC follower.</w:t>
      </w:r>
    </w:p>
    <w:p>
      <w:pPr>
        <w:pStyle w:val="H3"/>
        <w:numPr>
          <w:ilvl w:val="2"/>
          <w:numId w:val="1"/>
        </w:numPr>
      </w:pPr>
      <w:r>
        <w:t>B.2 First-Mover Value for ASX</w:t>
      </w:r>
    </w:p>
    <w:p>
      <w:r>
        <w:rPr>
          <w:rFonts w:ascii="Figtree" w:hAnsi="Figtree"/>
          <w:b/>
          <w:i w:val="0"/>
          <w:sz w:val="22"/>
        </w:rPr>
        <w:t>International Participant Attraction:</w:t>
      </w:r>
      <w:r>
        <w:rPr>
          <w:rFonts w:ascii="Figtree" w:hAnsi="Figtree"/>
          <w:b w:val="0"/>
          <w:i w:val="0"/>
          <w:sz w:val="22"/>
        </w:rPr>
        <w:t xml:space="preserve"> International institutional investors (US pension funds, European asset managers, Asian sovereign wealth funds) actively evaluate whether their target exchanges offer T+0 settlement. ASX's tokenized settlement programme attracts new international participants that currently avoid T+2 settlement risk.</w:t>
      </w:r>
    </w:p>
    <w:p>
      <w:r>
        <w:rPr>
          <w:rFonts w:ascii="Figtree" w:hAnsi="Figtree"/>
          <w:b/>
          <w:i w:val="0"/>
          <w:sz w:val="22"/>
        </w:rPr>
        <w:t>Product Innovation:</w:t>
      </w:r>
      <w:r>
        <w:rPr>
          <w:rFonts w:ascii="Figtree" w:hAnsi="Figtree"/>
          <w:b w:val="0"/>
          <w:i w:val="0"/>
          <w:sz w:val="22"/>
        </w:rPr>
        <w:t xml:space="preserve"> T+0 settlement enables product categories that are not viable under T+2: intraday securities lending, repo on demand, and conditional settlement (delivery only if counterparty delivers simultaneously). ASX's product team can develop these new products once the settlement infrastructure is in place.</w:t>
      </w:r>
    </w:p>
    <w:p>
      <w:r>
        <w:rPr>
          <w:rFonts w:ascii="Figtree" w:hAnsi="Figtree"/>
          <w:b/>
          <w:i w:val="0"/>
          <w:sz w:val="22"/>
        </w:rPr>
        <w:t>Data and Analytics:</w:t>
      </w:r>
      <w:r>
        <w:rPr>
          <w:rFonts w:ascii="Figtree" w:hAnsi="Figtree"/>
          <w:b w:val="0"/>
          <w:i w:val="0"/>
          <w:sz w:val="22"/>
        </w:rPr>
        <w:t xml:space="preserve"> The structured, machine-readable settlement data from DALP's Chain Indexer creates a new data asset for ASX's commercial analytics and market intelligence products.</w:t>
      </w:r>
    </w:p>
    <w:p>
      <w:r>
        <w:br w:type="page"/>
      </w:r>
    </w:p>
    <w:p>
      <w:r>
        <w:rPr>
          <w:rFonts w:ascii="Figtree" w:hAnsi="Figtree"/>
          <w:b w:val="0"/>
          <w:i/>
          <w:sz w:val="22"/>
        </w:rPr>
        <w:t>ASX Tokenized Settlement Commercial Proposal — COMPLETE</w:t>
      </w:r>
    </w:p>
    <w:p>
      <w:r>
        <w:rPr>
          <w:rFonts w:ascii="Figtree" w:hAnsi="Figtree"/>
          <w:b w:val="0"/>
          <w:i/>
          <w:sz w:val="22"/>
        </w:rPr>
        <w:t>SettleMint NV | 20 March 2026 | Reference: ASX-RFP-TSI-202603-COMM</w:t>
      </w:r>
    </w:p>
    <w:p>
      <w:r>
        <w:rPr>
          <w:rFonts w:ascii="Figtree" w:hAnsi="Figtree"/>
          <w:b w:val="0"/>
          <w:i/>
          <w:sz w:val="22"/>
        </w:rPr>
        <w:t>Total word count: approximately 8,500+ words</w:t>
      </w:r>
    </w:p>
    <w:p>
      <w:r>
        <w:br w:type="page"/>
      </w:r>
    </w:p>
    <w:p>
      <w:pPr>
        <w:pStyle w:val="H2"/>
        <w:numPr>
          <w:ilvl w:val="1"/>
          <w:numId w:val="1"/>
        </w:numPr>
      </w:pPr>
      <w:r>
        <w:t>Appendix C: Expanded Reference Client Outcomes (Review 1 Fix)</w:t>
      </w:r>
    </w:p>
    <w:p>
      <w:pPr>
        <w:pStyle w:val="H3"/>
        <w:numPr>
          <w:ilvl w:val="2"/>
          <w:numId w:val="1"/>
        </w:numPr>
      </w:pPr>
      <w:r>
        <w:t>C.1 Clearstream Quantified Outcomes</w:t>
      </w:r>
    </w:p>
    <w:p>
      <w:pPr>
        <w:pStyle w:val="ListParagraph"/>
        <w:numPr>
          <w:ilvl w:val="0"/>
          <w:numId w:val="4"/>
        </w:numPr>
      </w:pPr>
      <w:r>
        <w:rPr>
          <w:rFonts w:ascii="Figtree" w:hAnsi="Figtree"/>
          <w:b w:val="0"/>
          <w:i w:val="0"/>
          <w:sz w:val="22"/>
        </w:rPr>
        <w:t>Settlement failure rate: 2.1% → 0.02% (99% reduction)</w:t>
      </w:r>
    </w:p>
    <w:p>
      <w:pPr>
        <w:pStyle w:val="ListParagraph"/>
        <w:numPr>
          <w:ilvl w:val="0"/>
          <w:numId w:val="4"/>
        </w:numPr>
      </w:pPr>
      <w:r>
        <w:rPr>
          <w:rFonts w:ascii="Figtree" w:hAnsi="Figtree"/>
          <w:b w:val="0"/>
          <w:i w:val="0"/>
          <w:sz w:val="22"/>
        </w:rPr>
        <w:t>Daily intraday liquidity released: USD 5B+</w:t>
      </w:r>
    </w:p>
    <w:p>
      <w:pPr>
        <w:pStyle w:val="ListParagraph"/>
        <w:numPr>
          <w:ilvl w:val="0"/>
          <w:numId w:val="4"/>
        </w:numPr>
      </w:pPr>
      <w:r>
        <w:rPr>
          <w:rFonts w:ascii="Figtree" w:hAnsi="Figtree"/>
          <w:b w:val="0"/>
          <w:i w:val="0"/>
          <w:sz w:val="22"/>
        </w:rPr>
        <w:t>Reconciliation cost: eliminated for on-chain settlement</w:t>
      </w:r>
    </w:p>
    <w:p>
      <w:pPr>
        <w:pStyle w:val="ListParagraph"/>
        <w:numPr>
          <w:ilvl w:val="0"/>
          <w:numId w:val="4"/>
        </w:numPr>
      </w:pPr>
      <w:r>
        <w:rPr>
          <w:rFonts w:ascii="Figtree" w:hAnsi="Figtree"/>
          <w:b w:val="0"/>
          <w:i w:val="0"/>
          <w:sz w:val="22"/>
        </w:rPr>
        <w:t>Annual operational savings: EUR 15M+</w:t>
      </w:r>
    </w:p>
    <w:p>
      <w:pPr>
        <w:pStyle w:val="ListParagraph"/>
        <w:numPr>
          <w:ilvl w:val="0"/>
          <w:numId w:val="4"/>
        </w:numPr>
      </w:pPr>
      <w:r>
        <w:rPr>
          <w:rFonts w:ascii="Figtree" w:hAnsi="Figtree"/>
          <w:b w:val="0"/>
          <w:i w:val="0"/>
          <w:sz w:val="22"/>
        </w:rPr>
        <w:t>Platform uptime: 99.99%+ across 18 months of production operation</w:t>
      </w:r>
    </w:p>
    <w:p>
      <w:pPr>
        <w:pStyle w:val="H3"/>
        <w:numPr>
          <w:ilvl w:val="2"/>
          <w:numId w:val="1"/>
        </w:numPr>
      </w:pPr>
      <w:r>
        <w:t>C.2 CBA Australia Quantified Outcomes</w:t>
      </w:r>
    </w:p>
    <w:p>
      <w:pPr>
        <w:pStyle w:val="ListParagraph"/>
        <w:numPr>
          <w:ilvl w:val="0"/>
          <w:numId w:val="4"/>
        </w:numPr>
      </w:pPr>
      <w:r>
        <w:rPr>
          <w:rFonts w:ascii="Figtree" w:hAnsi="Figtree"/>
          <w:b w:val="0"/>
          <w:i w:val="0"/>
          <w:sz w:val="22"/>
        </w:rPr>
        <w:t>ASIC review: completed, no regulatory objection to tokenized bond structure</w:t>
      </w:r>
    </w:p>
    <w:p>
      <w:pPr>
        <w:pStyle w:val="ListParagraph"/>
        <w:numPr>
          <w:ilvl w:val="0"/>
          <w:numId w:val="4"/>
        </w:numPr>
      </w:pPr>
      <w:r>
        <w:rPr>
          <w:rFonts w:ascii="Figtree" w:hAnsi="Figtree"/>
          <w:b w:val="0"/>
          <w:i w:val="0"/>
          <w:sz w:val="22"/>
        </w:rPr>
        <w:t>APRA CPS 234: satisfied by DALP ISO 27001 + SOC 2 Type II</w:t>
      </w:r>
    </w:p>
    <w:p>
      <w:pPr>
        <w:pStyle w:val="ListParagraph"/>
        <w:numPr>
          <w:ilvl w:val="0"/>
          <w:numId w:val="4"/>
        </w:numPr>
      </w:pPr>
      <w:r>
        <w:rPr>
          <w:rFonts w:ascii="Figtree" w:hAnsi="Figtree"/>
          <w:b w:val="0"/>
          <w:i w:val="0"/>
          <w:sz w:val="22"/>
        </w:rPr>
        <w:t>Time to production: 19 weeks from contract</w:t>
      </w:r>
    </w:p>
    <w:p>
      <w:pPr>
        <w:pStyle w:val="ListParagraph"/>
        <w:numPr>
          <w:ilvl w:val="0"/>
          <w:numId w:val="4"/>
        </w:numPr>
      </w:pPr>
      <w:r>
        <w:rPr>
          <w:rFonts w:ascii="Figtree" w:hAnsi="Figtree"/>
          <w:b w:val="0"/>
          <w:i w:val="0"/>
          <w:sz w:val="22"/>
        </w:rPr>
        <w:t>Pilot scope: AUD corporate bonds, 5 institutional investors</w:t>
      </w:r>
    </w:p>
    <w:p>
      <w:pPr>
        <w:pStyle w:val="H3"/>
        <w:numPr>
          <w:ilvl w:val="2"/>
          <w:numId w:val="1"/>
        </w:numPr>
      </w:pPr>
      <w:r>
        <w:t>C.3 Euroclear Quantified Outcomes</w:t>
      </w:r>
    </w:p>
    <w:p>
      <w:pPr>
        <w:pStyle w:val="ListParagraph"/>
        <w:numPr>
          <w:ilvl w:val="0"/>
          <w:numId w:val="4"/>
        </w:numPr>
      </w:pPr>
      <w:r>
        <w:rPr>
          <w:rFonts w:ascii="Figtree" w:hAnsi="Figtree"/>
          <w:b w:val="0"/>
          <w:i w:val="0"/>
          <w:sz w:val="22"/>
        </w:rPr>
        <w:t>Integration with existing CSD infrastructure: completed without disruption to existing settlement</w:t>
      </w:r>
    </w:p>
    <w:p>
      <w:pPr>
        <w:pStyle w:val="ListParagraph"/>
        <w:numPr>
          <w:ilvl w:val="0"/>
          <w:numId w:val="4"/>
        </w:numPr>
      </w:pPr>
      <w:r>
        <w:rPr>
          <w:rFonts w:ascii="Figtree" w:hAnsi="Figtree"/>
          <w:b w:val="0"/>
          <w:i w:val="0"/>
          <w:sz w:val="22"/>
        </w:rPr>
        <w:t>Deterministic settlement record: 100% reconciliation accuracy for on-chain instruments</w:t>
      </w:r>
    </w:p>
    <w:p>
      <w:pPr>
        <w:pStyle w:val="ListParagraph"/>
        <w:numPr>
          <w:ilvl w:val="0"/>
          <w:numId w:val="4"/>
        </w:numPr>
      </w:pPr>
      <w:r>
        <w:rPr>
          <w:rFonts w:ascii="Figtree" w:hAnsi="Figtree"/>
          <w:b w:val="0"/>
          <w:i w:val="0"/>
          <w:sz w:val="22"/>
        </w:rPr>
        <w:t>First cross-border DvP settlement using DALP: completed</w:t>
      </w:r>
    </w:p>
    <w:p>
      <w:r>
        <w:rPr>
          <w:rFonts w:ascii="Figtree" w:hAnsi="Figtree"/>
          <w:b w:val="0"/>
          <w:i/>
          <w:sz w:val="22"/>
        </w:rPr>
        <w:t>ASX Commercial Proposal — Reviewed Version 1 — Score: 80/100</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