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Recommended Commercial Configuration</w:t>
          </w:r>
          <w:r>
            <w:tab/>
          </w:r>
          <w:r>
            <w:t xml:space="preserve">5</w:t>
          </w:r>
        </w:p>
        <w:p>
          <w:pPr>
            <w:pStyle w:val="TOC2"/>
            <w:tabs>
              <w:tab w:val="right" w:leader="dot" w:pos="9072"/>
            </w:tabs>
          </w:pPr>
          <w:r>
            <w:t xml:space="preserve">License and Subscription Fees</w:t>
          </w:r>
          <w:r>
            <w:tab/>
          </w:r>
          <w:r>
            <w:t xml:space="preserve">6</w:t>
          </w:r>
        </w:p>
        <w:p>
          <w:pPr>
            <w:pStyle w:val="TOC3"/>
            <w:tabs>
              <w:tab w:val="right" w:leader="dot" w:pos="9072"/>
            </w:tabs>
          </w:pPr>
          <w:r>
            <w:t xml:space="preserve">Annual License Structure</w:t>
          </w:r>
          <w:r>
            <w:tab/>
          </w:r>
          <w:r>
            <w:t xml:space="preserve">7</w:t>
          </w:r>
        </w:p>
        <w:p>
          <w:pPr>
            <w:pStyle w:val="TOC3"/>
            <w:tabs>
              <w:tab w:val="right" w:leader="dot" w:pos="9072"/>
            </w:tabs>
          </w:pPr>
          <w:r>
            <w:t xml:space="preserve">License Inclusions</w:t>
          </w:r>
          <w:r>
            <w:tab/>
          </w:r>
          <w:r>
            <w:t xml:space="preserve">8</w:t>
          </w:r>
        </w:p>
        <w:p>
          <w:pPr>
            <w:pStyle w:val="TOC3"/>
            <w:tabs>
              <w:tab w:val="right" w:leader="dot" w:pos="9072"/>
            </w:tabs>
          </w:pPr>
          <w:r>
            <w:t xml:space="preserve">License Exclusions</w:t>
          </w:r>
          <w:r>
            <w:tab/>
          </w:r>
          <w:r>
            <w:t xml:space="preserve">9</w:t>
          </w:r>
        </w:p>
        <w:p>
          <w:pPr>
            <w:pStyle w:val="TOC2"/>
            <w:tabs>
              <w:tab w:val="right" w:leader="dot" w:pos="9072"/>
            </w:tabs>
          </w:pPr>
          <w:r>
            <w:t xml:space="preserve">Implementation Services</w:t>
          </w:r>
          <w:r>
            <w:tab/>
          </w:r>
          <w:r>
            <w:t xml:space="preserve">10</w:t>
          </w:r>
        </w:p>
        <w:p>
          <w:pPr>
            <w:pStyle w:val="TOC3"/>
            <w:tabs>
              <w:tab w:val="right" w:leader="dot" w:pos="9072"/>
            </w:tabs>
          </w:pPr>
          <w:r>
            <w:t xml:space="preserve">Engagement Model</w:t>
          </w:r>
          <w:r>
            <w:tab/>
          </w:r>
          <w:r>
            <w:t xml:space="preserve">11</w:t>
          </w:r>
        </w:p>
        <w:p>
          <w:pPr>
            <w:pStyle w:val="TOC3"/>
            <w:tabs>
              <w:tab w:val="right" w:leader="dot" w:pos="9072"/>
            </w:tabs>
          </w:pPr>
          <w:r>
            <w:t xml:space="preserve">Implementation Governance</w:t>
          </w:r>
          <w:r>
            <w:tab/>
          </w:r>
          <w:r>
            <w:t xml:space="preserve">12</w:t>
          </w:r>
        </w:p>
        <w:p>
          <w:pPr>
            <w:pStyle w:val="TOC2"/>
            <w:tabs>
              <w:tab w:val="right" w:leader="dot" w:pos="9072"/>
            </w:tabs>
          </w:pPr>
          <w:r>
            <w:t xml:space="preserve">Support and Maintenance</w:t>
          </w:r>
          <w:r>
            <w:tab/>
          </w:r>
          <w:r>
            <w:t xml:space="preserve">13</w:t>
          </w:r>
        </w:p>
        <w:p>
          <w:pPr>
            <w:pStyle w:val="TOC3"/>
            <w:tabs>
              <w:tab w:val="right" w:leader="dot" w:pos="9072"/>
            </w:tabs>
          </w:pPr>
          <w:r>
            <w:t xml:space="preserve">Enterprise Support (Included in License)</w:t>
          </w:r>
          <w:r>
            <w:tab/>
          </w:r>
          <w:r>
            <w:t xml:space="preserve">14</w:t>
          </w:r>
        </w:p>
        <w:p>
          <w:pPr>
            <w:pStyle w:val="TOC3"/>
            <w:tabs>
              <w:tab w:val="right" w:leader="dot" w:pos="9072"/>
            </w:tabs>
          </w:pPr>
          <w:r>
            <w:t xml:space="preserve">Maintenance and Update Model</w:t>
          </w:r>
          <w:r>
            <w:tab/>
          </w:r>
          <w:r>
            <w:t xml:space="preserve">15</w:t>
          </w:r>
        </w:p>
        <w:p>
          <w:pPr>
            <w:pStyle w:val="TOC2"/>
            <w:tabs>
              <w:tab w:val="right" w:leader="dot" w:pos="9072"/>
            </w:tabs>
          </w:pPr>
          <w:r>
            <w:t xml:space="preserve">Total Cost of Ownership</w:t>
          </w:r>
          <w:r>
            <w:tab/>
          </w:r>
          <w:r>
            <w:t xml:space="preserve">16</w:t>
          </w:r>
        </w:p>
        <w:p>
          <w:pPr>
            <w:pStyle w:val="TOC3"/>
            <w:tabs>
              <w:tab w:val="right" w:leader="dot" w:pos="9072"/>
            </w:tabs>
          </w:pPr>
          <w:r>
            <w:t xml:space="preserve">Year 1 Investment (Indicative)</w:t>
          </w:r>
          <w:r>
            <w:tab/>
          </w:r>
          <w:r>
            <w:t xml:space="preserve">17</w:t>
          </w:r>
        </w:p>
        <w:p>
          <w:pPr>
            <w:pStyle w:val="TOC3"/>
            <w:tabs>
              <w:tab w:val="right" w:leader="dot" w:pos="9072"/>
            </w:tabs>
          </w:pPr>
          <w:r>
            <w:t xml:space="preserve">Year 2+ Annual Investment</w:t>
          </w:r>
          <w:r>
            <w:tab/>
          </w:r>
          <w:r>
            <w:t xml:space="preserve">18</w:t>
          </w:r>
        </w:p>
        <w:p>
          <w:pPr>
            <w:pStyle w:val="TOC3"/>
            <w:tabs>
              <w:tab w:val="right" w:leader="dot" w:pos="9072"/>
            </w:tabs>
          </w:pPr>
          <w:r>
            <w:t xml:space="preserve">TCO Comparison: DALP vs Build-In-House</w:t>
          </w:r>
          <w:r>
            <w:tab/>
          </w:r>
          <w:r>
            <w:t xml:space="preserve">19</w:t>
          </w:r>
        </w:p>
        <w:p>
          <w:pPr>
            <w:pStyle w:val="TOC3"/>
            <w:tabs>
              <w:tab w:val="right" w:leader="dot" w:pos="9072"/>
            </w:tabs>
          </w:pPr>
          <w:r>
            <w:t xml:space="preserve">ROI Framework</w:t>
          </w:r>
          <w:r>
            <w:tab/>
          </w:r>
          <w:r>
            <w:t xml:space="preserve">20</w:t>
          </w:r>
        </w:p>
        <w:p>
          <w:pPr>
            <w:pStyle w:val="TOC2"/>
            <w:tabs>
              <w:tab w:val="right" w:leader="dot" w:pos="9072"/>
            </w:tabs>
          </w:pPr>
          <w:r>
            <w:t xml:space="preserve">Payment Terms and Conditions</w:t>
          </w:r>
          <w:r>
            <w:tab/>
          </w:r>
          <w:r>
            <w:t xml:space="preserve">21</w:t>
          </w:r>
        </w:p>
        <w:p>
          <w:pPr>
            <w:pStyle w:val="TOC3"/>
            <w:tabs>
              <w:tab w:val="right" w:leader="dot" w:pos="9072"/>
            </w:tabs>
          </w:pPr>
          <w:r>
            <w:t xml:space="preserve">Payment Schedule</w:t>
          </w:r>
          <w:r>
            <w:tab/>
          </w:r>
          <w:r>
            <w:t xml:space="preserve">22</w:t>
          </w:r>
        </w:p>
        <w:p>
          <w:pPr>
            <w:pStyle w:val="TOC3"/>
            <w:tabs>
              <w:tab w:val="right" w:leader="dot" w:pos="9072"/>
            </w:tabs>
          </w:pPr>
          <w:r>
            <w:t xml:space="preserve">Payment Conditions</w:t>
          </w:r>
          <w:r>
            <w:tab/>
          </w:r>
          <w:r>
            <w:t xml:space="preserve">23</w:t>
          </w:r>
        </w:p>
        <w:p>
          <w:pPr>
            <w:pStyle w:val="TOC3"/>
            <w:tabs>
              <w:tab w:val="right" w:leader="dot" w:pos="9072"/>
            </w:tabs>
          </w:pPr>
          <w:r>
            <w:t xml:space="preserve">Governing Law and Dispute Resolution</w:t>
          </w:r>
          <w:r>
            <w:tab/>
          </w:r>
          <w:r>
            <w:t xml:space="preserve">24</w:t>
          </w:r>
        </w:p>
        <w:p>
          <w:pPr>
            <w:pStyle w:val="TOC2"/>
            <w:tabs>
              <w:tab w:val="right" w:leader="dot" w:pos="9072"/>
            </w:tabs>
          </w:pPr>
          <w:r>
            <w:t xml:space="preserve">Commercial Assumptions and Exclusions</w:t>
          </w:r>
          <w:r>
            <w:tab/>
          </w:r>
          <w:r>
            <w:t xml:space="preserve">25</w:t>
          </w:r>
        </w:p>
        <w:p>
          <w:pPr>
            <w:pStyle w:val="TOC3"/>
            <w:tabs>
              <w:tab w:val="right" w:leader="dot" w:pos="9072"/>
            </w:tabs>
          </w:pPr>
          <w:r>
            <w:t xml:space="preserve">Assumptions</w:t>
          </w:r>
          <w:r>
            <w:tab/>
          </w:r>
          <w:r>
            <w:t xml:space="preserve">26</w:t>
          </w:r>
        </w:p>
        <w:p>
          <w:pPr>
            <w:pStyle w:val="TOC3"/>
            <w:tabs>
              <w:tab w:val="right" w:leader="dot" w:pos="9072"/>
            </w:tabs>
          </w:pPr>
          <w:r>
            <w:t xml:space="preserve">Exclusions</w:t>
          </w:r>
          <w:r>
            <w:tab/>
          </w:r>
          <w:r>
            <w:t xml:space="preserve">27</w:t>
          </w:r>
        </w:p>
        <w:p>
          <w:pPr>
            <w:pStyle w:val="TOC2"/>
            <w:tabs>
              <w:tab w:val="right" w:leader="dot" w:pos="9072"/>
            </w:tabs>
          </w:pPr>
          <w:r>
            <w:t xml:space="preserve">Proposal Validity and Next Steps</w:t>
          </w:r>
          <w:r>
            <w:tab/>
          </w:r>
          <w:r>
            <w:t xml:space="preserve">28</w:t>
          </w:r>
        </w:p>
        <w:p>
          <w:pPr>
            <w:pStyle w:val="TOC3"/>
            <w:tabs>
              <w:tab w:val="right" w:leader="dot" w:pos="9072"/>
            </w:tabs>
          </w:pPr>
          <w:r>
            <w:t xml:space="preserve">Proposal Validity</w:t>
          </w:r>
          <w:r>
            <w:tab/>
          </w:r>
          <w:r>
            <w:t xml:space="preserve">29</w:t>
          </w:r>
        </w:p>
        <w:p>
          <w:pPr>
            <w:pStyle w:val="TOC3"/>
            <w:tabs>
              <w:tab w:val="right" w:leader="dot" w:pos="9072"/>
            </w:tabs>
          </w:pPr>
          <w:r>
            <w:t xml:space="preserve">Recommended Next Steps</w:t>
          </w:r>
          <w:r>
            <w:tab/>
          </w:r>
          <w:r>
            <w:t xml:space="preserve">30</w:t>
          </w:r>
        </w:p>
        <w:p>
          <w:pPr>
            <w:pStyle w:val="TOC3"/>
            <w:tabs>
              <w:tab w:val="right" w:leader="dot" w:pos="9072"/>
            </w:tabs>
          </w:pPr>
          <w:r>
            <w:t xml:space="preserve">SettleMint Commercial Contact</w:t>
          </w:r>
          <w:r>
            <w:tab/>
          </w:r>
          <w:r>
            <w:t xml:space="preserve">31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Airwallex</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AIRWALLEX-RFP-202603-CP-001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Confidential — Airwallex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Airwallex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Recommended Commercial Configuration</w:t>
      </w:r>
    </w:p>
    <w:p>
      <w:pPr>
        <w:pStyle w:val="ListParagraph"/>
        <w:numPr>
          <w:ilvl w:val="0"/>
          <w:numId w:val="6"/>
        </w:numPr>
      </w:pPr>
      <w:r>
        <w:rPr>
          <w:rFonts w:ascii="Figtree" w:hAnsi="Figtree"/>
          <w:b w:val="0"/>
          <w:i w:val="0"/>
          <w:sz w:val="22"/>
        </w:rPr>
        <w:t>License and Subscription Fees</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Investment Rationale and ROI Analysis</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Commercial Assumptions and Exclusions</w:t>
      </w:r>
    </w:p>
    <w:p>
      <w:pPr>
        <w:pStyle w:val="ListParagraph"/>
        <w:numPr>
          <w:ilvl w:val="0"/>
          <w:numId w:val="6"/>
        </w:numPr>
      </w:pPr>
      <w:r>
        <w:rPr>
          <w:rFonts w:ascii="Figtree" w:hAnsi="Figtree"/>
          <w:b w:val="0"/>
          <w:i w:val="0"/>
          <w:sz w:val="22"/>
        </w:rPr>
        <w:t>Proposal Validity and Next Steps</w:t>
      </w:r>
    </w:p>
    <w:p>
      <w:r>
        <w:br w:type="page"/>
      </w:r>
    </w:p>
    <w:p>
      <w:pPr>
        <w:pStyle w:val="H2"/>
        <w:numPr>
          <w:ilvl w:val="1"/>
          <w:numId w:val="1"/>
        </w:numPr>
      </w:pPr>
      <w:r>
        <w:t>Executive Summary</w:t>
      </w:r>
    </w:p>
    <w:p>
      <w:r>
        <w:rPr>
          <w:rFonts w:ascii="Figtree" w:hAnsi="Figtree"/>
          <w:b w:val="0"/>
          <w:i w:val="0"/>
          <w:sz w:val="22"/>
        </w:rPr>
        <w:t>Airwallex is procuring a cross-border tokenized settlement infrastructure that can move from controlled programme to business-as-usual operations without a re-platform. This commercial proposal sets out the total investment required to deploy, operate, and scale DALP for that programme under the AIRWALLEX-RFP-202603 procurement.</w:t>
      </w:r>
    </w:p>
    <w:p>
      <w:r>
        <w:rPr>
          <w:rFonts w:ascii="Figtree" w:hAnsi="Figtree"/>
          <w:b w:val="0"/>
          <w:i w:val="0"/>
          <w:sz w:val="22"/>
        </w:rPr>
        <w:t>The recommended commercial configuration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w:t>
      </w:r>
    </w:p>
    <w:p>
      <w:pPr>
        <w:pStyle w:val="ListParagraph"/>
        <w:numPr>
          <w:ilvl w:val="0"/>
          <w:numId w:val="4"/>
        </w:numPr>
      </w:pPr>
      <w:r>
        <w:rPr>
          <w:rFonts w:ascii="Figtree" w:hAnsi="Figtree"/>
          <w:b/>
          <w:i w:val="0"/>
          <w:sz w:val="22"/>
        </w:rPr>
        <w:t>Annual License Fee:</w:t>
      </w:r>
      <w:r>
        <w:rPr>
          <w:rFonts w:ascii="Figtree" w:hAnsi="Figtree"/>
          <w:b w:val="0"/>
          <w:i w:val="0"/>
          <w:sz w:val="22"/>
        </w:rPr>
        <w:t xml:space="preserve"> €420,000 per year (upfront)</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[CLIENT-SPECIFIC — to be scoped in commercial validation]</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 included in licensing package)</w:t>
      </w:r>
    </w:p>
    <w:p>
      <w:pPr>
        <w:pStyle w:val="ListParagraph"/>
        <w:numPr>
          <w:ilvl w:val="0"/>
          <w:numId w:val="4"/>
        </w:numPr>
      </w:pPr>
      <w:r>
        <w:rPr>
          <w:rFonts w:ascii="Figtree" w:hAnsi="Figtree"/>
          <w:b/>
          <w:i w:val="0"/>
          <w:sz w:val="22"/>
        </w:rPr>
        <w:t>Infrastructure:</w:t>
      </w:r>
      <w:r>
        <w:rPr>
          <w:rFonts w:ascii="Figtree" w:hAnsi="Figtree"/>
          <w:b w:val="0"/>
          <w:i w:val="0"/>
          <w:sz w:val="22"/>
        </w:rPr>
        <w:t xml:space="preserve"> Pass-through at cost (Managed SaaS, Singapore region)</w:t>
      </w:r>
    </w:p>
    <w:p>
      <w:r>
        <w:rPr>
          <w:rFonts w:ascii="Figtree" w:hAnsi="Figtree"/>
          <w:b w:val="0"/>
          <w:i w:val="0"/>
          <w:sz w:val="22"/>
        </w:rPr>
        <w:t>The total first-year investment (license + estimated implementation) positions DALP as the lower-risk commercial path against building equivalent infrastructure in-house or assembling point solutions. The critical commercial fact: Airwallex's digital asset settlement programme requires compliance enforcement, governance infrastructure, observability tooling, and API connectivity that a smart contract library cannot provide. DALP provides all of this as a licensed platform. Building equivalent institutional-grade controls from scratch would require multi-year engineering investment and ongoing maintenance overhead.</w:t>
      </w:r>
    </w:p>
    <w:p>
      <w:r>
        <w:rPr>
          <w:rFonts w:ascii="Figtree" w:hAnsi="Figtree"/>
          <w:b w:val="0"/>
          <w:i w:val="0"/>
          <w:sz w:val="22"/>
        </w:rPr>
        <w:t>For a fintech operating at Airwallex's scale and regulatory exposure, the cost of a settlement compliance failure — regulatory action, operational write-down, or reputational damage from a failed cross-border transfer — exceeds the total DALP investment within a single incident. DALP's institutional-grade controls are insurance against that cost, not a luxury.</w:t>
      </w:r>
    </w:p>
    <w:p>
      <w:r>
        <w:rPr>
          <w:rFonts w:ascii="Figtree" w:hAnsi="Figtree"/>
          <w:b w:val="0"/>
          <w:i w:val="0"/>
          <w:sz w:val="22"/>
        </w:rPr>
        <w:t>All prices exclude applicable taxes and VAT.</w:t>
      </w:r>
    </w:p>
    <w:p>
      <w:r>
        <w:br w:type="page"/>
      </w:r>
    </w:p>
    <w:p>
      <w:pPr>
        <w:pStyle w:val="H2"/>
        <w:numPr>
          <w:ilvl w:val="1"/>
          <w:numId w:val="1"/>
        </w:numPr>
      </w:pPr>
      <w:r>
        <w:t>Recommended Commercial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52"/>
        <w:gridCol w:w="2304"/>
        <w:gridCol w:w="56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License Type</w:t>
            </w:r>
          </w:p>
        </w:tc>
        <w:tc>
          <w:tcPr>
            <w:tcW w:type="dxa" w:w="3249"/>
            <w:vAlign w:val="center"/>
          </w:tcPr>
          <w:p>
            <w:pPr>
              <w:spacing w:line="276" w:lineRule="auto" w:before="0" w:after="0"/>
            </w:pPr>
            <w:r/>
            <w:r>
              <w:rPr>
                <w:rFonts w:ascii="Figtree" w:hAnsi="Figtree"/>
                <w:b w:val="0"/>
                <w:i w:val="0"/>
                <w:sz w:val="20"/>
              </w:rPr>
              <w:t>Enterprise License</w:t>
            </w:r>
          </w:p>
        </w:tc>
        <w:tc>
          <w:tcPr>
            <w:tcW w:type="dxa" w:w="3249"/>
            <w:vAlign w:val="center"/>
          </w:tcPr>
          <w:p>
            <w:pPr>
              <w:spacing w:line="276" w:lineRule="auto" w:before="0" w:after="0"/>
            </w:pPr>
            <w:r/>
            <w:r>
              <w:rPr>
                <w:rFonts w:ascii="Figtree" w:hAnsi="Figtree"/>
                <w:b w:val="0"/>
                <w:i w:val="0"/>
                <w:sz w:val="20"/>
              </w:rPr>
              <w:t>Covers production + development environments, full feature set, Enterprise Support</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w:t>
            </w:r>
          </w:p>
        </w:tc>
        <w:tc>
          <w:tcPr>
            <w:tcW w:type="dxa" w:w="3249"/>
            <w:vAlign w:val="center"/>
          </w:tcPr>
          <w:p>
            <w:pPr>
              <w:spacing w:line="276" w:lineRule="auto" w:before="0" w:after="0"/>
            </w:pPr>
            <w:r/>
            <w:r>
              <w:rPr>
                <w:rFonts w:ascii="Figtree" w:hAnsi="Figtree"/>
                <w:b w:val="0"/>
                <w:i w:val="0"/>
                <w:sz w:val="20"/>
              </w:rPr>
              <w:t>Singapore data residency, MAS TRM compliance, fastest time to production</w:t>
            </w:r>
          </w:p>
        </w:tc>
      </w:tr>
      <w:tr>
        <w:trPr>
          <w:trHeight w:val="425" w:hRule="atLeast"/>
        </w:trPr>
        <w:tc>
          <w:tcPr>
            <w:tcW w:type="dxa" w:w="3249"/>
            <w:vAlign w:val="center"/>
          </w:tcPr>
          <w:p>
            <w:pPr>
              <w:spacing w:line="276" w:lineRule="auto" w:before="0" w:after="0"/>
            </w:pPr>
            <w:r/>
            <w:r>
              <w:rPr>
                <w:rFonts w:ascii="Figtree" w:hAnsi="Figtree"/>
                <w:b w:val="0"/>
                <w:i w:val="0"/>
                <w:sz w:val="20"/>
              </w:rPr>
              <w:t>Environments</w:t>
            </w:r>
          </w:p>
        </w:tc>
        <w:tc>
          <w:tcPr>
            <w:tcW w:type="dxa" w:w="3249"/>
            <w:vAlign w:val="center"/>
          </w:tcPr>
          <w:p>
            <w:pPr>
              <w:spacing w:line="276" w:lineRule="auto" w:before="0" w:after="0"/>
            </w:pPr>
            <w:r/>
            <w:r>
              <w:rPr>
                <w:rFonts w:ascii="Figtree" w:hAnsi="Figtree"/>
                <w:b w:val="0"/>
                <w:i w:val="0"/>
                <w:sz w:val="20"/>
              </w:rPr>
              <w:t>Production (1) + Development (1)</w:t>
            </w:r>
          </w:p>
        </w:tc>
        <w:tc>
          <w:tcPr>
            <w:tcW w:type="dxa" w:w="3249"/>
            <w:vAlign w:val="center"/>
          </w:tcPr>
          <w:p>
            <w:pPr>
              <w:spacing w:line="276" w:lineRule="auto" w:before="0" w:after="0"/>
            </w:pPr>
            <w:r/>
            <w:r>
              <w:rPr>
                <w:rFonts w:ascii="Figtree" w:hAnsi="Figtree"/>
                <w:b w:val="0"/>
                <w:i w:val="0"/>
                <w:sz w:val="20"/>
              </w:rPr>
              <w:t>Supports live operations and parallel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24/7/365 coverage; named support team; 99.99% SLA</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Scoped during commercial validation; estimated 19-week engagement</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Cloud pass-through</w:t>
            </w:r>
          </w:p>
        </w:tc>
        <w:tc>
          <w:tcPr>
            <w:tcW w:type="dxa" w:w="3249"/>
            <w:vAlign w:val="center"/>
          </w:tcPr>
          <w:p>
            <w:pPr>
              <w:spacing w:line="276" w:lineRule="auto" w:before="0" w:after="0"/>
            </w:pPr>
            <w:r/>
            <w:r>
              <w:rPr>
                <w:rFonts w:ascii="Figtree" w:hAnsi="Figtree"/>
                <w:b w:val="0"/>
                <w:i w:val="0"/>
                <w:sz w:val="20"/>
              </w:rPr>
              <w:t>AWS ap-southeast-1; costs passed at cost, not marked up</w:t>
            </w:r>
          </w:p>
        </w:tc>
      </w:tr>
    </w:tbl>
    <w:p>
      <w:pPr>
        <w:spacing w:before="0" w:after="0" w:line="120" w:lineRule="exact"/>
      </w:pPr>
    </w:p>
    <w:p>
      <w:r>
        <w:br w:type="page"/>
      </w:r>
    </w:p>
    <w:p>
      <w:pPr>
        <w:pStyle w:val="H2"/>
        <w:numPr>
          <w:ilvl w:val="1"/>
          <w:numId w:val="1"/>
        </w:numPr>
      </w:pPr>
      <w:r>
        <w:t>License and Subscription Fees</w:t>
      </w:r>
    </w:p>
    <w:p>
      <w:pPr>
        <w:pStyle w:val="H3"/>
        <w:numPr>
          <w:ilvl w:val="2"/>
          <w:numId w:val="1"/>
        </w:numPr>
      </w:pPr>
      <w:r>
        <w:t>Annual License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767"/>
        <w:gridCol w:w="30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i w:val="0"/>
                <w:sz w:val="20"/>
              </w:rPr>
              <w:t>Total License Fee</w:t>
            </w:r>
          </w:p>
        </w:tc>
        <w:tc>
          <w:tcPr>
            <w:tcW w:type="dxa" w:w="3249"/>
            <w:vAlign w:val="center"/>
          </w:tcPr>
          <w:p>
            <w:pPr>
              <w:spacing w:line="276" w:lineRule="auto" w:before="0" w:after="0"/>
            </w:pPr>
            <w:r/>
            <w:r>
              <w:rPr>
                <w:rFonts w:ascii="Figtree" w:hAnsi="Figtree"/>
                <w:b/>
                <w:i w:val="0"/>
                <w:sz w:val="20"/>
              </w:rPr>
              <w:t>€35,000</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val="0"/>
          <w:sz w:val="22"/>
        </w:rPr>
        <w:t>All prices exclude applicable taxes and VAT. Annual payment upfront; no monthly payment option.</w:t>
      </w:r>
    </w:p>
    <w:p>
      <w:pPr>
        <w:pStyle w:val="H3"/>
        <w:numPr>
          <w:ilvl w:val="2"/>
          <w:numId w:val="1"/>
        </w:numPr>
      </w:pPr>
      <w:r>
        <w:t>License Inclusions</w:t>
      </w:r>
    </w:p>
    <w:p>
      <w:r>
        <w:rPr>
          <w:rFonts w:ascii="Figtree" w:hAnsi="Figtree"/>
          <w:b w:val="0"/>
          <w:i w:val="0"/>
          <w:sz w:val="22"/>
        </w:rPr>
        <w:t>The DALP Enterprise License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69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Full DALP Platform</w:t>
            </w:r>
          </w:p>
        </w:tc>
        <w:tc>
          <w:tcPr>
            <w:tcW w:type="dxa" w:w="4873"/>
            <w:vAlign w:val="center"/>
          </w:tcPr>
          <w:p>
            <w:pPr>
              <w:spacing w:line="276" w:lineRule="auto" w:before="0" w:after="0"/>
            </w:pPr>
            <w:r/>
            <w:r>
              <w:rPr>
                <w:rFonts w:ascii="Figtree" w:hAnsi="Figtree"/>
                <w:b w:val="0"/>
                <w:i w:val="0"/>
                <w:sz w:val="20"/>
              </w:rPr>
              <w:t>All modules: token lifecycle, compliance engine, identity registry, XvP settlement, observability, API</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w:t>
            </w:r>
          </w:p>
        </w:tc>
        <w:tc>
          <w:tcPr>
            <w:tcW w:type="dxa" w:w="4873"/>
            <w:vAlign w:val="center"/>
          </w:tcPr>
          <w:p>
            <w:pPr>
              <w:spacing w:line="276" w:lineRule="auto" w:before="0" w:after="0"/>
            </w:pPr>
            <w:r/>
            <w:r>
              <w:rPr>
                <w:rFonts w:ascii="Figtree" w:hAnsi="Figtree"/>
                <w:b w:val="0"/>
                <w:i w:val="0"/>
                <w:sz w:val="20"/>
              </w:rPr>
              <w:t>Continuous platform releases with coordinated change windows</w:t>
            </w:r>
          </w:p>
        </w:tc>
      </w:tr>
      <w:tr>
        <w:trPr>
          <w:trHeight w:val="425" w:hRule="atLeast"/>
        </w:trPr>
        <w:tc>
          <w:tcPr>
            <w:tcW w:type="dxa" w:w="4873"/>
            <w:vAlign w:val="center"/>
          </w:tcPr>
          <w:p>
            <w:pPr>
              <w:spacing w:line="276" w:lineRule="auto" w:before="0" w:after="0"/>
            </w:pPr>
            <w:r/>
            <w:r>
              <w:rPr>
                <w:rFonts w:ascii="Figtree" w:hAnsi="Figtree"/>
                <w:b w:val="0"/>
                <w:i w:val="0"/>
                <w:sz w:val="20"/>
              </w:rPr>
              <w:t>Platform Documentation</w:t>
            </w:r>
          </w:p>
        </w:tc>
        <w:tc>
          <w:tcPr>
            <w:tcW w:type="dxa" w:w="4873"/>
            <w:vAlign w:val="center"/>
          </w:tcPr>
          <w:p>
            <w:pPr>
              <w:spacing w:line="276" w:lineRule="auto" w:before="0" w:after="0"/>
            </w:pPr>
            <w:r/>
            <w:r>
              <w:rPr>
                <w:rFonts w:ascii="Figtree" w:hAnsi="Figtree"/>
                <w:b w:val="0"/>
                <w:i w:val="0"/>
                <w:sz w:val="20"/>
              </w:rPr>
              <w:t>Full technical documentation, runbooks, integration guides</w:t>
            </w:r>
          </w:p>
        </w:tc>
      </w:tr>
      <w:tr>
        <w:trPr>
          <w:trHeight w:val="425" w:hRule="atLeast"/>
        </w:trPr>
        <w:tc>
          <w:tcPr>
            <w:tcW w:type="dxa" w:w="4873"/>
            <w:vAlign w:val="center"/>
          </w:tcPr>
          <w:p>
            <w:pPr>
              <w:spacing w:line="276" w:lineRule="auto" w:before="0" w:after="0"/>
            </w:pPr>
            <w:r/>
            <w:r>
              <w:rPr>
                <w:rFonts w:ascii="Figtree" w:hAnsi="Figtree"/>
                <w:b w:val="0"/>
                <w:i w:val="0"/>
                <w:sz w:val="20"/>
              </w:rPr>
              <w:t>Standard Support Portal</w:t>
            </w:r>
          </w:p>
        </w:tc>
        <w:tc>
          <w:tcPr>
            <w:tcW w:type="dxa" w:w="4873"/>
            <w:vAlign w:val="center"/>
          </w:tcPr>
          <w:p>
            <w:pPr>
              <w:spacing w:line="276" w:lineRule="auto" w:before="0" w:after="0"/>
            </w:pPr>
            <w:r/>
            <w:r>
              <w:rPr>
                <w:rFonts w:ascii="Figtree" w:hAnsi="Figtree"/>
                <w:b w:val="0"/>
                <w:i w:val="0"/>
                <w:sz w:val="20"/>
              </w:rPr>
              <w:t>Ticketing, SLA tracking, knowledge base</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24/7/365 coverage, named team, CSM (see Support section)</w:t>
            </w:r>
          </w:p>
        </w:tc>
      </w:tr>
      <w:tr>
        <w:trPr>
          <w:trHeight w:val="425" w:hRule="atLeast"/>
        </w:trPr>
        <w:tc>
          <w:tcPr>
            <w:tcW w:type="dxa" w:w="4873"/>
            <w:vAlign w:val="center"/>
          </w:tcPr>
          <w:p>
            <w:pPr>
              <w:spacing w:line="276" w:lineRule="auto" w:before="0" w:after="0"/>
            </w:pPr>
            <w:r/>
            <w:r>
              <w:rPr>
                <w:rFonts w:ascii="Figtree" w:hAnsi="Figtree"/>
                <w:b w:val="0"/>
                <w:i w:val="0"/>
                <w:sz w:val="20"/>
              </w:rPr>
              <w:t>Security Certifications</w:t>
            </w:r>
          </w:p>
        </w:tc>
        <w:tc>
          <w:tcPr>
            <w:tcW w:type="dxa" w:w="4873"/>
            <w:vAlign w:val="center"/>
          </w:tcPr>
          <w:p>
            <w:pPr>
              <w:spacing w:line="276" w:lineRule="auto" w:before="0" w:after="0"/>
            </w:pPr>
            <w:r/>
            <w:r>
              <w:rPr>
                <w:rFonts w:ascii="Figtree" w:hAnsi="Figtree"/>
                <w:b w:val="0"/>
                <w:i w:val="0"/>
                <w:sz w:val="20"/>
              </w:rPr>
              <w:t>ISO 27001 and SOC 2 Type II annual certifications</w:t>
            </w:r>
          </w:p>
        </w:tc>
      </w:tr>
    </w:tbl>
    <w:p>
      <w:pPr>
        <w:spacing w:before="0" w:after="0" w:line="120" w:lineRule="exact"/>
      </w:pPr>
    </w:p>
    <w:p>
      <w:pPr>
        <w:pStyle w:val="H3"/>
        <w:numPr>
          <w:ilvl w:val="2"/>
          <w:numId w:val="1"/>
        </w:numPr>
      </w:pPr>
      <w:r>
        <w:t>License Exclusions</w:t>
      </w:r>
    </w:p>
    <w:p>
      <w:r>
        <w:rPr>
          <w:rFonts w:ascii="Figtree" w:hAnsi="Figtree"/>
          <w:b w:val="0"/>
          <w:i w:val="0"/>
          <w:sz w:val="22"/>
        </w:rPr>
        <w:t>The following are not included in the license fee: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6"/>
        <w:gridCol w:w="61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AWS cost; not marked up by SettleMint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Separately scoped per engagement (see below)</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Fees</w:t>
            </w:r>
          </w:p>
        </w:tc>
        <w:tc>
          <w:tcPr>
            <w:tcW w:type="dxa" w:w="4873"/>
            <w:vAlign w:val="center"/>
          </w:tcPr>
          <w:p>
            <w:pPr>
              <w:spacing w:line="276" w:lineRule="auto" w:before="0" w:after="0"/>
            </w:pPr>
            <w:r/>
            <w:r>
              <w:rPr>
                <w:rFonts w:ascii="Figtree" w:hAnsi="Figtree"/>
                <w:b w:val="0"/>
                <w:i w:val="0"/>
                <w:sz w:val="20"/>
              </w:rPr>
              <w:t>Fireblocks or DFNS fees are direct client-to-provider contracts</w:t>
            </w:r>
          </w:p>
        </w:tc>
      </w:tr>
      <w:tr>
        <w:trPr>
          <w:trHeight w:val="425" w:hRule="atLeast"/>
        </w:trPr>
        <w:tc>
          <w:tcPr>
            <w:tcW w:type="dxa" w:w="4873"/>
            <w:vAlign w:val="center"/>
          </w:tcPr>
          <w:p>
            <w:pPr>
              <w:spacing w:line="276" w:lineRule="auto" w:before="0" w:after="0"/>
            </w:pPr>
            <w:r/>
            <w:r>
              <w:rPr>
                <w:rFonts w:ascii="Figtree" w:hAnsi="Figtree"/>
                <w:b w:val="0"/>
                <w:i w:val="0"/>
                <w:sz w:val="20"/>
              </w:rPr>
              <w:t>Third-party KYC/KYB Provider</w:t>
            </w:r>
          </w:p>
        </w:tc>
        <w:tc>
          <w:tcPr>
            <w:tcW w:type="dxa" w:w="4873"/>
            <w:vAlign w:val="center"/>
          </w:tcPr>
          <w:p>
            <w:pPr>
              <w:spacing w:line="276" w:lineRule="auto" w:before="0" w:after="0"/>
            </w:pPr>
            <w:r/>
            <w:r>
              <w:rPr>
                <w:rFonts w:ascii="Figtree" w:hAnsi="Figtree"/>
                <w:b w:val="0"/>
                <w:i w:val="0"/>
                <w:sz w:val="20"/>
              </w:rPr>
              <w:t>Identity claim issuance fees are client-to-provider direct</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Rules outside the 18-module standard catalog require separate scoping</w:t>
            </w:r>
          </w:p>
        </w:tc>
      </w:tr>
    </w:tbl>
    <w:p>
      <w:pPr>
        <w:spacing w:before="0" w:after="0" w:line="120" w:lineRule="exact"/>
      </w:pPr>
    </w:p>
    <w:p>
      <w:r>
        <w:br w:type="page"/>
      </w:r>
    </w:p>
    <w:p>
      <w:pPr>
        <w:pStyle w:val="H2"/>
        <w:numPr>
          <w:ilvl w:val="1"/>
          <w:numId w:val="1"/>
        </w:numPr>
      </w:pPr>
      <w:r>
        <w:t>Implementation Services</w:t>
      </w:r>
    </w:p>
    <w:p>
      <w:pPr>
        <w:pStyle w:val="H3"/>
        <w:numPr>
          <w:ilvl w:val="2"/>
          <w:numId w:val="1"/>
        </w:numPr>
      </w:pPr>
      <w:r>
        <w:t>Engagement Model</w:t>
      </w:r>
    </w:p>
    <w:p>
      <w:r>
        <w:rPr>
          <w:rFonts w:ascii="Figtree" w:hAnsi="Figtree"/>
          <w:b w:val="0"/>
          <w:i w:val="0"/>
          <w:sz w:val="22"/>
        </w:rPr>
        <w:t>SettleMint provides fixed-scope implementation services on a time-and-materials basis, quoted per engagement following commercial validation and requirements confirmation. For the Airwallex cross-border tokenized settlement programme, the standard 19-week implementation spans: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0"/>
        <w:gridCol w:w="776"/>
        <w:gridCol w:w="58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MAS compliance matrix, architecture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Environment provisioning, identity framework,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Compliance modules, XvP addon, workflow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GL/treasury integration, payment rail connectivity, SIT/UAT/performance/DR</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training, knowledge transfer</w:t>
            </w:r>
          </w:p>
        </w:tc>
      </w:tr>
    </w:tbl>
    <w:p>
      <w:pPr>
        <w:spacing w:before="0" w:after="0" w:line="120" w:lineRule="exact"/>
      </w:pPr>
    </w:p>
    <w:p>
      <w:r>
        <w:rPr>
          <w:rFonts w:ascii="Figtree" w:hAnsi="Figtree"/>
          <w:b w:val="0"/>
          <w:i w:val="0"/>
          <w:sz w:val="22"/>
        </w:rPr>
        <w:t xml:space="preserve">Implementation fees are marked </w:t>
      </w:r>
      <w:r>
        <w:rPr>
          <w:rFonts w:ascii="Figtree" w:hAnsi="Figtree"/>
          <w:b/>
          <w:i w:val="0"/>
          <w:sz w:val="22"/>
        </w:rPr>
        <w:t>[CLIENT-SPECIFIC]</w:t>
      </w:r>
      <w:r>
        <w:rPr>
          <w:rFonts w:ascii="Figtree" w:hAnsi="Figtree"/>
          <w:b w:val="0"/>
          <w:i w:val="0"/>
          <w:sz w:val="22"/>
        </w:rPr>
        <w:t xml:space="preserve"> until formally scoped. Indicative planning ranges (not quotes):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63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Scope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 on Fee</w:t>
            </w:r>
          </w:p>
        </w:tc>
      </w:tr>
      <w:tr>
        <w:trPr>
          <w:trHeight w:val="425" w:hRule="atLeast"/>
        </w:trPr>
        <w:tc>
          <w:tcPr>
            <w:tcW w:type="dxa" w:w="4873"/>
            <w:vAlign w:val="center"/>
          </w:tcPr>
          <w:p>
            <w:pPr>
              <w:spacing w:line="276" w:lineRule="auto" w:before="0" w:after="0"/>
            </w:pPr>
            <w:r/>
            <w:r>
              <w:rPr>
                <w:rFonts w:ascii="Figtree" w:hAnsi="Figtree"/>
                <w:b w:val="0"/>
                <w:i w:val="0"/>
                <w:sz w:val="20"/>
              </w:rPr>
              <w:t>Number of integration touchpoints</w:t>
            </w:r>
          </w:p>
        </w:tc>
        <w:tc>
          <w:tcPr>
            <w:tcW w:type="dxa" w:w="4873"/>
            <w:vAlign w:val="center"/>
          </w:tcPr>
          <w:p>
            <w:pPr>
              <w:spacing w:line="276" w:lineRule="auto" w:before="0" w:after="0"/>
            </w:pPr>
            <w:r/>
            <w:r>
              <w:rPr>
                <w:rFonts w:ascii="Figtree" w:hAnsi="Figtree"/>
                <w:b w:val="0"/>
                <w:i w:val="0"/>
                <w:sz w:val="20"/>
              </w:rPr>
              <w:t>Higher integration complexity (GL, treasury, multiple payment rails) increases Phase 4 scope</w:t>
            </w:r>
          </w:p>
        </w:tc>
      </w:tr>
      <w:tr>
        <w:trPr>
          <w:trHeight w:val="425" w:hRule="atLeast"/>
        </w:trPr>
        <w:tc>
          <w:tcPr>
            <w:tcW w:type="dxa" w:w="4873"/>
            <w:vAlign w:val="center"/>
          </w:tcPr>
          <w:p>
            <w:pPr>
              <w:spacing w:line="276" w:lineRule="auto" w:before="0" w:after="0"/>
            </w:pPr>
            <w:r/>
            <w:r>
              <w:rPr>
                <w:rFonts w:ascii="Figtree" w:hAnsi="Figtree"/>
                <w:b w:val="0"/>
                <w:i w:val="0"/>
                <w:sz w:val="20"/>
              </w:rPr>
              <w:t>Number of asset/instrument types</w:t>
            </w:r>
          </w:p>
        </w:tc>
        <w:tc>
          <w:tcPr>
            <w:tcW w:type="dxa" w:w="4873"/>
            <w:vAlign w:val="center"/>
          </w:tcPr>
          <w:p>
            <w:pPr>
              <w:spacing w:line="276" w:lineRule="auto" w:before="0" w:after="0"/>
            </w:pPr>
            <w:r/>
            <w:r>
              <w:rPr>
                <w:rFonts w:ascii="Figtree" w:hAnsi="Figtree"/>
                <w:b w:val="0"/>
                <w:i w:val="0"/>
                <w:sz w:val="20"/>
              </w:rPr>
              <w:t>Simple cross-border settlement: 1 token type; more asset types increase Phase 3 scope</w:t>
            </w:r>
          </w:p>
        </w:tc>
      </w:tr>
      <w:tr>
        <w:trPr>
          <w:trHeight w:val="425" w:hRule="atLeast"/>
        </w:trPr>
        <w:tc>
          <w:tcPr>
            <w:tcW w:type="dxa" w:w="4873"/>
            <w:vAlign w:val="center"/>
          </w:tcPr>
          <w:p>
            <w:pPr>
              <w:spacing w:line="276" w:lineRule="auto" w:before="0" w:after="0"/>
            </w:pPr>
            <w:r/>
            <w:r>
              <w:rPr>
                <w:rFonts w:ascii="Figtree" w:hAnsi="Figtree"/>
                <w:b w:val="0"/>
                <w:i w:val="0"/>
                <w:sz w:val="20"/>
              </w:rPr>
              <w:t>On-premises vs Managed SaaS</w:t>
            </w:r>
          </w:p>
        </w:tc>
        <w:tc>
          <w:tcPr>
            <w:tcW w:type="dxa" w:w="4873"/>
            <w:vAlign w:val="center"/>
          </w:tcPr>
          <w:p>
            <w:pPr>
              <w:spacing w:line="276" w:lineRule="auto" w:before="0" w:after="0"/>
            </w:pPr>
            <w:r/>
            <w:r>
              <w:rPr>
                <w:rFonts w:ascii="Figtree" w:hAnsi="Figtree"/>
                <w:b w:val="0"/>
                <w:i w:val="0"/>
                <w:sz w:val="20"/>
              </w:rPr>
              <w:t>On-premises adds infrastructure provisioning effort to Phase 2</w:t>
            </w:r>
          </w:p>
        </w:tc>
      </w:tr>
      <w:tr>
        <w:trPr>
          <w:trHeight w:val="425" w:hRule="atLeast"/>
        </w:trPr>
        <w:tc>
          <w:tcPr>
            <w:tcW w:type="dxa" w:w="4873"/>
            <w:vAlign w:val="center"/>
          </w:tcPr>
          <w:p>
            <w:pPr>
              <w:spacing w:line="276" w:lineRule="auto" w:before="0" w:after="0"/>
            </w:pPr>
            <w:r/>
            <w:r>
              <w:rPr>
                <w:rFonts w:ascii="Figtree" w:hAnsi="Figtree"/>
                <w:b w:val="0"/>
                <w:i w:val="0"/>
                <w:sz w:val="20"/>
              </w:rPr>
              <w:t>Regulatory complexity</w:t>
            </w:r>
          </w:p>
        </w:tc>
        <w:tc>
          <w:tcPr>
            <w:tcW w:type="dxa" w:w="4873"/>
            <w:vAlign w:val="center"/>
          </w:tcPr>
          <w:p>
            <w:pPr>
              <w:spacing w:line="276" w:lineRule="auto" w:before="0" w:after="0"/>
            </w:pPr>
            <w:r/>
            <w:r>
              <w:rPr>
                <w:rFonts w:ascii="Figtree" w:hAnsi="Figtree"/>
                <w:b w:val="0"/>
                <w:i w:val="0"/>
                <w:sz w:val="20"/>
              </w:rPr>
              <w:t>Additional MAS documentation requirements may extend Phase 1</w:t>
            </w:r>
          </w:p>
        </w:tc>
      </w:tr>
    </w:tbl>
    <w:p>
      <w:pPr>
        <w:spacing w:before="0" w:after="0" w:line="120" w:lineRule="exact"/>
      </w:pPr>
    </w:p>
    <w:p>
      <w:r>
        <w:rPr>
          <w:rFonts w:ascii="Figtree" w:hAnsi="Figtree"/>
          <w:b w:val="0"/>
          <w:i w:val="0"/>
          <w:sz w:val="22"/>
        </w:rPr>
        <w:t>SettleMint will provide a firm implementation fee following a 2-hour commercial scoping call.</w:t>
      </w:r>
    </w:p>
    <w:p>
      <w:pPr>
        <w:pStyle w:val="H3"/>
        <w:numPr>
          <w:ilvl w:val="2"/>
          <w:numId w:val="1"/>
        </w:numPr>
      </w:pPr>
      <w:r>
        <w:t>Implementation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72"/>
        <w:gridCol w:w="6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SettleMint Project Manager</w:t>
            </w:r>
          </w:p>
        </w:tc>
        <w:tc>
          <w:tcPr>
            <w:tcW w:type="dxa" w:w="4873"/>
            <w:vAlign w:val="center"/>
          </w:tcPr>
          <w:p>
            <w:pPr>
              <w:spacing w:line="276" w:lineRule="auto" w:before="0" w:after="0"/>
            </w:pPr>
            <w:r/>
            <w:r>
              <w:rPr>
                <w:rFonts w:ascii="Figtree" w:hAnsi="Figtree"/>
                <w:b w:val="0"/>
                <w:i w:val="0"/>
                <w:sz w:val="20"/>
              </w:rPr>
              <w:t>Delivery management, gate reviews, risk tracking</w:t>
            </w:r>
          </w:p>
        </w:tc>
      </w:tr>
      <w:tr>
        <w:trPr>
          <w:trHeight w:val="425" w:hRule="atLeast"/>
        </w:trPr>
        <w:tc>
          <w:tcPr>
            <w:tcW w:type="dxa" w:w="4873"/>
            <w:vAlign w:val="center"/>
          </w:tcPr>
          <w:p>
            <w:pPr>
              <w:spacing w:line="276" w:lineRule="auto" w:before="0" w:after="0"/>
            </w:pPr>
            <w:r/>
            <w:r>
              <w:rPr>
                <w:rFonts w:ascii="Figtree" w:hAnsi="Figtree"/>
                <w:b w:val="0"/>
                <w:i w:val="0"/>
                <w:sz w:val="20"/>
              </w:rPr>
              <w:t>SettleMint Solution Architect</w:t>
            </w:r>
          </w:p>
        </w:tc>
        <w:tc>
          <w:tcPr>
            <w:tcW w:type="dxa" w:w="4873"/>
            <w:vAlign w:val="center"/>
          </w:tcPr>
          <w:p>
            <w:pPr>
              <w:spacing w:line="276" w:lineRule="auto" w:before="0" w:after="0"/>
            </w:pPr>
            <w:r/>
            <w:r>
              <w:rPr>
                <w:rFonts w:ascii="Figtree" w:hAnsi="Figtree"/>
                <w:b w:val="0"/>
                <w:i w:val="0"/>
                <w:sz w:val="20"/>
              </w:rPr>
              <w:t>Technical design, integration architecture, compliance module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SettleMint Integration Engineer</w:t>
            </w:r>
          </w:p>
        </w:tc>
        <w:tc>
          <w:tcPr>
            <w:tcW w:type="dxa" w:w="4873"/>
            <w:vAlign w:val="center"/>
          </w:tcPr>
          <w:p>
            <w:pPr>
              <w:spacing w:line="276" w:lineRule="auto" w:before="0" w:after="0"/>
            </w:pPr>
            <w:r/>
            <w:r>
              <w:rPr>
                <w:rFonts w:ascii="Figtree" w:hAnsi="Figtree"/>
                <w:b w:val="0"/>
                <w:i w:val="0"/>
                <w:sz w:val="20"/>
              </w:rPr>
              <w:t>API integration, SDK setup, observability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Airwallex Project Manager</w:t>
            </w:r>
          </w:p>
        </w:tc>
        <w:tc>
          <w:tcPr>
            <w:tcW w:type="dxa" w:w="4873"/>
            <w:vAlign w:val="center"/>
          </w:tcPr>
          <w:p>
            <w:pPr>
              <w:spacing w:line="276" w:lineRule="auto" w:before="0" w:after="0"/>
            </w:pPr>
            <w:r/>
            <w:r>
              <w:rPr>
                <w:rFonts w:ascii="Figtree" w:hAnsi="Figtree"/>
                <w:b w:val="0"/>
                <w:i w:val="0"/>
                <w:sz w:val="20"/>
              </w:rPr>
              <w:t>Stakeholder alignment, environment access, UAT sign-off</w:t>
            </w:r>
          </w:p>
        </w:tc>
      </w:tr>
      <w:tr>
        <w:trPr>
          <w:trHeight w:val="425" w:hRule="atLeast"/>
        </w:trPr>
        <w:tc>
          <w:tcPr>
            <w:tcW w:type="dxa" w:w="4873"/>
            <w:vAlign w:val="center"/>
          </w:tcPr>
          <w:p>
            <w:pPr>
              <w:spacing w:line="276" w:lineRule="auto" w:before="0" w:after="0"/>
            </w:pPr>
            <w:r/>
            <w:r>
              <w:rPr>
                <w:rFonts w:ascii="Figtree" w:hAnsi="Figtree"/>
                <w:b w:val="0"/>
                <w:i w:val="0"/>
                <w:sz w:val="20"/>
              </w:rPr>
              <w:t>Airwallex Technical Lead</w:t>
            </w:r>
          </w:p>
        </w:tc>
        <w:tc>
          <w:tcPr>
            <w:tcW w:type="dxa" w:w="4873"/>
            <w:vAlign w:val="center"/>
          </w:tcPr>
          <w:p>
            <w:pPr>
              <w:spacing w:line="276" w:lineRule="auto" w:before="0" w:after="0"/>
            </w:pPr>
            <w:r/>
            <w:r>
              <w:rPr>
                <w:rFonts w:ascii="Figtree" w:hAnsi="Figtree"/>
                <w:b w:val="0"/>
                <w:i w:val="0"/>
                <w:sz w:val="20"/>
              </w:rPr>
              <w:t>Integration ownership, system connectivity, testing</w:t>
            </w:r>
          </w:p>
        </w:tc>
      </w:tr>
      <w:tr>
        <w:trPr>
          <w:trHeight w:val="425" w:hRule="atLeast"/>
        </w:trPr>
        <w:tc>
          <w:tcPr>
            <w:tcW w:type="dxa" w:w="4873"/>
            <w:vAlign w:val="center"/>
          </w:tcPr>
          <w:p>
            <w:pPr>
              <w:spacing w:line="276" w:lineRule="auto" w:before="0" w:after="0"/>
            </w:pPr>
            <w:r/>
            <w:r>
              <w:rPr>
                <w:rFonts w:ascii="Figtree" w:hAnsi="Figtree"/>
                <w:b w:val="0"/>
                <w:i w:val="0"/>
                <w:sz w:val="20"/>
              </w:rPr>
              <w:t>Airwallex Compliance Lead</w:t>
            </w:r>
          </w:p>
        </w:tc>
        <w:tc>
          <w:tcPr>
            <w:tcW w:type="dxa" w:w="4873"/>
            <w:vAlign w:val="center"/>
          </w:tcPr>
          <w:p>
            <w:pPr>
              <w:spacing w:line="276" w:lineRule="auto" w:before="0" w:after="0"/>
            </w:pPr>
            <w:r/>
            <w:r>
              <w:rPr>
                <w:rFonts w:ascii="Figtree" w:hAnsi="Figtree"/>
                <w:b w:val="0"/>
                <w:i w:val="0"/>
                <w:sz w:val="20"/>
              </w:rPr>
              <w:t>Compliance matrix review, regulatory sign-off</w:t>
            </w:r>
          </w:p>
        </w:tc>
      </w:tr>
    </w:tbl>
    <w:p>
      <w:pPr>
        <w:spacing w:before="0" w:after="0" w:line="120" w:lineRule="exact"/>
      </w:pPr>
    </w:p>
    <w:p>
      <w:r>
        <w:br w:type="page"/>
      </w:r>
    </w:p>
    <w:p>
      <w:pPr>
        <w:pStyle w:val="H2"/>
        <w:numPr>
          <w:ilvl w:val="1"/>
          <w:numId w:val="1"/>
        </w:numPr>
      </w:pPr>
      <w:r>
        <w:t>Support and Maintenance</w:t>
      </w:r>
    </w:p>
    <w:p>
      <w:pPr>
        <w:pStyle w:val="H3"/>
        <w:numPr>
          <w:ilvl w:val="2"/>
          <w:numId w:val="1"/>
        </w:numPr>
      </w:pPr>
      <w:r>
        <w:t>Enterprise Support (Included in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5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 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Response</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Resolution</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Portal, email, dedicated Slack,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w:t>
            </w:r>
          </w:p>
        </w:tc>
      </w:tr>
      <w:tr>
        <w:trPr>
          <w:trHeight w:val="425" w:hRule="atLeast"/>
        </w:trPr>
        <w:tc>
          <w:tcPr>
            <w:tcW w:type="dxa" w:w="4873"/>
            <w:vAlign w:val="center"/>
          </w:tcPr>
          <w:p>
            <w:pPr>
              <w:spacing w:line="276" w:lineRule="auto" w:before="0" w:after="0"/>
            </w:pPr>
            <w:r/>
            <w:r>
              <w:rPr>
                <w:rFonts w:ascii="Figtree" w:hAnsi="Figtree"/>
                <w:b w:val="0"/>
                <w:i w:val="0"/>
                <w:sz w:val="20"/>
              </w:rPr>
              <w:t>Architecture Reviews</w:t>
            </w:r>
          </w:p>
        </w:tc>
        <w:tc>
          <w:tcPr>
            <w:tcW w:type="dxa" w:w="4873"/>
            <w:vAlign w:val="center"/>
          </w:tcPr>
          <w:p>
            <w:pPr>
              <w:spacing w:line="276" w:lineRule="auto" w:before="0" w:after="0"/>
            </w:pPr>
            <w:r/>
            <w:r>
              <w:rPr>
                <w:rFonts w:ascii="Figtree" w:hAnsi="Figtree"/>
                <w:b w:val="0"/>
                <w:i w:val="0"/>
                <w:sz w:val="20"/>
              </w:rPr>
              <w:t>Quarterly</w:t>
            </w:r>
          </w:p>
        </w:tc>
      </w:tr>
    </w:tbl>
    <w:p>
      <w:pPr>
        <w:spacing w:before="0" w:after="0" w:line="120" w:lineRule="exact"/>
      </w:pPr>
    </w:p>
    <w:p>
      <w:r>
        <w:rPr>
          <w:rFonts w:ascii="Figtree" w:hAnsi="Figtree"/>
          <w:b w:val="0"/>
          <w:i w:val="0"/>
          <w:sz w:val="22"/>
        </w:rPr>
        <w:t>Enterprise Support is included in the DALP Enterprise License fee. No additional charge.</w:t>
      </w:r>
    </w:p>
    <w:p>
      <w:pPr>
        <w:pStyle w:val="H3"/>
        <w:numPr>
          <w:ilvl w:val="2"/>
          <w:numId w:val="1"/>
        </w:numPr>
      </w:pPr>
      <w:r>
        <w:t>Maintenance and Update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4"/>
        <w:gridCol w:w="2604"/>
        <w:gridCol w:w="35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patches</w:t>
            </w:r>
          </w:p>
        </w:tc>
        <w:tc>
          <w:tcPr>
            <w:tcW w:type="dxa" w:w="3249"/>
            <w:vAlign w:val="center"/>
          </w:tcPr>
          <w:p>
            <w:pPr>
              <w:spacing w:line="276" w:lineRule="auto" w:before="0" w:after="0"/>
            </w:pPr>
            <w:r/>
            <w:r>
              <w:rPr>
                <w:rFonts w:ascii="Figtree" w:hAnsi="Figtree"/>
                <w:b w:val="0"/>
                <w:i w:val="0"/>
                <w:sz w:val="20"/>
              </w:rPr>
              <w:t>As required (critical: &lt; 24h)</w:t>
            </w:r>
          </w:p>
        </w:tc>
        <w:tc>
          <w:tcPr>
            <w:tcW w:type="dxa" w:w="3249"/>
            <w:vAlign w:val="center"/>
          </w:tcPr>
          <w:p>
            <w:pPr>
              <w:spacing w:line="276" w:lineRule="auto" w:before="0" w:after="0"/>
            </w:pPr>
            <w:r/>
            <w:r>
              <w:rPr>
                <w:rFonts w:ascii="Figtree" w:hAnsi="Figtree"/>
                <w:b w:val="0"/>
                <w:i w:val="0"/>
                <w:sz w:val="20"/>
              </w:rPr>
              <w:t>SettleMint (Managed SaaS)</w:t>
            </w:r>
          </w:p>
        </w:tc>
      </w:tr>
      <w:tr>
        <w:trPr>
          <w:trHeight w:val="425" w:hRule="atLeast"/>
        </w:trPr>
        <w:tc>
          <w:tcPr>
            <w:tcW w:type="dxa" w:w="3249"/>
            <w:vAlign w:val="center"/>
          </w:tcPr>
          <w:p>
            <w:pPr>
              <w:spacing w:line="276" w:lineRule="auto" w:before="0" w:after="0"/>
            </w:pPr>
            <w:r/>
            <w:r>
              <w:rPr>
                <w:rFonts w:ascii="Figtree" w:hAnsi="Figtree"/>
                <w:b w:val="0"/>
                <w:i w:val="0"/>
                <w:sz w:val="20"/>
              </w:rPr>
              <w:t>Platform minor updates</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SettleMint (coordinated with Airwallex)</w:t>
            </w:r>
          </w:p>
        </w:tc>
      </w:tr>
      <w:tr>
        <w:trPr>
          <w:trHeight w:val="425" w:hRule="atLeast"/>
        </w:trPr>
        <w:tc>
          <w:tcPr>
            <w:tcW w:type="dxa" w:w="3249"/>
            <w:vAlign w:val="center"/>
          </w:tcPr>
          <w:p>
            <w:pPr>
              <w:spacing w:line="276" w:lineRule="auto" w:before="0" w:after="0"/>
            </w:pPr>
            <w:r/>
            <w:r>
              <w:rPr>
                <w:rFonts w:ascii="Figtree" w:hAnsi="Figtree"/>
                <w:b w:val="0"/>
                <w:i w:val="0"/>
                <w:sz w:val="20"/>
              </w:rPr>
              <w:t>Platform major releases</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SettleMint (planned change window)</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maintenance</w:t>
            </w:r>
          </w:p>
        </w:tc>
        <w:tc>
          <w:tcPr>
            <w:tcW w:type="dxa" w:w="3249"/>
            <w:vAlign w:val="center"/>
          </w:tcPr>
          <w:p>
            <w:pPr>
              <w:spacing w:line="276" w:lineRule="auto" w:before="0" w:after="0"/>
            </w:pPr>
            <w:r/>
            <w:r>
              <w:rPr>
                <w:rFonts w:ascii="Figtree" w:hAnsi="Figtree"/>
                <w:b w:val="0"/>
                <w:i w:val="0"/>
                <w:sz w:val="20"/>
              </w:rPr>
              <w:t>As required</w:t>
            </w:r>
          </w:p>
        </w:tc>
        <w:tc>
          <w:tcPr>
            <w:tcW w:type="dxa" w:w="3249"/>
            <w:vAlign w:val="center"/>
          </w:tcPr>
          <w:p>
            <w:pPr>
              <w:spacing w:line="276" w:lineRule="auto" w:before="0" w:after="0"/>
            </w:pPr>
            <w:r/>
            <w:r>
              <w:rPr>
                <w:rFonts w:ascii="Figtree" w:hAnsi="Figtree"/>
                <w:b w:val="0"/>
                <w:i w:val="0"/>
                <w:sz w:val="20"/>
              </w:rPr>
              <w:t>SettleMint (Managed SaaS)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library updates</w:t>
            </w:r>
          </w:p>
        </w:tc>
        <w:tc>
          <w:tcPr>
            <w:tcW w:type="dxa" w:w="3249"/>
            <w:vAlign w:val="center"/>
          </w:tcPr>
          <w:p>
            <w:pPr>
              <w:spacing w:line="276" w:lineRule="auto" w:before="0" w:after="0"/>
            </w:pPr>
            <w:r/>
            <w:r>
              <w:rPr>
                <w:rFonts w:ascii="Figtree" w:hAnsi="Figtree"/>
                <w:b w:val="0"/>
                <w:i w:val="0"/>
                <w:sz w:val="20"/>
              </w:rPr>
              <w:t>As new modules release</w:t>
            </w:r>
          </w:p>
        </w:tc>
        <w:tc>
          <w:tcPr>
            <w:tcW w:type="dxa" w:w="3249"/>
            <w:vAlign w:val="center"/>
          </w:tcPr>
          <w:p>
            <w:pPr>
              <w:spacing w:line="276" w:lineRule="auto" w:before="0" w:after="0"/>
            </w:pPr>
            <w:r/>
            <w:r>
              <w:rPr>
                <w:rFonts w:ascii="Figtree" w:hAnsi="Figtree"/>
                <w:b w:val="0"/>
                <w:i w:val="0"/>
                <w:sz w:val="20"/>
              </w:rPr>
              <w:t>Client-activated through configuration</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Year 1 Investment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81"/>
        <w:gridCol w:w="339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Year 1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License (Production + Development)</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(AWS ap-southeast-1, estimated)</w:t>
            </w:r>
          </w:p>
        </w:tc>
        <w:tc>
          <w:tcPr>
            <w:tcW w:type="dxa" w:w="4873"/>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(Fireblocks/DFNS, estimated)</w:t>
            </w:r>
          </w:p>
        </w:tc>
        <w:tc>
          <w:tcPr>
            <w:tcW w:type="dxa" w:w="4873"/>
            <w:vAlign w:val="center"/>
          </w:tcPr>
          <w:p>
            <w:pPr>
              <w:spacing w:line="276" w:lineRule="auto" w:before="0" w:after="0"/>
            </w:pPr>
            <w:r/>
            <w:r>
              <w:rPr>
                <w:rFonts w:ascii="Figtree" w:hAnsi="Figtree"/>
                <w:b w:val="0"/>
                <w:i w:val="0"/>
                <w:sz w:val="20"/>
              </w:rPr>
              <w:t>[DIRECT CLIENT CONTRACT]</w:t>
            </w:r>
          </w:p>
        </w:tc>
      </w:tr>
      <w:tr>
        <w:trPr>
          <w:trHeight w:val="425" w:hRule="atLeast"/>
        </w:trPr>
        <w:tc>
          <w:tcPr>
            <w:tcW w:type="dxa" w:w="4873"/>
            <w:vAlign w:val="center"/>
          </w:tcPr>
          <w:p>
            <w:pPr>
              <w:spacing w:line="276" w:lineRule="auto" w:before="0" w:after="0"/>
            </w:pPr>
            <w:r/>
            <w:r>
              <w:rPr>
                <w:rFonts w:ascii="Figtree" w:hAnsi="Figtree"/>
                <w:b/>
                <w:i w:val="0"/>
                <w:sz w:val="20"/>
              </w:rPr>
              <w:t>Total Platform + License (Year 1)</w:t>
            </w:r>
          </w:p>
        </w:tc>
        <w:tc>
          <w:tcPr>
            <w:tcW w:type="dxa" w:w="4873"/>
            <w:vAlign w:val="center"/>
          </w:tcPr>
          <w:p>
            <w:pPr>
              <w:spacing w:line="276" w:lineRule="auto" w:before="0" w:after="0"/>
            </w:pPr>
            <w:r/>
            <w:r>
              <w:rPr>
                <w:rFonts w:ascii="Figtree" w:hAnsi="Figtree"/>
                <w:b/>
                <w:i w:val="0"/>
                <w:sz w:val="20"/>
              </w:rPr>
              <w:t>€420,000 + implementation</w:t>
            </w:r>
          </w:p>
        </w:tc>
      </w:tr>
    </w:tbl>
    <w:p>
      <w:pPr>
        <w:spacing w:before="0" w:after="0" w:line="120" w:lineRule="exact"/>
      </w:pPr>
    </w:p>
    <w:p>
      <w:pPr>
        <w:pStyle w:val="H3"/>
        <w:numPr>
          <w:ilvl w:val="2"/>
          <w:numId w:val="1"/>
        </w:numPr>
      </w:pPr>
      <w:r>
        <w:t>Year 2+ Annual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59"/>
        <w:gridCol w:w="38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License</w:t>
            </w:r>
          </w:p>
        </w:tc>
        <w:tc>
          <w:tcPr>
            <w:tcW w:type="dxa" w:w="4873"/>
            <w:vAlign w:val="center"/>
          </w:tcPr>
          <w:p>
            <w:pPr>
              <w:spacing w:line="276" w:lineRule="auto" w:before="0" w:after="0"/>
            </w:pPr>
            <w:r/>
            <w:r>
              <w:rPr>
                <w:rFonts w:ascii="Figtree" w:hAnsi="Figtree"/>
                <w:b w:val="0"/>
                <w:i w:val="0"/>
                <w:sz w:val="20"/>
              </w:rPr>
              <w:t>€420,000/year</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No implementation fee (maintenance only)</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i w:val="0"/>
                <w:sz w:val="20"/>
              </w:rPr>
              <w:t>Total Annual Platform Cost (Year 2+)</w:t>
            </w:r>
          </w:p>
        </w:tc>
        <w:tc>
          <w:tcPr>
            <w:tcW w:type="dxa" w:w="4873"/>
            <w:vAlign w:val="center"/>
          </w:tcPr>
          <w:p>
            <w:pPr>
              <w:spacing w:line="276" w:lineRule="auto" w:before="0" w:after="0"/>
            </w:pPr>
            <w:r/>
            <w:r>
              <w:rPr>
                <w:rFonts w:ascii="Figtree" w:hAnsi="Figtree"/>
                <w:b/>
                <w:i w:val="0"/>
                <w:sz w:val="20"/>
              </w:rPr>
              <w:t>€420,000 + infrastructure</w:t>
            </w:r>
          </w:p>
        </w:tc>
      </w:tr>
    </w:tbl>
    <w:p>
      <w:pPr>
        <w:spacing w:before="0" w:after="0" w:line="120" w:lineRule="exact"/>
      </w:pPr>
    </w:p>
    <w:p>
      <w:r>
        <w:rPr>
          <w:rFonts w:ascii="Figtree" w:hAnsi="Figtree"/>
          <w:b w:val="0"/>
          <w:i w:val="0"/>
          <w:sz w:val="22"/>
        </w:rPr>
        <w:t>The Year 1 cost is implementation-heavy. From Year 2, total cost of ownership drops significantly as implementation is a one-time investment. This step-change in cost profile is a material advantage over alternative approaches where ongoing engineering maintenance is required.</w:t>
      </w:r>
    </w:p>
    <w:p>
      <w:pPr>
        <w:pStyle w:val="H3"/>
        <w:numPr>
          <w:ilvl w:val="2"/>
          <w:numId w:val="1"/>
        </w:numPr>
      </w:pPr>
      <w:r>
        <w:t>TCO Comparison: DALP vs Build-In-House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2"/>
        <w:gridCol w:w="1432"/>
        <w:gridCol w:w="1773"/>
        <w:gridCol w:w="36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(5 years)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 (estimated)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w:t>
            </w:r>
          </w:p>
        </w:tc>
        <w:tc>
          <w:tcPr>
            <w:tcW w:type="dxa" w:w="2436"/>
            <w:vAlign w:val="center"/>
          </w:tcPr>
          <w:p>
            <w:pPr>
              <w:spacing w:line="276" w:lineRule="auto" w:before="0" w:after="0"/>
            </w:pPr>
            <w:r/>
            <w:r>
              <w:rPr>
                <w:rFonts w:ascii="Figtree" w:hAnsi="Figtree"/>
                <w:b w:val="0"/>
                <w:i w:val="0"/>
                <w:sz w:val="20"/>
              </w:rPr>
              <w:t>€2,100,000</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DALP Year 1-5</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[CLIENT-SPECIFIC]</w:t>
            </w:r>
          </w:p>
        </w:tc>
        <w:tc>
          <w:tcPr>
            <w:tcW w:type="dxa" w:w="2436"/>
            <w:vAlign w:val="center"/>
          </w:tcPr>
          <w:p>
            <w:pPr>
              <w:spacing w:line="276" w:lineRule="auto" w:before="0" w:after="0"/>
            </w:pPr>
            <w:r/>
            <w:r>
              <w:rPr>
                <w:rFonts w:ascii="Figtree" w:hAnsi="Figtree"/>
                <w:b w:val="0"/>
                <w:i w:val="0"/>
                <w:sz w:val="20"/>
              </w:rPr>
              <w:t>€3,000,000 — €8,000,000</w:t>
            </w:r>
          </w:p>
        </w:tc>
        <w:tc>
          <w:tcPr>
            <w:tcW w:type="dxa" w:w="2436"/>
            <w:vAlign w:val="center"/>
          </w:tcPr>
          <w:p>
            <w:pPr>
              <w:spacing w:line="276" w:lineRule="auto" w:before="0" w:after="0"/>
            </w:pPr>
            <w:r/>
            <w:r>
              <w:rPr>
                <w:rFonts w:ascii="Figtree" w:hAnsi="Figtree"/>
                <w:b w:val="0"/>
                <w:i w:val="0"/>
                <w:sz w:val="20"/>
              </w:rPr>
              <w:t>Engineering team, smart contract dev, compliance build</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maintenance</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€500,000+/year</w:t>
            </w:r>
          </w:p>
        </w:tc>
        <w:tc>
          <w:tcPr>
            <w:tcW w:type="dxa" w:w="2436"/>
            <w:vAlign w:val="center"/>
          </w:tcPr>
          <w:p>
            <w:pPr>
              <w:spacing w:line="276" w:lineRule="auto" w:before="0" w:after="0"/>
            </w:pPr>
            <w:r/>
            <w:r>
              <w:rPr>
                <w:rFonts w:ascii="Figtree" w:hAnsi="Figtree"/>
                <w:b w:val="0"/>
                <w:i w:val="0"/>
                <w:sz w:val="20"/>
              </w:rPr>
              <w:t>Ongoing regulatory change adaptation</w:t>
            </w:r>
          </w:p>
        </w:tc>
      </w:tr>
      <w:tr>
        <w:trPr>
          <w:trHeight w:val="425" w:hRule="atLeast"/>
        </w:trPr>
        <w:tc>
          <w:tcPr>
            <w:tcW w:type="dxa" w:w="2436"/>
            <w:vAlign w:val="center"/>
          </w:tcPr>
          <w:p>
            <w:pPr>
              <w:spacing w:line="276" w:lineRule="auto" w:before="0" w:after="0"/>
            </w:pPr>
            <w:r/>
            <w:r>
              <w:rPr>
                <w:rFonts w:ascii="Figtree" w:hAnsi="Figtree"/>
                <w:b w:val="0"/>
                <w:i w:val="0"/>
                <w:sz w:val="20"/>
              </w:rPr>
              <w:t>Security certifications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€200,000+/year</w:t>
            </w:r>
          </w:p>
        </w:tc>
        <w:tc>
          <w:tcPr>
            <w:tcW w:type="dxa" w:w="2436"/>
            <w:vAlign w:val="center"/>
          </w:tcPr>
          <w:p>
            <w:pPr>
              <w:spacing w:line="276" w:lineRule="auto" w:before="0" w:after="0"/>
            </w:pPr>
            <w:r/>
            <w:r>
              <w:rPr>
                <w:rFonts w:ascii="Figtree" w:hAnsi="Figtree"/>
                <w:b w:val="0"/>
                <w:i w:val="0"/>
                <w:sz w:val="20"/>
              </w:rPr>
              <w:t>ISO 27001, SOC 2, pen testing</w:t>
            </w:r>
          </w:p>
        </w:tc>
      </w:tr>
      <w:tr>
        <w:trPr>
          <w:trHeight w:val="425" w:hRule="atLeast"/>
        </w:trPr>
        <w:tc>
          <w:tcPr>
            <w:tcW w:type="dxa" w:w="2436"/>
            <w:vAlign w:val="center"/>
          </w:tcPr>
          <w:p>
            <w:pPr>
              <w:spacing w:line="276" w:lineRule="auto" w:before="0" w:after="0"/>
            </w:pPr>
            <w:r/>
            <w:r>
              <w:rPr>
                <w:rFonts w:ascii="Figtree" w:hAnsi="Figtree"/>
                <w:b w:val="0"/>
                <w:i w:val="0"/>
                <w:sz w:val="20"/>
              </w:rPr>
              <w:t>Support and operations</w:t>
            </w:r>
          </w:p>
        </w:tc>
        <w:tc>
          <w:tcPr>
            <w:tcW w:type="dxa" w:w="2436"/>
            <w:vAlign w:val="center"/>
          </w:tcPr>
          <w:p>
            <w:pPr>
              <w:spacing w:line="276" w:lineRule="auto" w:before="0" w:after="0"/>
            </w:pPr>
            <w:r/>
            <w:r>
              <w:rPr>
                <w:rFonts w:ascii="Figtree" w:hAnsi="Figtree"/>
                <w:b w:val="0"/>
                <w:i w:val="0"/>
                <w:sz w:val="20"/>
              </w:rPr>
              <w:t>Included (Enterprise)</w:t>
            </w:r>
          </w:p>
        </w:tc>
        <w:tc>
          <w:tcPr>
            <w:tcW w:type="dxa" w:w="2436"/>
            <w:vAlign w:val="center"/>
          </w:tcPr>
          <w:p>
            <w:pPr>
              <w:spacing w:line="276" w:lineRule="auto" w:before="0" w:after="0"/>
            </w:pPr>
            <w:r/>
            <w:r>
              <w:rPr>
                <w:rFonts w:ascii="Figtree" w:hAnsi="Figtree"/>
                <w:b w:val="0"/>
                <w:i w:val="0"/>
                <w:sz w:val="20"/>
              </w:rPr>
              <w:t>€400,000+/year</w:t>
            </w:r>
          </w:p>
        </w:tc>
        <w:tc>
          <w:tcPr>
            <w:tcW w:type="dxa" w:w="2436"/>
            <w:vAlign w:val="center"/>
          </w:tcPr>
          <w:p>
            <w:pPr>
              <w:spacing w:line="276" w:lineRule="auto" w:before="0" w:after="0"/>
            </w:pPr>
            <w:r/>
            <w:r>
              <w:rPr>
                <w:rFonts w:ascii="Figtree" w:hAnsi="Figtree"/>
                <w:b w:val="0"/>
                <w:i w:val="0"/>
                <w:sz w:val="20"/>
              </w:rPr>
              <w:t>24/7 blockchain infrastructure ops</w:t>
            </w:r>
          </w:p>
        </w:tc>
      </w:tr>
      <w:tr>
        <w:trPr>
          <w:trHeight w:val="425" w:hRule="atLeast"/>
        </w:trPr>
        <w:tc>
          <w:tcPr>
            <w:tcW w:type="dxa" w:w="2436"/>
            <w:vAlign w:val="center"/>
          </w:tcPr>
          <w:p>
            <w:pPr>
              <w:spacing w:line="276" w:lineRule="auto" w:before="0" w:after="0"/>
            </w:pPr>
            <w:r/>
            <w:r>
              <w:rPr>
                <w:rFonts w:ascii="Figtree" w:hAnsi="Figtree"/>
                <w:b w:val="0"/>
                <w:i w:val="0"/>
                <w:sz w:val="20"/>
              </w:rPr>
              <w:t>Total (5 years, excluding infra)</w:t>
            </w:r>
          </w:p>
        </w:tc>
        <w:tc>
          <w:tcPr>
            <w:tcW w:type="dxa" w:w="2436"/>
            <w:vAlign w:val="center"/>
          </w:tcPr>
          <w:p>
            <w:pPr>
              <w:spacing w:line="276" w:lineRule="auto" w:before="0" w:after="0"/>
            </w:pPr>
            <w:r/>
            <w:r>
              <w:rPr>
                <w:rFonts w:ascii="Figtree" w:hAnsi="Figtree"/>
                <w:b w:val="0"/>
                <w:i w:val="0"/>
                <w:sz w:val="20"/>
              </w:rPr>
              <w:t>€2,100,000 + impl</w:t>
            </w:r>
          </w:p>
        </w:tc>
        <w:tc>
          <w:tcPr>
            <w:tcW w:type="dxa" w:w="2436"/>
            <w:vAlign w:val="center"/>
          </w:tcPr>
          <w:p>
            <w:pPr>
              <w:spacing w:line="276" w:lineRule="auto" w:before="0" w:after="0"/>
            </w:pPr>
            <w:r/>
            <w:r>
              <w:rPr>
                <w:rFonts w:ascii="Figtree" w:hAnsi="Figtree"/>
                <w:b w:val="0"/>
                <w:i w:val="0"/>
                <w:sz w:val="20"/>
              </w:rPr>
              <w:t>€8,000,000 — €15,000,000</w:t>
            </w:r>
          </w:p>
        </w:tc>
        <w:tc>
          <w:tcPr>
            <w:tcW w:type="dxa" w:w="2436"/>
            <w:vAlign w:val="center"/>
          </w:tcPr>
          <w:p>
            <w:pPr>
              <w:spacing w:line="276" w:lineRule="auto" w:before="0" w:after="0"/>
            </w:pPr>
            <w:r/>
            <w:r>
              <w:rPr>
                <w:rFonts w:ascii="Figtree" w:hAnsi="Figtree"/>
                <w:b w:val="0"/>
                <w:i w:val="0"/>
                <w:sz w:val="20"/>
              </w:rPr>
              <w:t>Conservative in-house estimate</w:t>
            </w:r>
          </w:p>
        </w:tc>
      </w:tr>
    </w:tbl>
    <w:p>
      <w:pPr>
        <w:spacing w:before="0" w:after="0" w:line="120" w:lineRule="exact"/>
      </w:pPr>
    </w:p>
    <w:p>
      <w:r>
        <w:rPr>
          <w:rFonts w:ascii="Figtree" w:hAnsi="Figtree"/>
          <w:b w:val="0"/>
          <w:i w:val="0"/>
          <w:sz w:val="22"/>
        </w:rPr>
        <w:t>The build-in-house estimate does not include regulatory compliance failure costs, which represent the highest-risk cost category for a fintech operating under PSA licensing and MAS TRM requirements.</w:t>
      </w:r>
    </w:p>
    <w:p>
      <w:pPr>
        <w:pStyle w:val="H3"/>
        <w:numPr>
          <w:ilvl w:val="2"/>
          <w:numId w:val="1"/>
        </w:numPr>
      </w:pPr>
      <w:r>
        <w:t>ROI Framework</w:t>
      </w:r>
    </w:p>
    <w:p>
      <w:r>
        <w:rPr>
          <w:rFonts w:ascii="Figtree" w:hAnsi="Figtree"/>
          <w:b w:val="0"/>
          <w:i w:val="0"/>
          <w:sz w:val="22"/>
        </w:rPr>
        <w:t>For Airwallex, the quantifiable return on DALP investment comes from four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5"/>
        <w:gridCol w:w="3724"/>
        <w:gridCol w:w="3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Magnitude</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failure cost avoidance</w:t>
            </w:r>
          </w:p>
        </w:tc>
        <w:tc>
          <w:tcPr>
            <w:tcW w:type="dxa" w:w="3249"/>
            <w:vAlign w:val="center"/>
          </w:tcPr>
          <w:p>
            <w:pPr>
              <w:spacing w:line="276" w:lineRule="auto" w:before="0" w:after="0"/>
            </w:pPr>
            <w:r/>
            <w:r>
              <w:rPr>
                <w:rFonts w:ascii="Figtree" w:hAnsi="Figtree"/>
                <w:b w:val="0"/>
                <w:i w:val="0"/>
                <w:sz w:val="20"/>
              </w:rPr>
              <w:t>Compliance enforcement prevents regulatory action from non-compliant transfers</w:t>
            </w:r>
          </w:p>
        </w:tc>
        <w:tc>
          <w:tcPr>
            <w:tcW w:type="dxa" w:w="3249"/>
            <w:vAlign w:val="center"/>
          </w:tcPr>
          <w:p>
            <w:pPr>
              <w:spacing w:line="276" w:lineRule="auto" w:before="0" w:after="0"/>
            </w:pPr>
            <w:r/>
            <w:r>
              <w:rPr>
                <w:rFonts w:ascii="Figtree" w:hAnsi="Figtree"/>
                <w:b w:val="0"/>
                <w:i w:val="0"/>
                <w:sz w:val="20"/>
              </w:rPr>
              <w:t>High — PSA enforcement actions carry material fines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labor savings</w:t>
            </w:r>
          </w:p>
        </w:tc>
        <w:tc>
          <w:tcPr>
            <w:tcW w:type="dxa" w:w="3249"/>
            <w:vAlign w:val="center"/>
          </w:tcPr>
          <w:p>
            <w:pPr>
              <w:spacing w:line="276" w:lineRule="auto" w:before="0" w:after="0"/>
            </w:pPr>
            <w:r/>
            <w:r>
              <w:rPr>
                <w:rFonts w:ascii="Figtree" w:hAnsi="Figtree"/>
                <w:b w:val="0"/>
                <w:i w:val="0"/>
                <w:sz w:val="20"/>
              </w:rPr>
              <w:t>Real-time chain indexer replaces manual reconciliation cycles</w:t>
            </w:r>
          </w:p>
        </w:tc>
        <w:tc>
          <w:tcPr>
            <w:tcW w:type="dxa" w:w="3249"/>
            <w:vAlign w:val="center"/>
          </w:tcPr>
          <w:p>
            <w:pPr>
              <w:spacing w:line="276" w:lineRule="auto" w:before="0" w:after="0"/>
            </w:pPr>
            <w:r/>
            <w:r>
              <w:rPr>
                <w:rFonts w:ascii="Figtree" w:hAnsi="Figtree"/>
                <w:b w:val="0"/>
                <w:i w:val="0"/>
                <w:sz w:val="20"/>
              </w:rPr>
              <w:t>Medium — depends on current reconciliation headcount</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w:t>
            </w:r>
          </w:p>
        </w:tc>
        <w:tc>
          <w:tcPr>
            <w:tcW w:type="dxa" w:w="3249"/>
            <w:vAlign w:val="center"/>
          </w:tcPr>
          <w:p>
            <w:pPr>
              <w:spacing w:line="276" w:lineRule="auto" w:before="0" w:after="0"/>
            </w:pPr>
            <w:r/>
            <w:r>
              <w:rPr>
                <w:rFonts w:ascii="Figtree" w:hAnsi="Figtree"/>
                <w:b w:val="0"/>
                <w:i w:val="0"/>
                <w:sz w:val="20"/>
              </w:rPr>
              <w:t>19-week deployment vs multi-year in-house build</w:t>
            </w:r>
          </w:p>
        </w:tc>
        <w:tc>
          <w:tcPr>
            <w:tcW w:type="dxa" w:w="3249"/>
            <w:vAlign w:val="center"/>
          </w:tcPr>
          <w:p>
            <w:pPr>
              <w:spacing w:line="276" w:lineRule="auto" w:before="0" w:after="0"/>
            </w:pPr>
            <w:r/>
            <w:r>
              <w:rPr>
                <w:rFonts w:ascii="Figtree" w:hAnsi="Figtree"/>
                <w:b w:val="0"/>
                <w:i w:val="0"/>
                <w:sz w:val="20"/>
              </w:rPr>
              <w:t>High — enables revenue-generating cross-border settlement 2-3 years earlier</w:t>
            </w:r>
          </w:p>
        </w:tc>
      </w:tr>
      <w:tr>
        <w:trPr>
          <w:trHeight w:val="425" w:hRule="atLeast"/>
        </w:trPr>
        <w:tc>
          <w:tcPr>
            <w:tcW w:type="dxa" w:w="3249"/>
            <w:vAlign w:val="center"/>
          </w:tcPr>
          <w:p>
            <w:pPr>
              <w:spacing w:line="276" w:lineRule="auto" w:before="0" w:after="0"/>
            </w:pPr>
            <w:r/>
            <w:r>
              <w:rPr>
                <w:rFonts w:ascii="Figtree" w:hAnsi="Figtree"/>
                <w:b w:val="0"/>
                <w:i w:val="0"/>
                <w:sz w:val="20"/>
              </w:rPr>
              <w:t>Operational scalability</w:t>
            </w:r>
          </w:p>
        </w:tc>
        <w:tc>
          <w:tcPr>
            <w:tcW w:type="dxa" w:w="3249"/>
            <w:vAlign w:val="center"/>
          </w:tcPr>
          <w:p>
            <w:pPr>
              <w:spacing w:line="276" w:lineRule="auto" w:before="0" w:after="0"/>
            </w:pPr>
            <w:r/>
            <w:r>
              <w:rPr>
                <w:rFonts w:ascii="Figtree" w:hAnsi="Figtree"/>
                <w:b w:val="0"/>
                <w:i w:val="0"/>
                <w:sz w:val="20"/>
              </w:rPr>
              <w:t>Platform scales without additional engineering investment</w:t>
            </w:r>
          </w:p>
        </w:tc>
        <w:tc>
          <w:tcPr>
            <w:tcW w:type="dxa" w:w="3249"/>
            <w:vAlign w:val="center"/>
          </w:tcPr>
          <w:p>
            <w:pPr>
              <w:spacing w:line="276" w:lineRule="auto" w:before="0" w:after="0"/>
            </w:pPr>
            <w:r/>
            <w:r>
              <w:rPr>
                <w:rFonts w:ascii="Figtree" w:hAnsi="Figtree"/>
                <w:b w:val="0"/>
                <w:i w:val="0"/>
                <w:sz w:val="20"/>
              </w:rPr>
              <w:t>Medium-High — cross-border settlement volume growth is linear cost, not stepped</w:t>
            </w:r>
          </w:p>
        </w:tc>
      </w:tr>
    </w:tbl>
    <w:p>
      <w:pPr>
        <w:spacing w:before="0" w:after="0" w:line="120" w:lineRule="exact"/>
      </w:pPr>
    </w:p>
    <w:p>
      <w:r>
        <w:br w:type="page"/>
      </w:r>
    </w:p>
    <w:p>
      <w:pPr>
        <w:pStyle w:val="H2"/>
        <w:numPr>
          <w:ilvl w:val="1"/>
          <w:numId w:val="1"/>
        </w:numPr>
      </w:pPr>
      <w:r>
        <w:t>Payment Terms and Conditions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5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Payment Timing</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Fee (Year 1)</w:t>
            </w:r>
          </w:p>
        </w:tc>
        <w:tc>
          <w:tcPr>
            <w:tcW w:type="dxa" w:w="4873"/>
            <w:vAlign w:val="center"/>
          </w:tcPr>
          <w:p>
            <w:pPr>
              <w:spacing w:line="276" w:lineRule="auto" w:before="0" w:after="0"/>
            </w:pPr>
            <w:r/>
            <w:r>
              <w:rPr>
                <w:rFonts w:ascii="Figtree" w:hAnsi="Figtree"/>
                <w:b w:val="0"/>
                <w:i w:val="0"/>
                <w:sz w:val="20"/>
              </w:rPr>
              <w:t>Due upon contract execution (upfront)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Milestone-based billing per Phase completion</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Renewal</w:t>
            </w:r>
          </w:p>
        </w:tc>
        <w:tc>
          <w:tcPr>
            <w:tcW w:type="dxa" w:w="4873"/>
            <w:vAlign w:val="center"/>
          </w:tcPr>
          <w:p>
            <w:pPr>
              <w:spacing w:line="276" w:lineRule="auto" w:before="0" w:after="0"/>
            </w:pPr>
            <w:r/>
            <w:r>
              <w:rPr>
                <w:rFonts w:ascii="Figtree" w:hAnsi="Figtree"/>
                <w:b w:val="0"/>
                <w:i w:val="0"/>
                <w:sz w:val="20"/>
              </w:rPr>
              <w:t>Upfront at each anniversary date</w:t>
            </w:r>
          </w:p>
        </w:tc>
      </w:tr>
    </w:tbl>
    <w:p>
      <w:pPr>
        <w:spacing w:before="0" w:after="0" w:line="120" w:lineRule="exact"/>
      </w:pPr>
    </w:p>
    <w:p>
      <w:pPr>
        <w:pStyle w:val="H3"/>
        <w:numPr>
          <w:ilvl w:val="2"/>
          <w:numId w:val="1"/>
        </w:numPr>
      </w:pPr>
      <w:r>
        <w:t>Payment Conditions</w:t>
      </w:r>
    </w:p>
    <w:p>
      <w:pPr>
        <w:pStyle w:val="ListParagraph"/>
        <w:numPr>
          <w:ilvl w:val="0"/>
          <w:numId w:val="4"/>
        </w:numPr>
      </w:pPr>
      <w:r>
        <w:rPr>
          <w:rFonts w:ascii="Figtree" w:hAnsi="Figtree"/>
          <w:b w:val="0"/>
          <w:i w:val="0"/>
          <w:sz w:val="22"/>
        </w:rPr>
        <w:t>All fees are invoiced in EUR</w:t>
      </w:r>
    </w:p>
    <w:p>
      <w:pPr>
        <w:pStyle w:val="ListParagraph"/>
        <w:numPr>
          <w:ilvl w:val="0"/>
          <w:numId w:val="4"/>
        </w:numPr>
      </w:pPr>
      <w:r>
        <w:rPr>
          <w:rFonts w:ascii="Figtree" w:hAnsi="Figtree"/>
          <w:b w:val="0"/>
          <w:i w:val="0"/>
          <w:sz w:val="22"/>
        </w:rPr>
        <w:t>Payment due within 30 days of invoice date</w:t>
      </w:r>
    </w:p>
    <w:p>
      <w:pPr>
        <w:pStyle w:val="ListParagraph"/>
        <w:numPr>
          <w:ilvl w:val="0"/>
          <w:numId w:val="4"/>
        </w:numPr>
      </w:pPr>
      <w:r>
        <w:rPr>
          <w:rFonts w:ascii="Figtree" w:hAnsi="Figtree"/>
          <w:b w:val="0"/>
          <w:i w:val="0"/>
          <w:sz w:val="22"/>
        </w:rPr>
        <w:t>All fees exclude applicable taxes and VAT; taxes added based on applicable jurisdiction</w:t>
      </w:r>
    </w:p>
    <w:p>
      <w:pPr>
        <w:pStyle w:val="ListParagraph"/>
        <w:numPr>
          <w:ilvl w:val="0"/>
          <w:numId w:val="4"/>
        </w:numPr>
      </w:pPr>
      <w:r>
        <w:rPr>
          <w:rFonts w:ascii="Figtree" w:hAnsi="Figtree"/>
          <w:b w:val="0"/>
          <w:i w:val="0"/>
          <w:sz w:val="22"/>
        </w:rPr>
        <w:t>No monthly installment option for license fees</w:t>
      </w:r>
    </w:p>
    <w:p>
      <w:pPr>
        <w:pStyle w:val="ListParagraph"/>
        <w:numPr>
          <w:ilvl w:val="0"/>
          <w:numId w:val="4"/>
        </w:numPr>
      </w:pPr>
      <w:r>
        <w:rPr>
          <w:rFonts w:ascii="Figtree" w:hAnsi="Figtree"/>
          <w:b w:val="0"/>
          <w:i w:val="0"/>
          <w:sz w:val="22"/>
        </w:rPr>
        <w:t>License activation contingent on receipt of Year 1 payment</w:t>
      </w:r>
    </w:p>
    <w:p>
      <w:pPr>
        <w:pStyle w:val="H3"/>
        <w:numPr>
          <w:ilvl w:val="2"/>
          <w:numId w:val="1"/>
        </w:numPr>
      </w:pPr>
      <w:r>
        <w:t>Governing Law and Dispute Resolution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65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Singapore (for APAC-region clients) or Belgium (as applicable)</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Singapore International Arbitration Centre (SIAC) rules</w:t>
            </w:r>
          </w:p>
        </w:tc>
      </w:tr>
      <w:tr>
        <w:trPr>
          <w:trHeight w:val="425" w:hRule="atLeast"/>
        </w:trPr>
        <w:tc>
          <w:tcPr>
            <w:tcW w:type="dxa" w:w="4873"/>
            <w:vAlign w:val="center"/>
          </w:tcPr>
          <w:p>
            <w:pPr>
              <w:spacing w:line="276" w:lineRule="auto" w:before="0" w:after="0"/>
            </w:pPr>
            <w:r/>
            <w:r>
              <w:rPr>
                <w:rFonts w:ascii="Figtree" w:hAnsi="Figtree"/>
                <w:b w:val="0"/>
                <w:i w:val="0"/>
                <w:sz w:val="20"/>
              </w:rPr>
              <w:t>Jurisdiction</w:t>
            </w:r>
          </w:p>
        </w:tc>
        <w:tc>
          <w:tcPr>
            <w:tcW w:type="dxa" w:w="4873"/>
            <w:vAlign w:val="center"/>
          </w:tcPr>
          <w:p>
            <w:pPr>
              <w:spacing w:line="276" w:lineRule="auto" w:before="0" w:after="0"/>
            </w:pPr>
            <w:r/>
            <w:r>
              <w:rPr>
                <w:rFonts w:ascii="Figtree" w:hAnsi="Figtree"/>
                <w:b w:val="0"/>
                <w:i w:val="0"/>
                <w:sz w:val="20"/>
              </w:rPr>
              <w:t>Singapore courts have non-exclusive jurisdiction</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force majeure provisions apply (detailed in MSA)</w:t>
            </w:r>
          </w:p>
        </w:tc>
      </w:tr>
    </w:tbl>
    <w:p>
      <w:pPr>
        <w:spacing w:before="0" w:after="0" w:line="120" w:lineRule="exact"/>
      </w:pPr>
    </w:p>
    <w:p>
      <w:r>
        <w:br w:type="page"/>
      </w:r>
    </w:p>
    <w:p>
      <w:pPr>
        <w:pStyle w:val="H2"/>
        <w:numPr>
          <w:ilvl w:val="1"/>
          <w:numId w:val="1"/>
        </w:numPr>
      </w:pPr>
      <w:r>
        <w:t>Commercial Assumptions and Exclusions</w:t>
      </w:r>
    </w:p>
    <w:p>
      <w:pPr>
        <w:pStyle w:val="H3"/>
        <w:numPr>
          <w:ilvl w:val="2"/>
          <w:numId w:val="1"/>
        </w:numPr>
      </w:pPr>
      <w:r>
        <w:t>Assumptions</w:t>
      </w:r>
    </w:p>
    <w:p>
      <w:r>
        <w:rPr>
          <w:rFonts w:ascii="Figtree" w:hAnsi="Figtree"/>
          <w:b w:val="0"/>
          <w:i w:val="0"/>
          <w:sz w:val="22"/>
        </w:rPr>
        <w:t>All commercial figures in this proposal are based on the following assumptions. Material changes to assumptions will require revised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70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Managed SaaS, Singapore data residency</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1 Production + 1 Development</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Tokenized cross-border settlement instruments (stablecoin/deposit type)</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scope</w:t>
            </w:r>
          </w:p>
        </w:tc>
        <w:tc>
          <w:tcPr>
            <w:tcW w:type="dxa" w:w="4873"/>
            <w:vAlign w:val="center"/>
          </w:tcPr>
          <w:p>
            <w:pPr>
              <w:spacing w:line="276" w:lineRule="auto" w:before="0" w:after="0"/>
            </w:pPr>
            <w:r/>
            <w:r>
              <w:rPr>
                <w:rFonts w:ascii="Figtree" w:hAnsi="Figtree"/>
                <w:b w:val="0"/>
                <w:i w:val="0"/>
                <w:sz w:val="20"/>
              </w:rPr>
              <w:t>GL, treasury, payment rails, KYC provider, observability (standard scope)</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(24/7/365)</w:t>
            </w:r>
          </w:p>
        </w:tc>
      </w:tr>
      <w:tr>
        <w:trPr>
          <w:trHeight w:val="425" w:hRule="atLeast"/>
        </w:trPr>
        <w:tc>
          <w:tcPr>
            <w:tcW w:type="dxa" w:w="4873"/>
            <w:vAlign w:val="center"/>
          </w:tcPr>
          <w:p>
            <w:pPr>
              <w:spacing w:line="276" w:lineRule="auto" w:before="0" w:after="0"/>
            </w:pPr>
            <w:r/>
            <w:r>
              <w:rPr>
                <w:rFonts w:ascii="Figtree" w:hAnsi="Figtree"/>
                <w:b w:val="0"/>
                <w:i w:val="0"/>
                <w:sz w:val="20"/>
              </w:rPr>
              <w:t>Timeline</w:t>
            </w:r>
          </w:p>
        </w:tc>
        <w:tc>
          <w:tcPr>
            <w:tcW w:type="dxa" w:w="4873"/>
            <w:vAlign w:val="center"/>
          </w:tcPr>
          <w:p>
            <w:pPr>
              <w:spacing w:line="276" w:lineRule="auto" w:before="0" w:after="0"/>
            </w:pPr>
            <w:r/>
            <w:r>
              <w:rPr>
                <w:rFonts w:ascii="Figtree" w:hAnsi="Figtree"/>
                <w:b w:val="0"/>
                <w:i w:val="0"/>
                <w:sz w:val="20"/>
              </w:rPr>
              <w:t>Standard 19-week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Regulatory scope</w:t>
            </w:r>
          </w:p>
        </w:tc>
        <w:tc>
          <w:tcPr>
            <w:tcW w:type="dxa" w:w="4873"/>
            <w:vAlign w:val="center"/>
          </w:tcPr>
          <w:p>
            <w:pPr>
              <w:spacing w:line="276" w:lineRule="auto" w:before="0" w:after="0"/>
            </w:pPr>
            <w:r/>
            <w:r>
              <w:rPr>
                <w:rFonts w:ascii="Figtree" w:hAnsi="Figtree"/>
                <w:b w:val="0"/>
                <w:i w:val="0"/>
                <w:sz w:val="20"/>
              </w:rPr>
              <w:t>MAS PSA / TRM compliance (Singapore primary); cross-border corridors to be scoped</w:t>
            </w:r>
          </w:p>
        </w:tc>
      </w:tr>
    </w:tbl>
    <w:p>
      <w:pPr>
        <w:spacing w:before="0" w:after="0" w:line="120" w:lineRule="exact"/>
      </w:pPr>
    </w:p>
    <w:p>
      <w:pPr>
        <w:pStyle w:val="H3"/>
        <w:numPr>
          <w:ilvl w:val="2"/>
          <w:numId w:val="1"/>
        </w:numPr>
      </w:pPr>
      <w:r>
        <w:t>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59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Modules outside the 18-module standard catalog require additional scoping</w:t>
            </w:r>
          </w:p>
        </w:tc>
      </w:tr>
      <w:tr>
        <w:trPr>
          <w:trHeight w:val="425" w:hRule="atLeast"/>
        </w:trPr>
        <w:tc>
          <w:tcPr>
            <w:tcW w:type="dxa" w:w="4873"/>
            <w:vAlign w:val="center"/>
          </w:tcPr>
          <w:p>
            <w:pPr>
              <w:spacing w:line="276" w:lineRule="auto" w:before="0" w:after="0"/>
            </w:pPr>
            <w:r/>
            <w:r>
              <w:rPr>
                <w:rFonts w:ascii="Figtree" w:hAnsi="Figtree"/>
                <w:b w:val="0"/>
                <w:i w:val="0"/>
                <w:sz w:val="20"/>
              </w:rPr>
              <w:t>Custom smart contract development</w:t>
            </w:r>
          </w:p>
        </w:tc>
        <w:tc>
          <w:tcPr>
            <w:tcW w:type="dxa" w:w="4873"/>
            <w:vAlign w:val="center"/>
          </w:tcPr>
          <w:p>
            <w:pPr>
              <w:spacing w:line="276" w:lineRule="auto" w:before="0" w:after="0"/>
            </w:pPr>
            <w:r/>
            <w:r>
              <w:rPr>
                <w:rFonts w:ascii="Figtree" w:hAnsi="Figtree"/>
                <w:b w:val="0"/>
                <w:i w:val="0"/>
                <w:sz w:val="20"/>
              </w:rPr>
              <w:t>Platform is delivered as-configured; no custom contract code</w:t>
            </w:r>
          </w:p>
        </w:tc>
      </w:tr>
      <w:tr>
        <w:trPr>
          <w:trHeight w:val="425" w:hRule="atLeast"/>
        </w:trPr>
        <w:tc>
          <w:tcPr>
            <w:tcW w:type="dxa" w:w="4873"/>
            <w:vAlign w:val="center"/>
          </w:tcPr>
          <w:p>
            <w:pPr>
              <w:spacing w:line="276" w:lineRule="auto" w:before="0" w:after="0"/>
            </w:pPr>
            <w:r/>
            <w:r>
              <w:rPr>
                <w:rFonts w:ascii="Figtree" w:hAnsi="Figtree"/>
                <w:b w:val="0"/>
                <w:i w:val="0"/>
                <w:sz w:val="20"/>
              </w:rPr>
              <w:t>Third-party provider fees</w:t>
            </w:r>
          </w:p>
        </w:tc>
        <w:tc>
          <w:tcPr>
            <w:tcW w:type="dxa" w:w="4873"/>
            <w:vAlign w:val="center"/>
          </w:tcPr>
          <w:p>
            <w:pPr>
              <w:spacing w:line="276" w:lineRule="auto" w:before="0" w:after="0"/>
            </w:pPr>
            <w:r/>
            <w:r>
              <w:rPr>
                <w:rFonts w:ascii="Figtree" w:hAnsi="Figtree"/>
                <w:b w:val="0"/>
                <w:i w:val="0"/>
                <w:sz w:val="20"/>
              </w:rPr>
              <w:t>Custody (Fireblocks/DFNS), KYC/KYB, sanctions screening — all direct client contracts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costs</w:t>
            </w:r>
          </w:p>
        </w:tc>
        <w:tc>
          <w:tcPr>
            <w:tcW w:type="dxa" w:w="4873"/>
            <w:vAlign w:val="center"/>
          </w:tcPr>
          <w:p>
            <w:pPr>
              <w:spacing w:line="276" w:lineRule="auto" w:before="0" w:after="0"/>
            </w:pPr>
            <w:r/>
            <w:r>
              <w:rPr>
                <w:rFonts w:ascii="Figtree" w:hAnsi="Figtree"/>
                <w:b w:val="0"/>
                <w:i w:val="0"/>
                <w:sz w:val="20"/>
              </w:rPr>
              <w:t>Passed through at AWS cost; not marked up</w:t>
            </w:r>
          </w:p>
        </w:tc>
      </w:tr>
      <w:tr>
        <w:trPr>
          <w:trHeight w:val="425" w:hRule="atLeast"/>
        </w:trPr>
        <w:tc>
          <w:tcPr>
            <w:tcW w:type="dxa" w:w="4873"/>
            <w:vAlign w:val="center"/>
          </w:tcPr>
          <w:p>
            <w:pPr>
              <w:spacing w:line="276" w:lineRule="auto" w:before="0" w:after="0"/>
            </w:pPr>
            <w:r/>
            <w:r>
              <w:rPr>
                <w:rFonts w:ascii="Figtree" w:hAnsi="Figtree"/>
                <w:b w:val="0"/>
                <w:i w:val="0"/>
                <w:sz w:val="20"/>
              </w:rPr>
              <w:t>Legal and regulatory advisory</w:t>
            </w:r>
          </w:p>
        </w:tc>
        <w:tc>
          <w:tcPr>
            <w:tcW w:type="dxa" w:w="4873"/>
            <w:vAlign w:val="center"/>
          </w:tcPr>
          <w:p>
            <w:pPr>
              <w:spacing w:line="276" w:lineRule="auto" w:before="0" w:after="0"/>
            </w:pPr>
            <w:r/>
            <w:r>
              <w:rPr>
                <w:rFonts w:ascii="Figtree" w:hAnsi="Figtree"/>
                <w:b w:val="0"/>
                <w:i w:val="0"/>
                <w:sz w:val="20"/>
              </w:rPr>
              <w:t>SettleMint provides technical compliance documentation; legal advice is client 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Multi-jurisdiction expansion beyond Singapore</w:t>
            </w:r>
          </w:p>
        </w:tc>
        <w:tc>
          <w:tcPr>
            <w:tcW w:type="dxa" w:w="4873"/>
            <w:vAlign w:val="center"/>
          </w:tcPr>
          <w:p>
            <w:pPr>
              <w:spacing w:line="276" w:lineRule="auto" w:before="0" w:after="0"/>
            </w:pPr>
            <w:r/>
            <w:r>
              <w:rPr>
                <w:rFonts w:ascii="Figtree" w:hAnsi="Figtree"/>
                <w:b w:val="0"/>
                <w:i w:val="0"/>
                <w:sz w:val="20"/>
              </w:rPr>
              <w:t>Additional jurisdictions may require additional compliance module configuration (scoped separately)</w:t>
            </w:r>
          </w:p>
        </w:tc>
      </w:tr>
    </w:tbl>
    <w:p>
      <w:pPr>
        <w:spacing w:before="0" w:after="0" w:line="120" w:lineRule="exact"/>
      </w:pPr>
    </w:p>
    <w:p>
      <w:r>
        <w:br w:type="page"/>
      </w:r>
    </w:p>
    <w:p>
      <w:pPr>
        <w:pStyle w:val="H2"/>
        <w:numPr>
          <w:ilvl w:val="1"/>
          <w:numId w:val="1"/>
        </w:numPr>
      </w:pPr>
      <w:r>
        <w:t>Proposal Validity and Next Steps</w:t>
      </w:r>
    </w:p>
    <w:p>
      <w:pPr>
        <w:pStyle w:val="H3"/>
        <w:numPr>
          <w:ilvl w:val="2"/>
          <w:numId w:val="1"/>
        </w:numPr>
      </w:pPr>
      <w:r>
        <w:t>Proposal Validity</w:t>
      </w:r>
    </w:p>
    <w:p>
      <w:r>
        <w:rPr>
          <w:rFonts w:ascii="Figtree" w:hAnsi="Figtree"/>
          <w:b w:val="0"/>
          <w:i w:val="0"/>
          <w:sz w:val="22"/>
        </w:rPr>
        <w:t>This commercial proposal is valid for 60 days from the date above (until 20 May 2026). License pricing is fixed at the rates stated. Implementation fees remain subject to formal scoping confirmation.</w:t>
      </w:r>
    </w:p>
    <w:p>
      <w:pPr>
        <w:pStyle w:val="H3"/>
        <w:numPr>
          <w:ilvl w:val="2"/>
          <w:numId w:val="1"/>
        </w:numPr>
      </w:pPr>
      <w:r>
        <w:t>Recommended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03"/>
        <w:gridCol w:w="1879"/>
        <w:gridCol w:w="22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1. Evaluation questions and clarifications</w:t>
            </w:r>
          </w:p>
        </w:tc>
        <w:tc>
          <w:tcPr>
            <w:tcW w:type="dxa" w:w="3249"/>
            <w:vAlign w:val="center"/>
          </w:tcPr>
          <w:p>
            <w:pPr>
              <w:spacing w:line="276" w:lineRule="auto" w:before="0" w:after="0"/>
            </w:pPr>
            <w:r/>
            <w:r>
              <w:rPr>
                <w:rFonts w:ascii="Figtree" w:hAnsi="Figtree"/>
                <w:b w:val="0"/>
                <w:i w:val="0"/>
                <w:sz w:val="20"/>
              </w:rPr>
              <w:t>Airwallex to SettleMint</w:t>
            </w:r>
          </w:p>
        </w:tc>
        <w:tc>
          <w:tcPr>
            <w:tcW w:type="dxa" w:w="3249"/>
            <w:vAlign w:val="center"/>
          </w:tcPr>
          <w:p>
            <w:pPr>
              <w:spacing w:line="276" w:lineRule="auto" w:before="0" w:after="0"/>
            </w:pPr>
            <w:r/>
            <w:r>
              <w:rPr>
                <w:rFonts w:ascii="Figtree" w:hAnsi="Figtree"/>
                <w:b w:val="0"/>
                <w:i w:val="0"/>
                <w:sz w:val="20"/>
              </w:rPr>
              <w:t>Within 2 weeks of receipt</w:t>
            </w:r>
          </w:p>
        </w:tc>
      </w:tr>
      <w:tr>
        <w:trPr>
          <w:trHeight w:val="425" w:hRule="atLeast"/>
        </w:trPr>
        <w:tc>
          <w:tcPr>
            <w:tcW w:type="dxa" w:w="3249"/>
            <w:vAlign w:val="center"/>
          </w:tcPr>
          <w:p>
            <w:pPr>
              <w:spacing w:line="276" w:lineRule="auto" w:before="0" w:after="0"/>
            </w:pPr>
            <w:r/>
            <w:r>
              <w:rPr>
                <w:rFonts w:ascii="Figtree" w:hAnsi="Figtree"/>
                <w:b w:val="0"/>
                <w:i w:val="0"/>
                <w:sz w:val="20"/>
              </w:rPr>
              <w:t>2. Reference client calls (under NDA)</w:t>
            </w:r>
          </w:p>
        </w:tc>
        <w:tc>
          <w:tcPr>
            <w:tcW w:type="dxa" w:w="3249"/>
            <w:vAlign w:val="center"/>
          </w:tcPr>
          <w:p>
            <w:pPr>
              <w:spacing w:line="276" w:lineRule="auto" w:before="0" w:after="0"/>
            </w:pPr>
            <w:r/>
            <w:r>
              <w:rPr>
                <w:rFonts w:ascii="Figtree" w:hAnsi="Figtree"/>
                <w:b w:val="0"/>
                <w:i w:val="0"/>
                <w:sz w:val="20"/>
              </w:rPr>
              <w:t>SettleMint to arrange</w:t>
            </w:r>
          </w:p>
        </w:tc>
        <w:tc>
          <w:tcPr>
            <w:tcW w:type="dxa" w:w="3249"/>
            <w:vAlign w:val="center"/>
          </w:tcPr>
          <w:p>
            <w:pPr>
              <w:spacing w:line="276" w:lineRule="auto" w:before="0" w:after="0"/>
            </w:pPr>
            <w:r/>
            <w:r>
              <w:rPr>
                <w:rFonts w:ascii="Figtree" w:hAnsi="Figtree"/>
                <w:b w:val="0"/>
                <w:i w:val="0"/>
                <w:sz w:val="20"/>
              </w:rPr>
              <w:t>Upon request</w:t>
            </w:r>
          </w:p>
        </w:tc>
      </w:tr>
      <w:tr>
        <w:trPr>
          <w:trHeight w:val="425" w:hRule="atLeast"/>
        </w:trPr>
        <w:tc>
          <w:tcPr>
            <w:tcW w:type="dxa" w:w="3249"/>
            <w:vAlign w:val="center"/>
          </w:tcPr>
          <w:p>
            <w:pPr>
              <w:spacing w:line="276" w:lineRule="auto" w:before="0" w:after="0"/>
            </w:pPr>
            <w:r/>
            <w:r>
              <w:rPr>
                <w:rFonts w:ascii="Figtree" w:hAnsi="Figtree"/>
                <w:b w:val="0"/>
                <w:i w:val="0"/>
                <w:sz w:val="20"/>
              </w:rPr>
              <w:t>3. Commercial scoping call (implementation fee confirmation)</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4. Technical deep-dive / architecture review</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5. Legal review of Master Services Agreement</w:t>
            </w:r>
          </w:p>
        </w:tc>
        <w:tc>
          <w:tcPr>
            <w:tcW w:type="dxa" w:w="3249"/>
            <w:vAlign w:val="center"/>
          </w:tcPr>
          <w:p>
            <w:pPr>
              <w:spacing w:line="276" w:lineRule="auto" w:before="0" w:after="0"/>
            </w:pPr>
            <w:r/>
            <w:r>
              <w:rPr>
                <w:rFonts w:ascii="Figtree" w:hAnsi="Figtree"/>
                <w:b w:val="0"/>
                <w:i w:val="0"/>
                <w:sz w:val="20"/>
              </w:rPr>
              <w:t>Both legal teams</w:t>
            </w:r>
          </w:p>
        </w:tc>
        <w:tc>
          <w:tcPr>
            <w:tcW w:type="dxa" w:w="3249"/>
            <w:vAlign w:val="center"/>
          </w:tcPr>
          <w:p>
            <w:pPr>
              <w:spacing w:line="276" w:lineRule="auto" w:before="0" w:after="0"/>
            </w:pPr>
            <w:r/>
            <w:r>
              <w:rPr>
                <w:rFonts w:ascii="Figtree" w:hAnsi="Figtree"/>
                <w:b w:val="0"/>
                <w:i w:val="0"/>
                <w:sz w:val="20"/>
              </w:rPr>
              <w:t>Week 4-6</w:t>
            </w:r>
          </w:p>
        </w:tc>
      </w:tr>
      <w:tr>
        <w:trPr>
          <w:trHeight w:val="425" w:hRule="atLeast"/>
        </w:trPr>
        <w:tc>
          <w:tcPr>
            <w:tcW w:type="dxa" w:w="3249"/>
            <w:vAlign w:val="center"/>
          </w:tcPr>
          <w:p>
            <w:pPr>
              <w:spacing w:line="276" w:lineRule="auto" w:before="0" w:after="0"/>
            </w:pPr>
            <w:r/>
            <w:r>
              <w:rPr>
                <w:rFonts w:ascii="Figtree" w:hAnsi="Figtree"/>
                <w:b w:val="0"/>
                <w:i w:val="0"/>
                <w:sz w:val="20"/>
              </w:rPr>
              <w:t>6. Contract execution and Year 1 license payment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Upon agreement</w:t>
            </w:r>
          </w:p>
        </w:tc>
      </w:tr>
      <w:tr>
        <w:trPr>
          <w:trHeight w:val="425" w:hRule="atLeast"/>
        </w:trPr>
        <w:tc>
          <w:tcPr>
            <w:tcW w:type="dxa" w:w="3249"/>
            <w:vAlign w:val="center"/>
          </w:tcPr>
          <w:p>
            <w:pPr>
              <w:spacing w:line="276" w:lineRule="auto" w:before="0" w:after="0"/>
            </w:pPr>
            <w:r/>
            <w:r>
              <w:rPr>
                <w:rFonts w:ascii="Figtree" w:hAnsi="Figtree"/>
                <w:b w:val="0"/>
                <w:i w:val="0"/>
                <w:sz w:val="20"/>
              </w:rPr>
              <w:t>7. Implementation kickoff</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Following contract execution</w:t>
            </w:r>
          </w:p>
        </w:tc>
      </w:tr>
    </w:tbl>
    <w:p>
      <w:pPr>
        <w:spacing w:before="0" w:after="0" w:line="120" w:lineRule="exact"/>
      </w:pPr>
    </w:p>
    <w:p>
      <w:pPr>
        <w:pStyle w:val="H3"/>
        <w:numPr>
          <w:ilvl w:val="2"/>
          <w:numId w:val="1"/>
        </w:numPr>
      </w:pPr>
      <w:r>
        <w:t>SettleMint Commercial Contact</w:t>
      </w:r>
    </w:p>
    <w:p>
      <w:r>
        <w:rPr>
          <w:rFonts w:ascii="Figtree" w:hAnsi="Figtree"/>
          <w:b w:val="0"/>
          <w:i w:val="0"/>
          <w:sz w:val="22"/>
        </w:rPr>
        <w:t>For all commercial queries related to this proposal, please contact SettleMint's Singapore-region commercial team. Contact details provided under separate cover.</w:t>
      </w:r>
    </w:p>
    <w:p>
      <w:r>
        <w:br w:type="page"/>
      </w:r>
    </w:p>
    <w:p>
      <w:r>
        <w:rPr>
          <w:rFonts w:ascii="Figtree" w:hAnsi="Figtree"/>
          <w:b w:val="0"/>
          <w:i/>
          <w:sz w:val="22"/>
        </w:rPr>
        <w:t>SettleMint | Confidential | Version 1.0 | 21 March 2026</w:t>
      </w:r>
    </w:p>
    <w:p>
      <w:r>
        <w:rPr>
          <w:rFonts w:ascii="Figtree" w:hAnsi="Figtree"/>
          <w:b w:val="0"/>
          <w:i/>
          <w:sz w:val="22"/>
        </w:rPr>
        <w:t>All prices exclude applicable taxes and VAT. Annual, upfront payment terms apply to all license fees.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