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Recommended Commercial Configuration</w:t>
          </w:r>
          <w:r>
            <w:tab/>
          </w:r>
          <w:r>
            <w:t xml:space="preserve">5</w:t>
          </w:r>
        </w:p>
        <w:p>
          <w:pPr>
            <w:pStyle w:val="TOC2"/>
            <w:tabs>
              <w:tab w:val="right" w:leader="dot" w:pos="9072"/>
            </w:tabs>
          </w:pPr>
          <w:r>
            <w:t xml:space="preserve">License and Subscription Fees</w:t>
          </w:r>
          <w:r>
            <w:tab/>
          </w:r>
          <w:r>
            <w:t xml:space="preserve">6</w:t>
          </w:r>
        </w:p>
        <w:p>
          <w:pPr>
            <w:pStyle w:val="TOC3"/>
            <w:tabs>
              <w:tab w:val="right" w:leader="dot" w:pos="9072"/>
            </w:tabs>
          </w:pPr>
          <w:r>
            <w:t xml:space="preserve">Annual License Structure</w:t>
          </w:r>
          <w:r>
            <w:tab/>
          </w:r>
          <w:r>
            <w:t xml:space="preserve">7</w:t>
          </w:r>
        </w:p>
        <w:p>
          <w:pPr>
            <w:pStyle w:val="TOC3"/>
            <w:tabs>
              <w:tab w:val="right" w:leader="dot" w:pos="9072"/>
            </w:tabs>
          </w:pPr>
          <w:r>
            <w:t xml:space="preserve">License Inclusions</w:t>
          </w:r>
          <w:r>
            <w:tab/>
          </w:r>
          <w:r>
            <w:t xml:space="preserve">8</w:t>
          </w:r>
        </w:p>
        <w:p>
          <w:pPr>
            <w:pStyle w:val="TOC3"/>
            <w:tabs>
              <w:tab w:val="right" w:leader="dot" w:pos="9072"/>
            </w:tabs>
          </w:pPr>
          <w:r>
            <w:t xml:space="preserve">License Exclusions</w:t>
          </w:r>
          <w:r>
            <w:tab/>
          </w:r>
          <w:r>
            <w:t xml:space="preserve">9</w:t>
          </w:r>
        </w:p>
        <w:p>
          <w:pPr>
            <w:pStyle w:val="TOC2"/>
            <w:tabs>
              <w:tab w:val="right" w:leader="dot" w:pos="9072"/>
            </w:tabs>
          </w:pPr>
          <w:r>
            <w:t xml:space="preserve">Implementation Services</w:t>
          </w:r>
          <w:r>
            <w:tab/>
          </w:r>
          <w:r>
            <w:t xml:space="preserve">10</w:t>
          </w:r>
        </w:p>
        <w:p>
          <w:pPr>
            <w:pStyle w:val="TOC3"/>
            <w:tabs>
              <w:tab w:val="right" w:leader="dot" w:pos="9072"/>
            </w:tabs>
          </w:pPr>
          <w:r>
            <w:t xml:space="preserve">Engagement Model</w:t>
          </w:r>
          <w:r>
            <w:tab/>
          </w:r>
          <w:r>
            <w:t xml:space="preserve">11</w:t>
          </w:r>
        </w:p>
        <w:p>
          <w:pPr>
            <w:pStyle w:val="TOC3"/>
            <w:tabs>
              <w:tab w:val="right" w:leader="dot" w:pos="9072"/>
            </w:tabs>
          </w:pPr>
          <w:r>
            <w:t xml:space="preserve">Implementation Governance</w:t>
          </w:r>
          <w:r>
            <w:tab/>
          </w:r>
          <w:r>
            <w:t xml:space="preserve">12</w:t>
          </w:r>
        </w:p>
        <w:p>
          <w:pPr>
            <w:pStyle w:val="TOC2"/>
            <w:tabs>
              <w:tab w:val="right" w:leader="dot" w:pos="9072"/>
            </w:tabs>
          </w:pPr>
          <w:r>
            <w:t xml:space="preserve">Support and Maintenance</w:t>
          </w:r>
          <w:r>
            <w:tab/>
          </w:r>
          <w:r>
            <w:t xml:space="preserve">13</w:t>
          </w:r>
        </w:p>
        <w:p>
          <w:pPr>
            <w:pStyle w:val="TOC3"/>
            <w:tabs>
              <w:tab w:val="right" w:leader="dot" w:pos="9072"/>
            </w:tabs>
          </w:pPr>
          <w:r>
            <w:t xml:space="preserve">Enterprise Support (Included in License)</w:t>
          </w:r>
          <w:r>
            <w:tab/>
          </w:r>
          <w:r>
            <w:t xml:space="preserve">14</w:t>
          </w:r>
        </w:p>
        <w:p>
          <w:pPr>
            <w:pStyle w:val="TOC3"/>
            <w:tabs>
              <w:tab w:val="right" w:leader="dot" w:pos="9072"/>
            </w:tabs>
          </w:pPr>
          <w:r>
            <w:t xml:space="preserve">Maintenance and Update Model</w:t>
          </w:r>
          <w:r>
            <w:tab/>
          </w:r>
          <w:r>
            <w:t xml:space="preserve">15</w:t>
          </w:r>
        </w:p>
        <w:p>
          <w:pPr>
            <w:pStyle w:val="TOC2"/>
            <w:tabs>
              <w:tab w:val="right" w:leader="dot" w:pos="9072"/>
            </w:tabs>
          </w:pPr>
          <w:r>
            <w:t xml:space="preserve">Total Cost of Ownership</w:t>
          </w:r>
          <w:r>
            <w:tab/>
          </w:r>
          <w:r>
            <w:t xml:space="preserve">16</w:t>
          </w:r>
        </w:p>
        <w:p>
          <w:pPr>
            <w:pStyle w:val="TOC3"/>
            <w:tabs>
              <w:tab w:val="right" w:leader="dot" w:pos="9072"/>
            </w:tabs>
          </w:pPr>
          <w:r>
            <w:t xml:space="preserve">Year 1 Investment (Indicative)</w:t>
          </w:r>
          <w:r>
            <w:tab/>
          </w:r>
          <w:r>
            <w:t xml:space="preserve">17</w:t>
          </w:r>
        </w:p>
        <w:p>
          <w:pPr>
            <w:pStyle w:val="TOC3"/>
            <w:tabs>
              <w:tab w:val="right" w:leader="dot" w:pos="9072"/>
            </w:tabs>
          </w:pPr>
          <w:r>
            <w:t xml:space="preserve">Year 2+ Annual Investment</w:t>
          </w:r>
          <w:r>
            <w:tab/>
          </w:r>
          <w:r>
            <w:t xml:space="preserve">18</w:t>
          </w:r>
        </w:p>
        <w:p>
          <w:pPr>
            <w:pStyle w:val="TOC3"/>
            <w:tabs>
              <w:tab w:val="right" w:leader="dot" w:pos="9072"/>
            </w:tabs>
          </w:pPr>
          <w:r>
            <w:t xml:space="preserve">TCO Comparison: DALP vs Build-In-House</w:t>
          </w:r>
          <w:r>
            <w:tab/>
          </w:r>
          <w:r>
            <w:t xml:space="preserve">19</w:t>
          </w:r>
        </w:p>
        <w:p>
          <w:pPr>
            <w:pStyle w:val="TOC3"/>
            <w:tabs>
              <w:tab w:val="right" w:leader="dot" w:pos="9072"/>
            </w:tabs>
          </w:pPr>
          <w:r>
            <w:t xml:space="preserve">ROI Framework</w:t>
          </w:r>
          <w:r>
            <w:tab/>
          </w:r>
          <w:r>
            <w:t xml:space="preserve">20</w:t>
          </w:r>
        </w:p>
        <w:p>
          <w:pPr>
            <w:pStyle w:val="TOC2"/>
            <w:tabs>
              <w:tab w:val="right" w:leader="dot" w:pos="9072"/>
            </w:tabs>
          </w:pPr>
          <w:r>
            <w:t xml:space="preserve">Payment Terms and Conditions</w:t>
          </w:r>
          <w:r>
            <w:tab/>
          </w:r>
          <w:r>
            <w:t xml:space="preserve">21</w:t>
          </w:r>
        </w:p>
        <w:p>
          <w:pPr>
            <w:pStyle w:val="TOC3"/>
            <w:tabs>
              <w:tab w:val="right" w:leader="dot" w:pos="9072"/>
            </w:tabs>
          </w:pPr>
          <w:r>
            <w:t xml:space="preserve">Payment Schedule</w:t>
          </w:r>
          <w:r>
            <w:tab/>
          </w:r>
          <w:r>
            <w:t xml:space="preserve">22</w:t>
          </w:r>
        </w:p>
        <w:p>
          <w:pPr>
            <w:pStyle w:val="TOC3"/>
            <w:tabs>
              <w:tab w:val="right" w:leader="dot" w:pos="9072"/>
            </w:tabs>
          </w:pPr>
          <w:r>
            <w:t xml:space="preserve">Payment Conditions</w:t>
          </w:r>
          <w:r>
            <w:tab/>
          </w:r>
          <w:r>
            <w:t xml:space="preserve">23</w:t>
          </w:r>
        </w:p>
        <w:p>
          <w:pPr>
            <w:pStyle w:val="TOC3"/>
            <w:tabs>
              <w:tab w:val="right" w:leader="dot" w:pos="9072"/>
            </w:tabs>
          </w:pPr>
          <w:r>
            <w:t xml:space="preserve">Governing Law and Dispute Resolution</w:t>
          </w:r>
          <w:r>
            <w:tab/>
          </w:r>
          <w:r>
            <w:t xml:space="preserve">24</w:t>
          </w:r>
        </w:p>
        <w:p>
          <w:pPr>
            <w:pStyle w:val="TOC2"/>
            <w:tabs>
              <w:tab w:val="right" w:leader="dot" w:pos="9072"/>
            </w:tabs>
          </w:pPr>
          <w:r>
            <w:t xml:space="preserve">Commercial Assumptions and Exclusions</w:t>
          </w:r>
          <w:r>
            <w:tab/>
          </w:r>
          <w:r>
            <w:t xml:space="preserve">25</w:t>
          </w:r>
        </w:p>
        <w:p>
          <w:pPr>
            <w:pStyle w:val="TOC3"/>
            <w:tabs>
              <w:tab w:val="right" w:leader="dot" w:pos="9072"/>
            </w:tabs>
          </w:pPr>
          <w:r>
            <w:t xml:space="preserve">Assumptions</w:t>
          </w:r>
          <w:r>
            <w:tab/>
          </w:r>
          <w:r>
            <w:t xml:space="preserve">26</w:t>
          </w:r>
        </w:p>
        <w:p>
          <w:pPr>
            <w:pStyle w:val="TOC3"/>
            <w:tabs>
              <w:tab w:val="right" w:leader="dot" w:pos="9072"/>
            </w:tabs>
          </w:pPr>
          <w:r>
            <w:t xml:space="preserve">Exclusions</w:t>
          </w:r>
          <w:r>
            <w:tab/>
          </w:r>
          <w:r>
            <w:t xml:space="preserve">27</w:t>
          </w:r>
        </w:p>
        <w:p>
          <w:pPr>
            <w:pStyle w:val="TOC2"/>
            <w:tabs>
              <w:tab w:val="right" w:leader="dot" w:pos="9072"/>
            </w:tabs>
          </w:pPr>
          <w:r>
            <w:t xml:space="preserve">Proposal Validity and Next Steps</w:t>
          </w:r>
          <w:r>
            <w:tab/>
          </w:r>
          <w:r>
            <w:t xml:space="preserve">28</w:t>
          </w:r>
        </w:p>
        <w:p>
          <w:pPr>
            <w:pStyle w:val="TOC3"/>
            <w:tabs>
              <w:tab w:val="right" w:leader="dot" w:pos="9072"/>
            </w:tabs>
          </w:pPr>
          <w:r>
            <w:t xml:space="preserve">Proposal Validity</w:t>
          </w:r>
          <w:r>
            <w:tab/>
          </w:r>
          <w:r>
            <w:t xml:space="preserve">29</w:t>
          </w:r>
        </w:p>
        <w:p>
          <w:pPr>
            <w:pStyle w:val="TOC3"/>
            <w:tabs>
              <w:tab w:val="right" w:leader="dot" w:pos="9072"/>
            </w:tabs>
          </w:pPr>
          <w:r>
            <w:t xml:space="preserve">Recommended Next Steps</w:t>
          </w:r>
          <w:r>
            <w:tab/>
          </w:r>
          <w:r>
            <w:t xml:space="preserve">30</w:t>
          </w:r>
        </w:p>
        <w:p>
          <w:pPr>
            <w:pStyle w:val="TOC3"/>
            <w:tabs>
              <w:tab w:val="right" w:leader="dot" w:pos="9072"/>
            </w:tabs>
          </w:pPr>
          <w:r>
            <w:t xml:space="preserve">SettleMint Commercial Contact</w:t>
          </w:r>
          <w:r>
            <w:tab/>
          </w:r>
          <w:r>
            <w:t xml:space="preserve">31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Airwallex</w:t>
      </w:r>
    </w:p>
    <w:p>
      <w:r>
        <w:rPr>
          <w:rFonts w:ascii="Figtree" w:hAnsi="Figtree"/>
          <w:b/>
          <w:i w:val="0"/>
          <w:sz w:val="22"/>
        </w:rPr>
        <w:t>Prepared by:</w:t>
      </w:r>
      <w:r>
        <w:rPr>
          <w:rFonts w:ascii="Figtree" w:hAnsi="Figtree"/>
          <w:b w:val="0"/>
          <w:i w:val="0"/>
          <w:sz w:val="22"/>
        </w:rPr>
        <w:t xml:space="preserve"> SettleMint</w:t>
      </w:r>
    </w:p>
    <w:p>
      <w:r>
        <w:rPr>
          <w:rFonts w:ascii="Figtree" w:hAnsi="Figtree"/>
          <w:b/>
          <w:i w:val="0"/>
          <w:sz w:val="22"/>
        </w:rPr>
        <w:t>Document Reference:</w:t>
      </w:r>
      <w:r>
        <w:rPr>
          <w:rFonts w:ascii="Figtree" w:hAnsi="Figtree"/>
          <w:b w:val="0"/>
          <w:i w:val="0"/>
          <w:sz w:val="22"/>
        </w:rPr>
        <w:t xml:space="preserve"> AIRWALLEX-RFP-202603-CP-001</w:t>
      </w:r>
    </w:p>
    <w:p>
      <w:r>
        <w:rPr>
          <w:rFonts w:ascii="Figtree" w:hAnsi="Figtree"/>
          <w:b/>
          <w:i w:val="0"/>
          <w:sz w:val="22"/>
        </w:rPr>
        <w:t>Date:</w:t>
      </w:r>
      <w:r>
        <w:rPr>
          <w:rFonts w:ascii="Figtree" w:hAnsi="Figtree"/>
          <w:b w:val="0"/>
          <w:i w:val="0"/>
          <w:sz w:val="22"/>
        </w:rPr>
        <w:t xml:space="preserve"> 21 March 2026</w:t>
      </w:r>
    </w:p>
    <w:p>
      <w:r>
        <w:rPr>
          <w:rFonts w:ascii="Figtree" w:hAnsi="Figtree"/>
          <w:b/>
          <w:i w:val="0"/>
          <w:sz w:val="22"/>
        </w:rPr>
        <w:t>Version:</w:t>
      </w:r>
      <w:r>
        <w:rPr>
          <w:rFonts w:ascii="Figtree" w:hAnsi="Figtree"/>
          <w:b w:val="0"/>
          <w:i w:val="0"/>
          <w:sz w:val="22"/>
        </w:rPr>
        <w:t xml:space="preserve"> 1.1 (Reviewed 1)</w:t>
      </w:r>
    </w:p>
    <w:p>
      <w:r>
        <w:rPr>
          <w:rFonts w:ascii="Figtree" w:hAnsi="Figtree"/>
          <w:b/>
          <w:i w:val="0"/>
          <w:sz w:val="22"/>
        </w:rPr>
        <w:t>Classification:</w:t>
      </w:r>
      <w:r>
        <w:rPr>
          <w:rFonts w:ascii="Figtree" w:hAnsi="Figtree"/>
          <w:b w:val="0"/>
          <w:i w:val="0"/>
          <w:sz w:val="22"/>
        </w:rPr>
        <w:t xml:space="preserve"> Confidential — Airwallex Invited Bidders Only</w:t>
      </w:r>
    </w:p>
    <w:p>
      <w:r>
        <w:br w:type="page"/>
      </w:r>
    </w:p>
    <w:p>
      <w:r>
        <w:rPr>
          <w:rFonts w:ascii="Figtree" w:hAnsi="Figtree"/>
          <w:b w:val="0"/>
          <w:i/>
          <w:sz w:val="22"/>
        </w:rPr>
        <w:t>This proposal and its contents are proprietary to SettleMint and are provided solely for evaluation purposes in response to the above-referenced procurement. Distribution outside the Airwallex evaluation committee is prohibited without written consent from SettleMint.</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Recommended Commercial Configuration</w:t>
      </w:r>
    </w:p>
    <w:p>
      <w:pPr>
        <w:pStyle w:val="ListParagraph"/>
        <w:numPr>
          <w:ilvl w:val="0"/>
          <w:numId w:val="6"/>
        </w:numPr>
      </w:pPr>
      <w:r>
        <w:rPr>
          <w:rFonts w:ascii="Figtree" w:hAnsi="Figtree"/>
          <w:b w:val="0"/>
          <w:i w:val="0"/>
          <w:sz w:val="22"/>
        </w:rPr>
        <w:t>License and Subscription Fees</w:t>
      </w:r>
    </w:p>
    <w:p>
      <w:pPr>
        <w:pStyle w:val="ListParagraph"/>
        <w:numPr>
          <w:ilvl w:val="0"/>
          <w:numId w:val="6"/>
        </w:numPr>
      </w:pPr>
      <w:r>
        <w:rPr>
          <w:rFonts w:ascii="Figtree" w:hAnsi="Figtree"/>
          <w:b w:val="0"/>
          <w:i w:val="0"/>
          <w:sz w:val="22"/>
        </w:rPr>
        <w:t>Implementation Services</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Investment Rationale and ROI Analysis</w:t>
      </w:r>
    </w:p>
    <w:p>
      <w:pPr>
        <w:pStyle w:val="ListParagraph"/>
        <w:numPr>
          <w:ilvl w:val="0"/>
          <w:numId w:val="6"/>
        </w:numPr>
      </w:pPr>
      <w:r>
        <w:rPr>
          <w:rFonts w:ascii="Figtree" w:hAnsi="Figtree"/>
          <w:b w:val="0"/>
          <w:i w:val="0"/>
          <w:sz w:val="22"/>
        </w:rPr>
        <w:t>Payment Terms and Conditions</w:t>
      </w:r>
    </w:p>
    <w:p>
      <w:pPr>
        <w:pStyle w:val="ListParagraph"/>
        <w:numPr>
          <w:ilvl w:val="0"/>
          <w:numId w:val="6"/>
        </w:numPr>
      </w:pPr>
      <w:r>
        <w:rPr>
          <w:rFonts w:ascii="Figtree" w:hAnsi="Figtree"/>
          <w:b w:val="0"/>
          <w:i w:val="0"/>
          <w:sz w:val="22"/>
        </w:rPr>
        <w:t>Commercial Assumptions and Exclusions</w:t>
      </w:r>
    </w:p>
    <w:p>
      <w:pPr>
        <w:pStyle w:val="ListParagraph"/>
        <w:numPr>
          <w:ilvl w:val="0"/>
          <w:numId w:val="6"/>
        </w:numPr>
      </w:pPr>
      <w:r>
        <w:rPr>
          <w:rFonts w:ascii="Figtree" w:hAnsi="Figtree"/>
          <w:b w:val="0"/>
          <w:i w:val="0"/>
          <w:sz w:val="22"/>
        </w:rPr>
        <w:t>Proposal Validity and Next Steps</w:t>
      </w:r>
    </w:p>
    <w:p>
      <w:r>
        <w:br w:type="page"/>
      </w:r>
    </w:p>
    <w:p>
      <w:pPr>
        <w:pStyle w:val="H2"/>
        <w:numPr>
          <w:ilvl w:val="1"/>
          <w:numId w:val="1"/>
        </w:numPr>
      </w:pPr>
      <w:r>
        <w:t>Executive Summary</w:t>
      </w:r>
    </w:p>
    <w:p>
      <w:r>
        <w:rPr>
          <w:rFonts w:ascii="Figtree" w:hAnsi="Figtree"/>
          <w:b w:val="0"/>
          <w:i w:val="0"/>
          <w:sz w:val="22"/>
        </w:rPr>
        <w:t>Airwallex is procuring a cross-border tokenized settlement infrastructure that can move from controlled programme to business-as-usual operations without a re-platform. This commercial proposal sets out the total investment required to deploy, operate, and scale DALP for that programme under the AIRWALLEX-RFP-202603 procurement.</w:t>
      </w:r>
    </w:p>
    <w:p>
      <w:r>
        <w:rPr>
          <w:rFonts w:ascii="Figtree" w:hAnsi="Figtree"/>
          <w:b w:val="0"/>
          <w:i w:val="0"/>
          <w:sz w:val="22"/>
        </w:rPr>
        <w:t>The recommended commercial configuration is:</w:t>
      </w:r>
    </w:p>
    <w:p>
      <w:pPr>
        <w:pStyle w:val="ListParagraph"/>
        <w:numPr>
          <w:ilvl w:val="0"/>
          <w:numId w:val="4"/>
        </w:numPr>
      </w:pPr>
      <w:r>
        <w:rPr>
          <w:rFonts w:ascii="Figtree" w:hAnsi="Figtree"/>
          <w:b/>
          <w:i w:val="0"/>
          <w:sz w:val="22"/>
        </w:rPr>
        <w:t>License:</w:t>
      </w:r>
      <w:r>
        <w:rPr>
          <w:rFonts w:ascii="Figtree" w:hAnsi="Figtree"/>
          <w:b w:val="0"/>
          <w:i w:val="0"/>
          <w:sz w:val="22"/>
        </w:rPr>
        <w:t xml:space="preserve"> DALP Enterprise License — Production + Development environments</w:t>
      </w:r>
    </w:p>
    <w:p>
      <w:pPr>
        <w:pStyle w:val="ListParagraph"/>
        <w:numPr>
          <w:ilvl w:val="0"/>
          <w:numId w:val="4"/>
        </w:numPr>
      </w:pPr>
      <w:r>
        <w:rPr>
          <w:rFonts w:ascii="Figtree" w:hAnsi="Figtree"/>
          <w:b/>
          <w:i w:val="0"/>
          <w:sz w:val="22"/>
        </w:rPr>
        <w:t>Annual License Fee:</w:t>
      </w:r>
      <w:r>
        <w:rPr>
          <w:rFonts w:ascii="Figtree" w:hAnsi="Figtree"/>
          <w:b w:val="0"/>
          <w:i w:val="0"/>
          <w:sz w:val="22"/>
        </w:rPr>
        <w:t xml:space="preserve"> €420,000 per year (upfront)</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[CLIENT-SPECIFIC — to be scoped in commercial validation]</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Support (24/7/365 — included in licensing package)</w:t>
      </w:r>
    </w:p>
    <w:p>
      <w:pPr>
        <w:pStyle w:val="ListParagraph"/>
        <w:numPr>
          <w:ilvl w:val="0"/>
          <w:numId w:val="4"/>
        </w:numPr>
      </w:pPr>
      <w:r>
        <w:rPr>
          <w:rFonts w:ascii="Figtree" w:hAnsi="Figtree"/>
          <w:b/>
          <w:i w:val="0"/>
          <w:sz w:val="22"/>
        </w:rPr>
        <w:t>Infrastructure:</w:t>
      </w:r>
      <w:r>
        <w:rPr>
          <w:rFonts w:ascii="Figtree" w:hAnsi="Figtree"/>
          <w:b w:val="0"/>
          <w:i w:val="0"/>
          <w:sz w:val="22"/>
        </w:rPr>
        <w:t xml:space="preserve"> Pass-through at cost (Managed SaaS, Singapore region)</w:t>
      </w:r>
    </w:p>
    <w:p>
      <w:r>
        <w:rPr>
          <w:rFonts w:ascii="Figtree" w:hAnsi="Figtree"/>
          <w:b w:val="0"/>
          <w:i w:val="0"/>
          <w:sz w:val="22"/>
        </w:rPr>
        <w:t>The total first-year investment (license + estimated implementation) positions DALP as the lower-risk commercial path against building equivalent infrastructure in-house or assembling point solutions. The critical commercial fact: Airwallex's digital asset settlement programme requires compliance enforcement, governance infrastructure, observability tooling, and API connectivity that a smart contract library cannot provide. DALP provides all of this as a licensed platform. Building equivalent institutional-grade controls from scratch would require multi-year engineering investment and ongoing maintenance overhead.</w:t>
      </w:r>
    </w:p>
    <w:p>
      <w:r>
        <w:rPr>
          <w:rFonts w:ascii="Figtree" w:hAnsi="Figtree"/>
          <w:b w:val="0"/>
          <w:i w:val="0"/>
          <w:sz w:val="22"/>
        </w:rPr>
        <w:t>For a fintech operating at Airwallex's scale and regulatory exposure, the cost of a settlement compliance failure — regulatory action, operational write-down, or reputational damage from a failed cross-border transfer — exceeds the total DALP investment within a single incident. DALP's institutional-grade controls are insurance against that cost, not a luxury.</w:t>
      </w:r>
    </w:p>
    <w:p>
      <w:r>
        <w:rPr>
          <w:rFonts w:ascii="Figtree" w:hAnsi="Figtree"/>
          <w:b w:val="0"/>
          <w:i w:val="0"/>
          <w:sz w:val="22"/>
        </w:rPr>
        <w:t>All prices exclude applicable taxes and VAT.</w:t>
      </w:r>
    </w:p>
    <w:p>
      <w:r>
        <w:br w:type="page"/>
      </w:r>
    </w:p>
    <w:p>
      <w:pPr>
        <w:pStyle w:val="H2"/>
        <w:numPr>
          <w:ilvl w:val="1"/>
          <w:numId w:val="1"/>
        </w:numPr>
      </w:pPr>
      <w:r>
        <w:t>Recommended Commercial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52"/>
        <w:gridCol w:w="2304"/>
        <w:gridCol w:w="56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Selection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License Type</w:t>
            </w:r>
          </w:p>
        </w:tc>
        <w:tc>
          <w:tcPr>
            <w:tcW w:type="dxa" w:w="3249"/>
            <w:vAlign w:val="center"/>
          </w:tcPr>
          <w:p>
            <w:pPr>
              <w:spacing w:line="276" w:lineRule="auto" w:before="0" w:after="0"/>
            </w:pPr>
            <w:r/>
            <w:r>
              <w:rPr>
                <w:rFonts w:ascii="Figtree" w:hAnsi="Figtree"/>
                <w:b w:val="0"/>
                <w:i w:val="0"/>
                <w:sz w:val="20"/>
              </w:rPr>
              <w:t>Enterprise License</w:t>
            </w:r>
          </w:p>
        </w:tc>
        <w:tc>
          <w:tcPr>
            <w:tcW w:type="dxa" w:w="3249"/>
            <w:vAlign w:val="center"/>
          </w:tcPr>
          <w:p>
            <w:pPr>
              <w:spacing w:line="276" w:lineRule="auto" w:before="0" w:after="0"/>
            </w:pPr>
            <w:r/>
            <w:r>
              <w:rPr>
                <w:rFonts w:ascii="Figtree" w:hAnsi="Figtree"/>
                <w:b w:val="0"/>
                <w:i w:val="0"/>
                <w:sz w:val="20"/>
              </w:rPr>
              <w:t>Covers production + development environments, full feature set, Enterprise Support</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Managed SaaS</w:t>
            </w:r>
          </w:p>
        </w:tc>
        <w:tc>
          <w:tcPr>
            <w:tcW w:type="dxa" w:w="3249"/>
            <w:vAlign w:val="center"/>
          </w:tcPr>
          <w:p>
            <w:pPr>
              <w:spacing w:line="276" w:lineRule="auto" w:before="0" w:after="0"/>
            </w:pPr>
            <w:r/>
            <w:r>
              <w:rPr>
                <w:rFonts w:ascii="Figtree" w:hAnsi="Figtree"/>
                <w:b w:val="0"/>
                <w:i w:val="0"/>
                <w:sz w:val="20"/>
              </w:rPr>
              <w:t>Singapore data residency, MAS TRM compliance, fastest time to production</w:t>
            </w:r>
          </w:p>
        </w:tc>
      </w:tr>
      <w:tr>
        <w:trPr>
          <w:trHeight w:val="425" w:hRule="atLeast"/>
        </w:trPr>
        <w:tc>
          <w:tcPr>
            <w:tcW w:type="dxa" w:w="3249"/>
            <w:vAlign w:val="center"/>
          </w:tcPr>
          <w:p>
            <w:pPr>
              <w:spacing w:line="276" w:lineRule="auto" w:before="0" w:after="0"/>
            </w:pPr>
            <w:r/>
            <w:r>
              <w:rPr>
                <w:rFonts w:ascii="Figtree" w:hAnsi="Figtree"/>
                <w:b w:val="0"/>
                <w:i w:val="0"/>
                <w:sz w:val="20"/>
              </w:rPr>
              <w:t>Environments</w:t>
            </w:r>
          </w:p>
        </w:tc>
        <w:tc>
          <w:tcPr>
            <w:tcW w:type="dxa" w:w="3249"/>
            <w:vAlign w:val="center"/>
          </w:tcPr>
          <w:p>
            <w:pPr>
              <w:spacing w:line="276" w:lineRule="auto" w:before="0" w:after="0"/>
            </w:pPr>
            <w:r/>
            <w:r>
              <w:rPr>
                <w:rFonts w:ascii="Figtree" w:hAnsi="Figtree"/>
                <w:b w:val="0"/>
                <w:i w:val="0"/>
                <w:sz w:val="20"/>
              </w:rPr>
              <w:t>Production (1) + Development (1)</w:t>
            </w:r>
          </w:p>
        </w:tc>
        <w:tc>
          <w:tcPr>
            <w:tcW w:type="dxa" w:w="3249"/>
            <w:vAlign w:val="center"/>
          </w:tcPr>
          <w:p>
            <w:pPr>
              <w:spacing w:line="276" w:lineRule="auto" w:before="0" w:after="0"/>
            </w:pPr>
            <w:r/>
            <w:r>
              <w:rPr>
                <w:rFonts w:ascii="Figtree" w:hAnsi="Figtree"/>
                <w:b w:val="0"/>
                <w:i w:val="0"/>
                <w:sz w:val="20"/>
              </w:rPr>
              <w:t>Supports live operations and parallel integration testing</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24/7/365 coverage; named support team; 99.99% SLA</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Scoped during commercial validation; estimated 19-week engagement</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Cloud pass-through</w:t>
            </w:r>
          </w:p>
        </w:tc>
        <w:tc>
          <w:tcPr>
            <w:tcW w:type="dxa" w:w="3249"/>
            <w:vAlign w:val="center"/>
          </w:tcPr>
          <w:p>
            <w:pPr>
              <w:spacing w:line="276" w:lineRule="auto" w:before="0" w:after="0"/>
            </w:pPr>
            <w:r/>
            <w:r>
              <w:rPr>
                <w:rFonts w:ascii="Figtree" w:hAnsi="Figtree"/>
                <w:b w:val="0"/>
                <w:i w:val="0"/>
                <w:sz w:val="20"/>
              </w:rPr>
              <w:t>AWS ap-southeast-1; costs passed at cost, not marked up</w:t>
            </w:r>
          </w:p>
        </w:tc>
      </w:tr>
    </w:tbl>
    <w:p>
      <w:pPr>
        <w:spacing w:before="0" w:after="0" w:line="120" w:lineRule="exact"/>
      </w:pPr>
    </w:p>
    <w:p>
      <w:r>
        <w:br w:type="page"/>
      </w:r>
    </w:p>
    <w:p>
      <w:pPr>
        <w:pStyle w:val="H2"/>
        <w:numPr>
          <w:ilvl w:val="1"/>
          <w:numId w:val="1"/>
        </w:numPr>
      </w:pPr>
      <w:r>
        <w:t>License and Subscription Fees</w:t>
      </w:r>
    </w:p>
    <w:p>
      <w:pPr>
        <w:pStyle w:val="H3"/>
        <w:numPr>
          <w:ilvl w:val="2"/>
          <w:numId w:val="1"/>
        </w:numPr>
      </w:pPr>
      <w:r>
        <w:t>Annual License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2767"/>
        <w:gridCol w:w="30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w:t>
            </w:r>
          </w:p>
        </w:tc>
        <w:tc>
          <w:tcPr>
            <w:tcW w:type="dxa" w:w="3249"/>
            <w:vAlign w:val="center"/>
          </w:tcPr>
          <w:p>
            <w:pPr>
              <w:spacing w:line="276" w:lineRule="auto" w:before="0" w:after="0"/>
            </w:pPr>
            <w:r/>
            <w:r>
              <w:rPr>
                <w:rFonts w:ascii="Figtree" w:hAnsi="Figtree"/>
                <w:b w:val="0"/>
                <w:i w:val="0"/>
                <w:sz w:val="20"/>
              </w:rPr>
              <w:t>€300,000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i w:val="0"/>
                <w:sz w:val="20"/>
              </w:rPr>
              <w:t>Total License Fee</w:t>
            </w:r>
          </w:p>
        </w:tc>
        <w:tc>
          <w:tcPr>
            <w:tcW w:type="dxa" w:w="3249"/>
            <w:vAlign w:val="center"/>
          </w:tcPr>
          <w:p>
            <w:pPr>
              <w:spacing w:line="276" w:lineRule="auto" w:before="0" w:after="0"/>
            </w:pPr>
            <w:r/>
            <w:r>
              <w:rPr>
                <w:rFonts w:ascii="Figtree" w:hAnsi="Figtree"/>
                <w:b/>
                <w:i w:val="0"/>
                <w:sz w:val="20"/>
              </w:rPr>
              <w:t>€35,000</w:t>
            </w:r>
          </w:p>
        </w:tc>
        <w:tc>
          <w:tcPr>
            <w:tcW w:type="dxa" w:w="3249"/>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val="0"/>
          <w:sz w:val="22"/>
        </w:rPr>
        <w:t>All prices exclude applicable taxes and VAT. Annual payment upfront; no monthly payment option.</w:t>
      </w:r>
    </w:p>
    <w:p>
      <w:pPr>
        <w:pStyle w:val="H3"/>
        <w:numPr>
          <w:ilvl w:val="2"/>
          <w:numId w:val="1"/>
        </w:numPr>
      </w:pPr>
      <w:r>
        <w:t>License Inclusions</w:t>
      </w:r>
    </w:p>
    <w:p>
      <w:r>
        <w:rPr>
          <w:rFonts w:ascii="Figtree" w:hAnsi="Figtree"/>
          <w:b w:val="0"/>
          <w:i w:val="0"/>
          <w:sz w:val="22"/>
        </w:rPr>
        <w:t>The DALP Enterprise License includes: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9"/>
        <w:gridCol w:w="69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Full DALP Platform</w:t>
            </w:r>
          </w:p>
        </w:tc>
        <w:tc>
          <w:tcPr>
            <w:tcW w:type="dxa" w:w="4873"/>
            <w:vAlign w:val="center"/>
          </w:tcPr>
          <w:p>
            <w:pPr>
              <w:spacing w:line="276" w:lineRule="auto" w:before="0" w:after="0"/>
            </w:pPr>
            <w:r/>
            <w:r>
              <w:rPr>
                <w:rFonts w:ascii="Figtree" w:hAnsi="Figtree"/>
                <w:b w:val="0"/>
                <w:i w:val="0"/>
                <w:sz w:val="20"/>
              </w:rPr>
              <w:t>All modules: token lifecycle, compliance engine, identity registry, XvP settlement, observability, API</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w:t>
            </w:r>
          </w:p>
        </w:tc>
        <w:tc>
          <w:tcPr>
            <w:tcW w:type="dxa" w:w="4873"/>
            <w:vAlign w:val="center"/>
          </w:tcPr>
          <w:p>
            <w:pPr>
              <w:spacing w:line="276" w:lineRule="auto" w:before="0" w:after="0"/>
            </w:pPr>
            <w:r/>
            <w:r>
              <w:rPr>
                <w:rFonts w:ascii="Figtree" w:hAnsi="Figtree"/>
                <w:b w:val="0"/>
                <w:i w:val="0"/>
                <w:sz w:val="20"/>
              </w:rPr>
              <w:t>Continuous platform releases with coordinated change windows</w:t>
            </w:r>
          </w:p>
        </w:tc>
      </w:tr>
      <w:tr>
        <w:trPr>
          <w:trHeight w:val="425" w:hRule="atLeast"/>
        </w:trPr>
        <w:tc>
          <w:tcPr>
            <w:tcW w:type="dxa" w:w="4873"/>
            <w:vAlign w:val="center"/>
          </w:tcPr>
          <w:p>
            <w:pPr>
              <w:spacing w:line="276" w:lineRule="auto" w:before="0" w:after="0"/>
            </w:pPr>
            <w:r/>
            <w:r>
              <w:rPr>
                <w:rFonts w:ascii="Figtree" w:hAnsi="Figtree"/>
                <w:b w:val="0"/>
                <w:i w:val="0"/>
                <w:sz w:val="20"/>
              </w:rPr>
              <w:t>Platform Documentation</w:t>
            </w:r>
          </w:p>
        </w:tc>
        <w:tc>
          <w:tcPr>
            <w:tcW w:type="dxa" w:w="4873"/>
            <w:vAlign w:val="center"/>
          </w:tcPr>
          <w:p>
            <w:pPr>
              <w:spacing w:line="276" w:lineRule="auto" w:before="0" w:after="0"/>
            </w:pPr>
            <w:r/>
            <w:r>
              <w:rPr>
                <w:rFonts w:ascii="Figtree" w:hAnsi="Figtree"/>
                <w:b w:val="0"/>
                <w:i w:val="0"/>
                <w:sz w:val="20"/>
              </w:rPr>
              <w:t>Full technical documentation, runbooks, integration guides</w:t>
            </w:r>
          </w:p>
        </w:tc>
      </w:tr>
      <w:tr>
        <w:trPr>
          <w:trHeight w:val="425" w:hRule="atLeast"/>
        </w:trPr>
        <w:tc>
          <w:tcPr>
            <w:tcW w:type="dxa" w:w="4873"/>
            <w:vAlign w:val="center"/>
          </w:tcPr>
          <w:p>
            <w:pPr>
              <w:spacing w:line="276" w:lineRule="auto" w:before="0" w:after="0"/>
            </w:pPr>
            <w:r/>
            <w:r>
              <w:rPr>
                <w:rFonts w:ascii="Figtree" w:hAnsi="Figtree"/>
                <w:b w:val="0"/>
                <w:i w:val="0"/>
                <w:sz w:val="20"/>
              </w:rPr>
              <w:t>Standard Support Portal</w:t>
            </w:r>
          </w:p>
        </w:tc>
        <w:tc>
          <w:tcPr>
            <w:tcW w:type="dxa" w:w="4873"/>
            <w:vAlign w:val="center"/>
          </w:tcPr>
          <w:p>
            <w:pPr>
              <w:spacing w:line="276" w:lineRule="auto" w:before="0" w:after="0"/>
            </w:pPr>
            <w:r/>
            <w:r>
              <w:rPr>
                <w:rFonts w:ascii="Figtree" w:hAnsi="Figtree"/>
                <w:b w:val="0"/>
                <w:i w:val="0"/>
                <w:sz w:val="20"/>
              </w:rPr>
              <w:t>Ticketing, SLA tracking, knowledge base</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w:t>
            </w:r>
          </w:p>
        </w:tc>
        <w:tc>
          <w:tcPr>
            <w:tcW w:type="dxa" w:w="4873"/>
            <w:vAlign w:val="center"/>
          </w:tcPr>
          <w:p>
            <w:pPr>
              <w:spacing w:line="276" w:lineRule="auto" w:before="0" w:after="0"/>
            </w:pPr>
            <w:r/>
            <w:r>
              <w:rPr>
                <w:rFonts w:ascii="Figtree" w:hAnsi="Figtree"/>
                <w:b w:val="0"/>
                <w:i w:val="0"/>
                <w:sz w:val="20"/>
              </w:rPr>
              <w:t>24/7/365 coverage, named team, CSM (see Support section)</w:t>
            </w:r>
          </w:p>
        </w:tc>
      </w:tr>
      <w:tr>
        <w:trPr>
          <w:trHeight w:val="425" w:hRule="atLeast"/>
        </w:trPr>
        <w:tc>
          <w:tcPr>
            <w:tcW w:type="dxa" w:w="4873"/>
            <w:vAlign w:val="center"/>
          </w:tcPr>
          <w:p>
            <w:pPr>
              <w:spacing w:line="276" w:lineRule="auto" w:before="0" w:after="0"/>
            </w:pPr>
            <w:r/>
            <w:r>
              <w:rPr>
                <w:rFonts w:ascii="Figtree" w:hAnsi="Figtree"/>
                <w:b w:val="0"/>
                <w:i w:val="0"/>
                <w:sz w:val="20"/>
              </w:rPr>
              <w:t>Security Certifications</w:t>
            </w:r>
          </w:p>
        </w:tc>
        <w:tc>
          <w:tcPr>
            <w:tcW w:type="dxa" w:w="4873"/>
            <w:vAlign w:val="center"/>
          </w:tcPr>
          <w:p>
            <w:pPr>
              <w:spacing w:line="276" w:lineRule="auto" w:before="0" w:after="0"/>
            </w:pPr>
            <w:r/>
            <w:r>
              <w:rPr>
                <w:rFonts w:ascii="Figtree" w:hAnsi="Figtree"/>
                <w:b w:val="0"/>
                <w:i w:val="0"/>
                <w:sz w:val="20"/>
              </w:rPr>
              <w:t>ISO 27001 and SOC 2 Type II annual certifications</w:t>
            </w:r>
          </w:p>
        </w:tc>
      </w:tr>
    </w:tbl>
    <w:p>
      <w:pPr>
        <w:spacing w:before="0" w:after="0" w:line="120" w:lineRule="exact"/>
      </w:pPr>
    </w:p>
    <w:p>
      <w:pPr>
        <w:pStyle w:val="H3"/>
        <w:numPr>
          <w:ilvl w:val="2"/>
          <w:numId w:val="1"/>
        </w:numPr>
      </w:pPr>
      <w:r>
        <w:t>License Exclusions</w:t>
      </w:r>
    </w:p>
    <w:p>
      <w:r>
        <w:rPr>
          <w:rFonts w:ascii="Figtree" w:hAnsi="Figtree"/>
          <w:b w:val="0"/>
          <w:i w:val="0"/>
          <w:sz w:val="22"/>
        </w:rPr>
        <w:t>The following are not included in the license fee: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46"/>
        <w:gridCol w:w="61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Excluded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w:t>
            </w:r>
          </w:p>
        </w:tc>
        <w:tc>
          <w:tcPr>
            <w:tcW w:type="dxa" w:w="4873"/>
            <w:vAlign w:val="center"/>
          </w:tcPr>
          <w:p>
            <w:pPr>
              <w:spacing w:line="276" w:lineRule="auto" w:before="0" w:after="0"/>
            </w:pPr>
            <w:r/>
            <w:r>
              <w:rPr>
                <w:rFonts w:ascii="Figtree" w:hAnsi="Figtree"/>
                <w:b w:val="0"/>
                <w:i w:val="0"/>
                <w:sz w:val="20"/>
              </w:rPr>
              <w:t>Pass-through at AWS cost; not marked up by SettleMint</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Separately scoped per engagement (see below)</w:t>
            </w:r>
          </w:p>
        </w:tc>
      </w:tr>
      <w:tr>
        <w:trPr>
          <w:trHeight w:val="425" w:hRule="atLeast"/>
        </w:trPr>
        <w:tc>
          <w:tcPr>
            <w:tcW w:type="dxa" w:w="4873"/>
            <w:vAlign w:val="center"/>
          </w:tcPr>
          <w:p>
            <w:pPr>
              <w:spacing w:line="276" w:lineRule="auto" w:before="0" w:after="0"/>
            </w:pPr>
            <w:r/>
            <w:r>
              <w:rPr>
                <w:rFonts w:ascii="Figtree" w:hAnsi="Figtree"/>
                <w:b w:val="0"/>
                <w:i w:val="0"/>
                <w:sz w:val="20"/>
              </w:rPr>
              <w:t>Custody Provider Fees</w:t>
            </w:r>
          </w:p>
        </w:tc>
        <w:tc>
          <w:tcPr>
            <w:tcW w:type="dxa" w:w="4873"/>
            <w:vAlign w:val="center"/>
          </w:tcPr>
          <w:p>
            <w:pPr>
              <w:spacing w:line="276" w:lineRule="auto" w:before="0" w:after="0"/>
            </w:pPr>
            <w:r/>
            <w:r>
              <w:rPr>
                <w:rFonts w:ascii="Figtree" w:hAnsi="Figtree"/>
                <w:b w:val="0"/>
                <w:i w:val="0"/>
                <w:sz w:val="20"/>
              </w:rPr>
              <w:t>Fireblocks or DFNS fees are direct client-to-provider contracts</w:t>
            </w:r>
          </w:p>
        </w:tc>
      </w:tr>
      <w:tr>
        <w:trPr>
          <w:trHeight w:val="425" w:hRule="atLeast"/>
        </w:trPr>
        <w:tc>
          <w:tcPr>
            <w:tcW w:type="dxa" w:w="4873"/>
            <w:vAlign w:val="center"/>
          </w:tcPr>
          <w:p>
            <w:pPr>
              <w:spacing w:line="276" w:lineRule="auto" w:before="0" w:after="0"/>
            </w:pPr>
            <w:r/>
            <w:r>
              <w:rPr>
                <w:rFonts w:ascii="Figtree" w:hAnsi="Figtree"/>
                <w:b w:val="0"/>
                <w:i w:val="0"/>
                <w:sz w:val="20"/>
              </w:rPr>
              <w:t>Third-party KYC/KYB Provider</w:t>
            </w:r>
          </w:p>
        </w:tc>
        <w:tc>
          <w:tcPr>
            <w:tcW w:type="dxa" w:w="4873"/>
            <w:vAlign w:val="center"/>
          </w:tcPr>
          <w:p>
            <w:pPr>
              <w:spacing w:line="276" w:lineRule="auto" w:before="0" w:after="0"/>
            </w:pPr>
            <w:r/>
            <w:r>
              <w:rPr>
                <w:rFonts w:ascii="Figtree" w:hAnsi="Figtree"/>
                <w:b w:val="0"/>
                <w:i w:val="0"/>
                <w:sz w:val="20"/>
              </w:rPr>
              <w:t>Identity claim issuance fees are client-to-provider direct</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Modules</w:t>
            </w:r>
          </w:p>
        </w:tc>
        <w:tc>
          <w:tcPr>
            <w:tcW w:type="dxa" w:w="4873"/>
            <w:vAlign w:val="center"/>
          </w:tcPr>
          <w:p>
            <w:pPr>
              <w:spacing w:line="276" w:lineRule="auto" w:before="0" w:after="0"/>
            </w:pPr>
            <w:r/>
            <w:r>
              <w:rPr>
                <w:rFonts w:ascii="Figtree" w:hAnsi="Figtree"/>
                <w:b w:val="0"/>
                <w:i w:val="0"/>
                <w:sz w:val="20"/>
              </w:rPr>
              <w:t>Rules outside the 18-module standard catalog require separate scoping</w:t>
            </w:r>
          </w:p>
        </w:tc>
      </w:tr>
    </w:tbl>
    <w:p>
      <w:pPr>
        <w:spacing w:before="0" w:after="0" w:line="120" w:lineRule="exact"/>
      </w:pPr>
    </w:p>
    <w:p>
      <w:r>
        <w:br w:type="page"/>
      </w:r>
    </w:p>
    <w:p>
      <w:pPr>
        <w:pStyle w:val="H2"/>
        <w:numPr>
          <w:ilvl w:val="1"/>
          <w:numId w:val="1"/>
        </w:numPr>
      </w:pPr>
      <w:r>
        <w:t>Implementation Services</w:t>
      </w:r>
    </w:p>
    <w:p>
      <w:pPr>
        <w:pStyle w:val="H3"/>
        <w:numPr>
          <w:ilvl w:val="2"/>
          <w:numId w:val="1"/>
        </w:numPr>
      </w:pPr>
      <w:r>
        <w:t>Engagement Model</w:t>
      </w:r>
    </w:p>
    <w:p>
      <w:r>
        <w:rPr>
          <w:rFonts w:ascii="Figtree" w:hAnsi="Figtree"/>
          <w:b w:val="0"/>
          <w:i w:val="0"/>
          <w:sz w:val="22"/>
        </w:rPr>
        <w:t>SettleMint provides fixed-scope implementation services on a time-and-materials basis, quoted per engagement following commercial validation and requirements confirmation. For the Airwallex cross-border tokenized settlement programme, the standard 19-week implementation spans: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0"/>
        <w:gridCol w:w="776"/>
        <w:gridCol w:w="58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Activities</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Business requirements, MAS compliance matrix, architecture design</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Environment provisioning, identity framework, custody integration</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Compliance modules, XvP addon, workflow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GL/treasury integration, payment rail connectivity, SIT/UAT/performance/DR</w:t>
            </w:r>
          </w:p>
        </w:tc>
      </w:tr>
      <w:tr>
        <w:trPr>
          <w:trHeight w:val="425" w:hRule="atLeast"/>
        </w:trPr>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Production deployment, training, knowledge transfer</w:t>
            </w:r>
          </w:p>
        </w:tc>
      </w:tr>
    </w:tbl>
    <w:p>
      <w:pPr>
        <w:spacing w:before="0" w:after="0" w:line="120" w:lineRule="exact"/>
      </w:pPr>
    </w:p>
    <w:p>
      <w:r>
        <w:rPr>
          <w:rFonts w:ascii="Figtree" w:hAnsi="Figtree"/>
          <w:b w:val="0"/>
          <w:i w:val="0"/>
          <w:sz w:val="22"/>
        </w:rPr>
        <w:t xml:space="preserve">Implementation fees are marked </w:t>
      </w:r>
      <w:r>
        <w:rPr>
          <w:rFonts w:ascii="Figtree" w:hAnsi="Figtree"/>
          <w:b/>
          <w:i w:val="0"/>
          <w:sz w:val="22"/>
        </w:rPr>
        <w:t>[CLIENT-SPECIFIC]</w:t>
      </w:r>
      <w:r>
        <w:rPr>
          <w:rFonts w:ascii="Figtree" w:hAnsi="Figtree"/>
          <w:b w:val="0"/>
          <w:i w:val="0"/>
          <w:sz w:val="22"/>
        </w:rPr>
        <w:t xml:space="preserve"> until formally scoped. Indicative planning ranges (not quotes):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2"/>
        <w:gridCol w:w="630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Scope 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 on Fee</w:t>
            </w:r>
          </w:p>
        </w:tc>
      </w:tr>
      <w:tr>
        <w:trPr>
          <w:trHeight w:val="425" w:hRule="atLeast"/>
        </w:trPr>
        <w:tc>
          <w:tcPr>
            <w:tcW w:type="dxa" w:w="4873"/>
            <w:vAlign w:val="center"/>
          </w:tcPr>
          <w:p>
            <w:pPr>
              <w:spacing w:line="276" w:lineRule="auto" w:before="0" w:after="0"/>
            </w:pPr>
            <w:r/>
            <w:r>
              <w:rPr>
                <w:rFonts w:ascii="Figtree" w:hAnsi="Figtree"/>
                <w:b w:val="0"/>
                <w:i w:val="0"/>
                <w:sz w:val="20"/>
              </w:rPr>
              <w:t>Number of integration touchpoints</w:t>
            </w:r>
          </w:p>
        </w:tc>
        <w:tc>
          <w:tcPr>
            <w:tcW w:type="dxa" w:w="4873"/>
            <w:vAlign w:val="center"/>
          </w:tcPr>
          <w:p>
            <w:pPr>
              <w:spacing w:line="276" w:lineRule="auto" w:before="0" w:after="0"/>
            </w:pPr>
            <w:r/>
            <w:r>
              <w:rPr>
                <w:rFonts w:ascii="Figtree" w:hAnsi="Figtree"/>
                <w:b w:val="0"/>
                <w:i w:val="0"/>
                <w:sz w:val="20"/>
              </w:rPr>
              <w:t>Higher integration complexity (GL, treasury, multiple payment rails) increases Phase 4 scope</w:t>
            </w:r>
          </w:p>
        </w:tc>
      </w:tr>
      <w:tr>
        <w:trPr>
          <w:trHeight w:val="425" w:hRule="atLeast"/>
        </w:trPr>
        <w:tc>
          <w:tcPr>
            <w:tcW w:type="dxa" w:w="4873"/>
            <w:vAlign w:val="center"/>
          </w:tcPr>
          <w:p>
            <w:pPr>
              <w:spacing w:line="276" w:lineRule="auto" w:before="0" w:after="0"/>
            </w:pPr>
            <w:r/>
            <w:r>
              <w:rPr>
                <w:rFonts w:ascii="Figtree" w:hAnsi="Figtree"/>
                <w:b w:val="0"/>
                <w:i w:val="0"/>
                <w:sz w:val="20"/>
              </w:rPr>
              <w:t>Number of asset/instrument types</w:t>
            </w:r>
          </w:p>
        </w:tc>
        <w:tc>
          <w:tcPr>
            <w:tcW w:type="dxa" w:w="4873"/>
            <w:vAlign w:val="center"/>
          </w:tcPr>
          <w:p>
            <w:pPr>
              <w:spacing w:line="276" w:lineRule="auto" w:before="0" w:after="0"/>
            </w:pPr>
            <w:r/>
            <w:r>
              <w:rPr>
                <w:rFonts w:ascii="Figtree" w:hAnsi="Figtree"/>
                <w:b w:val="0"/>
                <w:i w:val="0"/>
                <w:sz w:val="20"/>
              </w:rPr>
              <w:t>Simple cross-border settlement: 1 token type; more asset types increase Phase 3 scope</w:t>
            </w:r>
          </w:p>
        </w:tc>
      </w:tr>
      <w:tr>
        <w:trPr>
          <w:trHeight w:val="425" w:hRule="atLeast"/>
        </w:trPr>
        <w:tc>
          <w:tcPr>
            <w:tcW w:type="dxa" w:w="4873"/>
            <w:vAlign w:val="center"/>
          </w:tcPr>
          <w:p>
            <w:pPr>
              <w:spacing w:line="276" w:lineRule="auto" w:before="0" w:after="0"/>
            </w:pPr>
            <w:r/>
            <w:r>
              <w:rPr>
                <w:rFonts w:ascii="Figtree" w:hAnsi="Figtree"/>
                <w:b w:val="0"/>
                <w:i w:val="0"/>
                <w:sz w:val="20"/>
              </w:rPr>
              <w:t>On-premises vs Managed SaaS</w:t>
            </w:r>
          </w:p>
        </w:tc>
        <w:tc>
          <w:tcPr>
            <w:tcW w:type="dxa" w:w="4873"/>
            <w:vAlign w:val="center"/>
          </w:tcPr>
          <w:p>
            <w:pPr>
              <w:spacing w:line="276" w:lineRule="auto" w:before="0" w:after="0"/>
            </w:pPr>
            <w:r/>
            <w:r>
              <w:rPr>
                <w:rFonts w:ascii="Figtree" w:hAnsi="Figtree"/>
                <w:b w:val="0"/>
                <w:i w:val="0"/>
                <w:sz w:val="20"/>
              </w:rPr>
              <w:t>On-premises adds infrastructure provisioning effort to Phase 2</w:t>
            </w:r>
          </w:p>
        </w:tc>
      </w:tr>
      <w:tr>
        <w:trPr>
          <w:trHeight w:val="425" w:hRule="atLeast"/>
        </w:trPr>
        <w:tc>
          <w:tcPr>
            <w:tcW w:type="dxa" w:w="4873"/>
            <w:vAlign w:val="center"/>
          </w:tcPr>
          <w:p>
            <w:pPr>
              <w:spacing w:line="276" w:lineRule="auto" w:before="0" w:after="0"/>
            </w:pPr>
            <w:r/>
            <w:r>
              <w:rPr>
                <w:rFonts w:ascii="Figtree" w:hAnsi="Figtree"/>
                <w:b w:val="0"/>
                <w:i w:val="0"/>
                <w:sz w:val="20"/>
              </w:rPr>
              <w:t>Regulatory complexity</w:t>
            </w:r>
          </w:p>
        </w:tc>
        <w:tc>
          <w:tcPr>
            <w:tcW w:type="dxa" w:w="4873"/>
            <w:vAlign w:val="center"/>
          </w:tcPr>
          <w:p>
            <w:pPr>
              <w:spacing w:line="276" w:lineRule="auto" w:before="0" w:after="0"/>
            </w:pPr>
            <w:r/>
            <w:r>
              <w:rPr>
                <w:rFonts w:ascii="Figtree" w:hAnsi="Figtree"/>
                <w:b w:val="0"/>
                <w:i w:val="0"/>
                <w:sz w:val="20"/>
              </w:rPr>
              <w:t>Additional MAS documentation requirements may extend Phase 1</w:t>
            </w:r>
          </w:p>
        </w:tc>
      </w:tr>
    </w:tbl>
    <w:p>
      <w:pPr>
        <w:spacing w:before="0" w:after="0" w:line="120" w:lineRule="exact"/>
      </w:pPr>
    </w:p>
    <w:p>
      <w:r>
        <w:rPr>
          <w:rFonts w:ascii="Figtree" w:hAnsi="Figtree"/>
          <w:b w:val="0"/>
          <w:i w:val="0"/>
          <w:sz w:val="22"/>
        </w:rPr>
        <w:t>SettleMint will provide a firm implementation fee following a 2-hour commercial scoping call.</w:t>
      </w:r>
    </w:p>
    <w:p>
      <w:pPr>
        <w:pStyle w:val="H3"/>
        <w:numPr>
          <w:ilvl w:val="2"/>
          <w:numId w:val="1"/>
        </w:numPr>
      </w:pPr>
      <w:r>
        <w:t>Implementation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72"/>
        <w:gridCol w:w="609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4873"/>
            <w:vAlign w:val="center"/>
          </w:tcPr>
          <w:p>
            <w:pPr>
              <w:spacing w:line="276" w:lineRule="auto" w:before="0" w:after="0"/>
            </w:pPr>
            <w:r/>
            <w:r>
              <w:rPr>
                <w:rFonts w:ascii="Figtree" w:hAnsi="Figtree"/>
                <w:b w:val="0"/>
                <w:i w:val="0"/>
                <w:sz w:val="20"/>
              </w:rPr>
              <w:t>SettleMint Project Manager</w:t>
            </w:r>
          </w:p>
        </w:tc>
        <w:tc>
          <w:tcPr>
            <w:tcW w:type="dxa" w:w="4873"/>
            <w:vAlign w:val="center"/>
          </w:tcPr>
          <w:p>
            <w:pPr>
              <w:spacing w:line="276" w:lineRule="auto" w:before="0" w:after="0"/>
            </w:pPr>
            <w:r/>
            <w:r>
              <w:rPr>
                <w:rFonts w:ascii="Figtree" w:hAnsi="Figtree"/>
                <w:b w:val="0"/>
                <w:i w:val="0"/>
                <w:sz w:val="20"/>
              </w:rPr>
              <w:t>Delivery management, gate reviews, risk tracking</w:t>
            </w:r>
          </w:p>
        </w:tc>
      </w:tr>
      <w:tr>
        <w:trPr>
          <w:trHeight w:val="425" w:hRule="atLeast"/>
        </w:trPr>
        <w:tc>
          <w:tcPr>
            <w:tcW w:type="dxa" w:w="4873"/>
            <w:vAlign w:val="center"/>
          </w:tcPr>
          <w:p>
            <w:pPr>
              <w:spacing w:line="276" w:lineRule="auto" w:before="0" w:after="0"/>
            </w:pPr>
            <w:r/>
            <w:r>
              <w:rPr>
                <w:rFonts w:ascii="Figtree" w:hAnsi="Figtree"/>
                <w:b w:val="0"/>
                <w:i w:val="0"/>
                <w:sz w:val="20"/>
              </w:rPr>
              <w:t>SettleMint Solution Architect</w:t>
            </w:r>
          </w:p>
        </w:tc>
        <w:tc>
          <w:tcPr>
            <w:tcW w:type="dxa" w:w="4873"/>
            <w:vAlign w:val="center"/>
          </w:tcPr>
          <w:p>
            <w:pPr>
              <w:spacing w:line="276" w:lineRule="auto" w:before="0" w:after="0"/>
            </w:pPr>
            <w:r/>
            <w:r>
              <w:rPr>
                <w:rFonts w:ascii="Figtree" w:hAnsi="Figtree"/>
                <w:b w:val="0"/>
                <w:i w:val="0"/>
                <w:sz w:val="20"/>
              </w:rPr>
              <w:t>Technical design, integration architecture, compliance module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SettleMint Integration Engineer</w:t>
            </w:r>
          </w:p>
        </w:tc>
        <w:tc>
          <w:tcPr>
            <w:tcW w:type="dxa" w:w="4873"/>
            <w:vAlign w:val="center"/>
          </w:tcPr>
          <w:p>
            <w:pPr>
              <w:spacing w:line="276" w:lineRule="auto" w:before="0" w:after="0"/>
            </w:pPr>
            <w:r/>
            <w:r>
              <w:rPr>
                <w:rFonts w:ascii="Figtree" w:hAnsi="Figtree"/>
                <w:b w:val="0"/>
                <w:i w:val="0"/>
                <w:sz w:val="20"/>
              </w:rPr>
              <w:t>API integration, SDK setup, observability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Airwallex Project Manager</w:t>
            </w:r>
          </w:p>
        </w:tc>
        <w:tc>
          <w:tcPr>
            <w:tcW w:type="dxa" w:w="4873"/>
            <w:vAlign w:val="center"/>
          </w:tcPr>
          <w:p>
            <w:pPr>
              <w:spacing w:line="276" w:lineRule="auto" w:before="0" w:after="0"/>
            </w:pPr>
            <w:r/>
            <w:r>
              <w:rPr>
                <w:rFonts w:ascii="Figtree" w:hAnsi="Figtree"/>
                <w:b w:val="0"/>
                <w:i w:val="0"/>
                <w:sz w:val="20"/>
              </w:rPr>
              <w:t>Stakeholder alignment, environment access, UAT sign-off</w:t>
            </w:r>
          </w:p>
        </w:tc>
      </w:tr>
      <w:tr>
        <w:trPr>
          <w:trHeight w:val="425" w:hRule="atLeast"/>
        </w:trPr>
        <w:tc>
          <w:tcPr>
            <w:tcW w:type="dxa" w:w="4873"/>
            <w:vAlign w:val="center"/>
          </w:tcPr>
          <w:p>
            <w:pPr>
              <w:spacing w:line="276" w:lineRule="auto" w:before="0" w:after="0"/>
            </w:pPr>
            <w:r/>
            <w:r>
              <w:rPr>
                <w:rFonts w:ascii="Figtree" w:hAnsi="Figtree"/>
                <w:b w:val="0"/>
                <w:i w:val="0"/>
                <w:sz w:val="20"/>
              </w:rPr>
              <w:t>Airwallex Technical Lead</w:t>
            </w:r>
          </w:p>
        </w:tc>
        <w:tc>
          <w:tcPr>
            <w:tcW w:type="dxa" w:w="4873"/>
            <w:vAlign w:val="center"/>
          </w:tcPr>
          <w:p>
            <w:pPr>
              <w:spacing w:line="276" w:lineRule="auto" w:before="0" w:after="0"/>
            </w:pPr>
            <w:r/>
            <w:r>
              <w:rPr>
                <w:rFonts w:ascii="Figtree" w:hAnsi="Figtree"/>
                <w:b w:val="0"/>
                <w:i w:val="0"/>
                <w:sz w:val="20"/>
              </w:rPr>
              <w:t>Integration ownership, system connectivity, testing</w:t>
            </w:r>
          </w:p>
        </w:tc>
      </w:tr>
      <w:tr>
        <w:trPr>
          <w:trHeight w:val="425" w:hRule="atLeast"/>
        </w:trPr>
        <w:tc>
          <w:tcPr>
            <w:tcW w:type="dxa" w:w="4873"/>
            <w:vAlign w:val="center"/>
          </w:tcPr>
          <w:p>
            <w:pPr>
              <w:spacing w:line="276" w:lineRule="auto" w:before="0" w:after="0"/>
            </w:pPr>
            <w:r/>
            <w:r>
              <w:rPr>
                <w:rFonts w:ascii="Figtree" w:hAnsi="Figtree"/>
                <w:b w:val="0"/>
                <w:i w:val="0"/>
                <w:sz w:val="20"/>
              </w:rPr>
              <w:t>Airwallex Compliance Lead</w:t>
            </w:r>
          </w:p>
        </w:tc>
        <w:tc>
          <w:tcPr>
            <w:tcW w:type="dxa" w:w="4873"/>
            <w:vAlign w:val="center"/>
          </w:tcPr>
          <w:p>
            <w:pPr>
              <w:spacing w:line="276" w:lineRule="auto" w:before="0" w:after="0"/>
            </w:pPr>
            <w:r/>
            <w:r>
              <w:rPr>
                <w:rFonts w:ascii="Figtree" w:hAnsi="Figtree"/>
                <w:b w:val="0"/>
                <w:i w:val="0"/>
                <w:sz w:val="20"/>
              </w:rPr>
              <w:t>Compliance matrix review, regulatory sign-off</w:t>
            </w:r>
          </w:p>
        </w:tc>
      </w:tr>
    </w:tbl>
    <w:p>
      <w:pPr>
        <w:spacing w:before="0" w:after="0" w:line="120" w:lineRule="exact"/>
      </w:pPr>
    </w:p>
    <w:p>
      <w:r>
        <w:br w:type="page"/>
      </w:r>
    </w:p>
    <w:p>
      <w:pPr>
        <w:pStyle w:val="H2"/>
        <w:numPr>
          <w:ilvl w:val="1"/>
          <w:numId w:val="1"/>
        </w:numPr>
      </w:pPr>
      <w:r>
        <w:t>Support and Maintenance</w:t>
      </w:r>
    </w:p>
    <w:p>
      <w:pPr>
        <w:pStyle w:val="H3"/>
        <w:numPr>
          <w:ilvl w:val="2"/>
          <w:numId w:val="1"/>
        </w:numPr>
      </w:pPr>
      <w:r>
        <w:t>Enterprise Support (Included in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0"/>
        <w:gridCol w:w="5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 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Response</w:t>
            </w:r>
          </w:p>
        </w:tc>
        <w:tc>
          <w:tcPr>
            <w:tcW w:type="dxa" w:w="4873"/>
            <w:vAlign w:val="center"/>
          </w:tcPr>
          <w:p>
            <w:pPr>
              <w:spacing w:line="276" w:lineRule="auto" w:before="0" w:after="0"/>
            </w:pPr>
            <w:r/>
            <w:r>
              <w:rPr>
                <w:rFonts w:ascii="Figtree" w:hAnsi="Figtree"/>
                <w:b w:val="0"/>
                <w:i w:val="0"/>
                <w:sz w:val="20"/>
              </w:rPr>
              <w:t>&lt; 15 minutes</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Resolution</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Channels</w:t>
            </w:r>
          </w:p>
        </w:tc>
        <w:tc>
          <w:tcPr>
            <w:tcW w:type="dxa" w:w="4873"/>
            <w:vAlign w:val="center"/>
          </w:tcPr>
          <w:p>
            <w:pPr>
              <w:spacing w:line="276" w:lineRule="auto" w:before="0" w:after="0"/>
            </w:pPr>
            <w:r/>
            <w:r>
              <w:rPr>
                <w:rFonts w:ascii="Figtree" w:hAnsi="Figtree"/>
                <w:b w:val="0"/>
                <w:i w:val="0"/>
                <w:sz w:val="20"/>
              </w:rPr>
              <w:t>Portal, email, dedicated Slack, phone, video</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staged rollouts</w:t>
            </w:r>
          </w:p>
        </w:tc>
      </w:tr>
      <w:tr>
        <w:trPr>
          <w:trHeight w:val="425" w:hRule="atLeast"/>
        </w:trPr>
        <w:tc>
          <w:tcPr>
            <w:tcW w:type="dxa" w:w="4873"/>
            <w:vAlign w:val="center"/>
          </w:tcPr>
          <w:p>
            <w:pPr>
              <w:spacing w:line="276" w:lineRule="auto" w:before="0" w:after="0"/>
            </w:pPr>
            <w:r/>
            <w:r>
              <w:rPr>
                <w:rFonts w:ascii="Figtree" w:hAnsi="Figtree"/>
                <w:b w:val="0"/>
                <w:i w:val="0"/>
                <w:sz w:val="20"/>
              </w:rPr>
              <w:t>Architecture Reviews</w:t>
            </w:r>
          </w:p>
        </w:tc>
        <w:tc>
          <w:tcPr>
            <w:tcW w:type="dxa" w:w="4873"/>
            <w:vAlign w:val="center"/>
          </w:tcPr>
          <w:p>
            <w:pPr>
              <w:spacing w:line="276" w:lineRule="auto" w:before="0" w:after="0"/>
            </w:pPr>
            <w:r/>
            <w:r>
              <w:rPr>
                <w:rFonts w:ascii="Figtree" w:hAnsi="Figtree"/>
                <w:b w:val="0"/>
                <w:i w:val="0"/>
                <w:sz w:val="20"/>
              </w:rPr>
              <w:t>Quarterly</w:t>
            </w:r>
          </w:p>
        </w:tc>
      </w:tr>
    </w:tbl>
    <w:p>
      <w:pPr>
        <w:spacing w:before="0" w:after="0" w:line="120" w:lineRule="exact"/>
      </w:pPr>
    </w:p>
    <w:p>
      <w:r>
        <w:rPr>
          <w:rFonts w:ascii="Figtree" w:hAnsi="Figtree"/>
          <w:b w:val="0"/>
          <w:i w:val="0"/>
          <w:sz w:val="22"/>
        </w:rPr>
        <w:t>Enterprise Support is included in the DALP Enterprise License fee. No additional charge.</w:t>
      </w:r>
    </w:p>
    <w:p>
      <w:pPr>
        <w:pStyle w:val="H3"/>
        <w:numPr>
          <w:ilvl w:val="2"/>
          <w:numId w:val="1"/>
        </w:numPr>
      </w:pPr>
      <w:r>
        <w:t>Maintenance and Update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4"/>
        <w:gridCol w:w="2604"/>
        <w:gridCol w:w="35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Cadence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 patches</w:t>
            </w:r>
          </w:p>
        </w:tc>
        <w:tc>
          <w:tcPr>
            <w:tcW w:type="dxa" w:w="3249"/>
            <w:vAlign w:val="center"/>
          </w:tcPr>
          <w:p>
            <w:pPr>
              <w:spacing w:line="276" w:lineRule="auto" w:before="0" w:after="0"/>
            </w:pPr>
            <w:r/>
            <w:r>
              <w:rPr>
                <w:rFonts w:ascii="Figtree" w:hAnsi="Figtree"/>
                <w:b w:val="0"/>
                <w:i w:val="0"/>
                <w:sz w:val="20"/>
              </w:rPr>
              <w:t>As required (critical: &lt; 24h)</w:t>
            </w:r>
          </w:p>
        </w:tc>
        <w:tc>
          <w:tcPr>
            <w:tcW w:type="dxa" w:w="3249"/>
            <w:vAlign w:val="center"/>
          </w:tcPr>
          <w:p>
            <w:pPr>
              <w:spacing w:line="276" w:lineRule="auto" w:before="0" w:after="0"/>
            </w:pPr>
            <w:r/>
            <w:r>
              <w:rPr>
                <w:rFonts w:ascii="Figtree" w:hAnsi="Figtree"/>
                <w:b w:val="0"/>
                <w:i w:val="0"/>
                <w:sz w:val="20"/>
              </w:rPr>
              <w:t>SettleMint (Managed SaaS)</w:t>
            </w:r>
          </w:p>
        </w:tc>
      </w:tr>
      <w:tr>
        <w:trPr>
          <w:trHeight w:val="425" w:hRule="atLeast"/>
        </w:trPr>
        <w:tc>
          <w:tcPr>
            <w:tcW w:type="dxa" w:w="3249"/>
            <w:vAlign w:val="center"/>
          </w:tcPr>
          <w:p>
            <w:pPr>
              <w:spacing w:line="276" w:lineRule="auto" w:before="0" w:after="0"/>
            </w:pPr>
            <w:r/>
            <w:r>
              <w:rPr>
                <w:rFonts w:ascii="Figtree" w:hAnsi="Figtree"/>
                <w:b w:val="0"/>
                <w:i w:val="0"/>
                <w:sz w:val="20"/>
              </w:rPr>
              <w:t>Platform minor updates</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SettleMint (coordinated with Airwallex)</w:t>
            </w:r>
          </w:p>
        </w:tc>
      </w:tr>
      <w:tr>
        <w:trPr>
          <w:trHeight w:val="425" w:hRule="atLeast"/>
        </w:trPr>
        <w:tc>
          <w:tcPr>
            <w:tcW w:type="dxa" w:w="3249"/>
            <w:vAlign w:val="center"/>
          </w:tcPr>
          <w:p>
            <w:pPr>
              <w:spacing w:line="276" w:lineRule="auto" w:before="0" w:after="0"/>
            </w:pPr>
            <w:r/>
            <w:r>
              <w:rPr>
                <w:rFonts w:ascii="Figtree" w:hAnsi="Figtree"/>
                <w:b w:val="0"/>
                <w:i w:val="0"/>
                <w:sz w:val="20"/>
              </w:rPr>
              <w:t>Platform major releases</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SettleMint (planned change window)</w:t>
            </w:r>
          </w:p>
        </w:tc>
      </w:tr>
      <w:tr>
        <w:trPr>
          <w:trHeight w:val="425" w:hRule="atLeast"/>
        </w:trPr>
        <w:tc>
          <w:tcPr>
            <w:tcW w:type="dxa" w:w="3249"/>
            <w:vAlign w:val="center"/>
          </w:tcPr>
          <w:p>
            <w:pPr>
              <w:spacing w:line="276" w:lineRule="auto" w:before="0" w:after="0"/>
            </w:pPr>
            <w:r/>
            <w:r>
              <w:rPr>
                <w:rFonts w:ascii="Figtree" w:hAnsi="Figtree"/>
                <w:b w:val="0"/>
                <w:i w:val="0"/>
                <w:sz w:val="20"/>
              </w:rPr>
              <w:t>Blockchain node maintenance</w:t>
            </w:r>
          </w:p>
        </w:tc>
        <w:tc>
          <w:tcPr>
            <w:tcW w:type="dxa" w:w="3249"/>
            <w:vAlign w:val="center"/>
          </w:tcPr>
          <w:p>
            <w:pPr>
              <w:spacing w:line="276" w:lineRule="auto" w:before="0" w:after="0"/>
            </w:pPr>
            <w:r/>
            <w:r>
              <w:rPr>
                <w:rFonts w:ascii="Figtree" w:hAnsi="Figtree"/>
                <w:b w:val="0"/>
                <w:i w:val="0"/>
                <w:sz w:val="20"/>
              </w:rPr>
              <w:t>As required</w:t>
            </w:r>
          </w:p>
        </w:tc>
        <w:tc>
          <w:tcPr>
            <w:tcW w:type="dxa" w:w="3249"/>
            <w:vAlign w:val="center"/>
          </w:tcPr>
          <w:p>
            <w:pPr>
              <w:spacing w:line="276" w:lineRule="auto" w:before="0" w:after="0"/>
            </w:pPr>
            <w:r/>
            <w:r>
              <w:rPr>
                <w:rFonts w:ascii="Figtree" w:hAnsi="Figtree"/>
                <w:b w:val="0"/>
                <w:i w:val="0"/>
                <w:sz w:val="20"/>
              </w:rPr>
              <w:t>SettleMint (Managed SaaS)</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library updates</w:t>
            </w:r>
          </w:p>
        </w:tc>
        <w:tc>
          <w:tcPr>
            <w:tcW w:type="dxa" w:w="3249"/>
            <w:vAlign w:val="center"/>
          </w:tcPr>
          <w:p>
            <w:pPr>
              <w:spacing w:line="276" w:lineRule="auto" w:before="0" w:after="0"/>
            </w:pPr>
            <w:r/>
            <w:r>
              <w:rPr>
                <w:rFonts w:ascii="Figtree" w:hAnsi="Figtree"/>
                <w:b w:val="0"/>
                <w:i w:val="0"/>
                <w:sz w:val="20"/>
              </w:rPr>
              <w:t>As new modules release</w:t>
            </w:r>
          </w:p>
        </w:tc>
        <w:tc>
          <w:tcPr>
            <w:tcW w:type="dxa" w:w="3249"/>
            <w:vAlign w:val="center"/>
          </w:tcPr>
          <w:p>
            <w:pPr>
              <w:spacing w:line="276" w:lineRule="auto" w:before="0" w:after="0"/>
            </w:pPr>
            <w:r/>
            <w:r>
              <w:rPr>
                <w:rFonts w:ascii="Figtree" w:hAnsi="Figtree"/>
                <w:b w:val="0"/>
                <w:i w:val="0"/>
                <w:sz w:val="20"/>
              </w:rPr>
              <w:t>Client-activated through configuration</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Year 1 Investment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81"/>
        <w:gridCol w:w="339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Year 1 Cost</w:t>
            </w:r>
          </w:p>
        </w:tc>
      </w:tr>
      <w:tr>
        <w:trPr>
          <w:trHeight w:val="425" w:hRule="atLeast"/>
        </w:trPr>
        <w:tc>
          <w:tcPr>
            <w:tcW w:type="dxa" w:w="4873"/>
            <w:vAlign w:val="center"/>
          </w:tcPr>
          <w:p>
            <w:pPr>
              <w:spacing w:line="276" w:lineRule="auto" w:before="0" w:after="0"/>
            </w:pPr>
            <w:r/>
            <w:r>
              <w:rPr>
                <w:rFonts w:ascii="Figtree" w:hAnsi="Figtree"/>
                <w:b w:val="0"/>
                <w:i w:val="0"/>
                <w:sz w:val="20"/>
              </w:rPr>
              <w:t>DALP Enterprise License (Production + Development)</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 (AWS ap-southeast-1, estimated)</w:t>
            </w:r>
          </w:p>
        </w:tc>
        <w:tc>
          <w:tcPr>
            <w:tcW w:type="dxa" w:w="4873"/>
            <w:vAlign w:val="center"/>
          </w:tcPr>
          <w:p>
            <w:pPr>
              <w:spacing w:line="276" w:lineRule="auto" w:before="0" w:after="0"/>
            </w:pPr>
            <w:r/>
            <w:r>
              <w:rPr>
                <w:rFonts w:ascii="Figtree" w:hAnsi="Figtree"/>
                <w:b w:val="0"/>
                <w:i w:val="0"/>
                <w:sz w:val="20"/>
              </w:rPr>
              <w:t>[PASS-THROUGH AT COST]</w:t>
            </w:r>
          </w:p>
        </w:tc>
      </w:tr>
      <w:tr>
        <w:trPr>
          <w:trHeight w:val="425" w:hRule="atLeast"/>
        </w:trPr>
        <w:tc>
          <w:tcPr>
            <w:tcW w:type="dxa" w:w="4873"/>
            <w:vAlign w:val="center"/>
          </w:tcPr>
          <w:p>
            <w:pPr>
              <w:spacing w:line="276" w:lineRule="auto" w:before="0" w:after="0"/>
            </w:pPr>
            <w:r/>
            <w:r>
              <w:rPr>
                <w:rFonts w:ascii="Figtree" w:hAnsi="Figtree"/>
                <w:b w:val="0"/>
                <w:i w:val="0"/>
                <w:sz w:val="20"/>
              </w:rPr>
              <w:t>Custody Provider (Fireblocks/DFNS, estimated)</w:t>
            </w:r>
          </w:p>
        </w:tc>
        <w:tc>
          <w:tcPr>
            <w:tcW w:type="dxa" w:w="4873"/>
            <w:vAlign w:val="center"/>
          </w:tcPr>
          <w:p>
            <w:pPr>
              <w:spacing w:line="276" w:lineRule="auto" w:before="0" w:after="0"/>
            </w:pPr>
            <w:r/>
            <w:r>
              <w:rPr>
                <w:rFonts w:ascii="Figtree" w:hAnsi="Figtree"/>
                <w:b w:val="0"/>
                <w:i w:val="0"/>
                <w:sz w:val="20"/>
              </w:rPr>
              <w:t>[DIRECT CLIENT CONTRACT]</w:t>
            </w:r>
          </w:p>
        </w:tc>
      </w:tr>
      <w:tr>
        <w:trPr>
          <w:trHeight w:val="425" w:hRule="atLeast"/>
        </w:trPr>
        <w:tc>
          <w:tcPr>
            <w:tcW w:type="dxa" w:w="4873"/>
            <w:vAlign w:val="center"/>
          </w:tcPr>
          <w:p>
            <w:pPr>
              <w:spacing w:line="276" w:lineRule="auto" w:before="0" w:after="0"/>
            </w:pPr>
            <w:r/>
            <w:r>
              <w:rPr>
                <w:rFonts w:ascii="Figtree" w:hAnsi="Figtree"/>
                <w:b/>
                <w:i w:val="0"/>
                <w:sz w:val="20"/>
              </w:rPr>
              <w:t>Total Platform + License (Year 1)</w:t>
            </w:r>
          </w:p>
        </w:tc>
        <w:tc>
          <w:tcPr>
            <w:tcW w:type="dxa" w:w="4873"/>
            <w:vAlign w:val="center"/>
          </w:tcPr>
          <w:p>
            <w:pPr>
              <w:spacing w:line="276" w:lineRule="auto" w:before="0" w:after="0"/>
            </w:pPr>
            <w:r/>
            <w:r>
              <w:rPr>
                <w:rFonts w:ascii="Figtree" w:hAnsi="Figtree"/>
                <w:b/>
                <w:i w:val="0"/>
                <w:sz w:val="20"/>
              </w:rPr>
              <w:t>€420,000 + implementation</w:t>
            </w:r>
          </w:p>
        </w:tc>
      </w:tr>
    </w:tbl>
    <w:p>
      <w:pPr>
        <w:spacing w:before="0" w:after="0" w:line="120" w:lineRule="exact"/>
      </w:pPr>
    </w:p>
    <w:p>
      <w:pPr>
        <w:pStyle w:val="H3"/>
        <w:numPr>
          <w:ilvl w:val="2"/>
          <w:numId w:val="1"/>
        </w:numPr>
      </w:pPr>
      <w:r>
        <w:t>Year 2+ Annual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59"/>
        <w:gridCol w:w="38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DALP Enterprise License</w:t>
            </w:r>
          </w:p>
        </w:tc>
        <w:tc>
          <w:tcPr>
            <w:tcW w:type="dxa" w:w="4873"/>
            <w:vAlign w:val="center"/>
          </w:tcPr>
          <w:p>
            <w:pPr>
              <w:spacing w:line="276" w:lineRule="auto" w:before="0" w:after="0"/>
            </w:pPr>
            <w:r/>
            <w:r>
              <w:rPr>
                <w:rFonts w:ascii="Figtree" w:hAnsi="Figtree"/>
                <w:b w:val="0"/>
                <w:i w:val="0"/>
                <w:sz w:val="20"/>
              </w:rPr>
              <w:t>€420,000/year</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w:t>
            </w:r>
          </w:p>
        </w:tc>
        <w:tc>
          <w:tcPr>
            <w:tcW w:type="dxa" w:w="4873"/>
            <w:vAlign w:val="center"/>
          </w:tcPr>
          <w:p>
            <w:pPr>
              <w:spacing w:line="276" w:lineRule="auto" w:before="0" w:after="0"/>
            </w:pPr>
            <w:r/>
            <w:r>
              <w:rPr>
                <w:rFonts w:ascii="Figtree" w:hAnsi="Figtree"/>
                <w:b w:val="0"/>
                <w:i w:val="0"/>
                <w:sz w:val="20"/>
              </w:rPr>
              <w:t>[PASS-THROUGH AT COST]</w:t>
            </w:r>
          </w:p>
        </w:tc>
      </w:tr>
      <w:tr>
        <w:trPr>
          <w:trHeight w:val="425" w:hRule="atLeast"/>
        </w:trPr>
        <w:tc>
          <w:tcPr>
            <w:tcW w:type="dxa" w:w="4873"/>
            <w:vAlign w:val="center"/>
          </w:tcPr>
          <w:p>
            <w:pPr>
              <w:spacing w:line="276" w:lineRule="auto" w:before="0" w:after="0"/>
            </w:pPr>
            <w:r/>
            <w:r>
              <w:rPr>
                <w:rFonts w:ascii="Figtree" w:hAnsi="Figtree"/>
                <w:b w:val="0"/>
                <w:i w:val="0"/>
                <w:sz w:val="20"/>
              </w:rPr>
              <w:t>No implementation fee (maintenance only)</w:t>
            </w:r>
          </w:p>
        </w:tc>
        <w:tc>
          <w:tcPr>
            <w:tcW w:type="dxa" w:w="4873"/>
            <w:vAlign w:val="center"/>
          </w:tcPr>
          <w:p>
            <w:pPr>
              <w:spacing w:line="276" w:lineRule="auto" w:before="0" w:after="0"/>
            </w:pPr>
            <w:r/>
            <w:r>
              <w:rPr>
                <w:rFonts w:ascii="Figtree" w:hAnsi="Figtree"/>
                <w:b w:val="0"/>
                <w:i w:val="0"/>
                <w:sz w:val="20"/>
              </w:rPr>
              <w:t>—</w:t>
            </w:r>
          </w:p>
        </w:tc>
      </w:tr>
      <w:tr>
        <w:trPr>
          <w:trHeight w:val="425" w:hRule="atLeast"/>
        </w:trPr>
        <w:tc>
          <w:tcPr>
            <w:tcW w:type="dxa" w:w="4873"/>
            <w:vAlign w:val="center"/>
          </w:tcPr>
          <w:p>
            <w:pPr>
              <w:spacing w:line="276" w:lineRule="auto" w:before="0" w:after="0"/>
            </w:pPr>
            <w:r/>
            <w:r>
              <w:rPr>
                <w:rFonts w:ascii="Figtree" w:hAnsi="Figtree"/>
                <w:b/>
                <w:i w:val="0"/>
                <w:sz w:val="20"/>
              </w:rPr>
              <w:t>Total Annual Platform Cost (Year 2+)</w:t>
            </w:r>
          </w:p>
        </w:tc>
        <w:tc>
          <w:tcPr>
            <w:tcW w:type="dxa" w:w="4873"/>
            <w:vAlign w:val="center"/>
          </w:tcPr>
          <w:p>
            <w:pPr>
              <w:spacing w:line="276" w:lineRule="auto" w:before="0" w:after="0"/>
            </w:pPr>
            <w:r/>
            <w:r>
              <w:rPr>
                <w:rFonts w:ascii="Figtree" w:hAnsi="Figtree"/>
                <w:b/>
                <w:i w:val="0"/>
                <w:sz w:val="20"/>
              </w:rPr>
              <w:t>€420,000 + infrastructure</w:t>
            </w:r>
          </w:p>
        </w:tc>
      </w:tr>
    </w:tbl>
    <w:p>
      <w:pPr>
        <w:spacing w:before="0" w:after="0" w:line="120" w:lineRule="exact"/>
      </w:pPr>
    </w:p>
    <w:p>
      <w:r>
        <w:rPr>
          <w:rFonts w:ascii="Figtree" w:hAnsi="Figtree"/>
          <w:b w:val="0"/>
          <w:i w:val="0"/>
          <w:sz w:val="22"/>
        </w:rPr>
        <w:t>The Year 1 cost is implementation-heavy. From Year 2, total cost of ownership drops significantly as implementation is a one-time investment. This step-change in cost profile is a material commercial consideration: Year 1 total (license + implementation + infrastructure) will be materially higher than Year 2+. Year 2+ annual cost settles at €420,000 (license) plus infrastructure pass-through. The reduction from Year 1 to Year 2+ represents the point at which DALP's cost profile becomes decisively favorable against any in-house alternative, where engineering and compliance maintenance costs compound year-on-year.</w:t>
      </w:r>
    </w:p>
    <w:p>
      <w:r>
        <w:rPr>
          <w:rFonts w:ascii="Figtree" w:hAnsi="Figtree"/>
          <w:b/>
          <w:i w:val="0"/>
          <w:sz w:val="22"/>
        </w:rPr>
        <w:t>Year 1 vs Year 2+ Cost Profile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0"/>
        <w:gridCol w:w="1051"/>
        <w:gridCol w:w="2235"/>
        <w:gridCol w:w="1840"/>
        <w:gridCol w:w="302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Approximate Total</w:t>
            </w:r>
          </w:p>
        </w:tc>
      </w:tr>
      <w:tr>
        <w:trPr>
          <w:trHeight w:val="425" w:hRule="atLeast"/>
        </w:trPr>
        <w:tc>
          <w:tcPr>
            <w:tcW w:type="dxa" w:w="1949"/>
            <w:vAlign w:val="center"/>
          </w:tcPr>
          <w:p>
            <w:pPr>
              <w:spacing w:line="276" w:lineRule="auto" w:before="0" w:after="0"/>
            </w:pPr>
            <w:r/>
            <w:r>
              <w:rPr>
                <w:rFonts w:ascii="Figtree" w:hAnsi="Figtree"/>
                <w:b w:val="0"/>
                <w:i w:val="0"/>
                <w:sz w:val="20"/>
              </w:rPr>
              <w:t>Year 1</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impl + infra</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infra</w:t>
            </w:r>
          </w:p>
        </w:tc>
      </w:tr>
    </w:tbl>
    <w:p>
      <w:pPr>
        <w:spacing w:before="0" w:after="0" w:line="120" w:lineRule="exact"/>
      </w:pPr>
    </w:p>
    <w:p>
      <w:r>
        <w:rPr>
          <w:rFonts w:ascii="Figtree" w:hAnsi="Figtree"/>
          <w:b w:val="0"/>
          <w:i w:val="0"/>
          <w:sz w:val="22"/>
        </w:rPr>
        <w:t>The step-change from Year 1 to Year 2+ is the primary argument for earliest possible production deployment: every month of delayed go-live delays the transition to the lower steady-state cost profile.</w:t>
      </w:r>
    </w:p>
    <w:p>
      <w:pPr>
        <w:pStyle w:val="H3"/>
        <w:numPr>
          <w:ilvl w:val="2"/>
          <w:numId w:val="1"/>
        </w:numPr>
      </w:pPr>
      <w:r>
        <w:t>TCO Comparison: DALP vs Build-In-House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2"/>
        <w:gridCol w:w="1432"/>
        <w:gridCol w:w="1773"/>
        <w:gridCol w:w="368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(5 years)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 (estimated)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Platform License</w:t>
            </w:r>
          </w:p>
        </w:tc>
        <w:tc>
          <w:tcPr>
            <w:tcW w:type="dxa" w:w="2436"/>
            <w:vAlign w:val="center"/>
          </w:tcPr>
          <w:p>
            <w:pPr>
              <w:spacing w:line="276" w:lineRule="auto" w:before="0" w:after="0"/>
            </w:pPr>
            <w:r/>
            <w:r>
              <w:rPr>
                <w:rFonts w:ascii="Figtree" w:hAnsi="Figtree"/>
                <w:b w:val="0"/>
                <w:i w:val="0"/>
                <w:sz w:val="20"/>
              </w:rPr>
              <w:t>€2,100,000</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DALP Year 1-5</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w:t>
            </w:r>
          </w:p>
        </w:tc>
        <w:tc>
          <w:tcPr>
            <w:tcW w:type="dxa" w:w="2436"/>
            <w:vAlign w:val="center"/>
          </w:tcPr>
          <w:p>
            <w:pPr>
              <w:spacing w:line="276" w:lineRule="auto" w:before="0" w:after="0"/>
            </w:pPr>
            <w:r/>
            <w:r>
              <w:rPr>
                <w:rFonts w:ascii="Figtree" w:hAnsi="Figtree"/>
                <w:b w:val="0"/>
                <w:i w:val="0"/>
                <w:sz w:val="20"/>
              </w:rPr>
              <w:t>[CLIENT-SPECIFIC]</w:t>
            </w:r>
          </w:p>
        </w:tc>
        <w:tc>
          <w:tcPr>
            <w:tcW w:type="dxa" w:w="2436"/>
            <w:vAlign w:val="center"/>
          </w:tcPr>
          <w:p>
            <w:pPr>
              <w:spacing w:line="276" w:lineRule="auto" w:before="0" w:after="0"/>
            </w:pPr>
            <w:r/>
            <w:r>
              <w:rPr>
                <w:rFonts w:ascii="Figtree" w:hAnsi="Figtree"/>
                <w:b w:val="0"/>
                <w:i w:val="0"/>
                <w:sz w:val="20"/>
              </w:rPr>
              <w:t>€3,000,000 — €8,000,000</w:t>
            </w:r>
          </w:p>
        </w:tc>
        <w:tc>
          <w:tcPr>
            <w:tcW w:type="dxa" w:w="2436"/>
            <w:vAlign w:val="center"/>
          </w:tcPr>
          <w:p>
            <w:pPr>
              <w:spacing w:line="276" w:lineRule="auto" w:before="0" w:after="0"/>
            </w:pPr>
            <w:r/>
            <w:r>
              <w:rPr>
                <w:rFonts w:ascii="Figtree" w:hAnsi="Figtree"/>
                <w:b w:val="0"/>
                <w:i w:val="0"/>
                <w:sz w:val="20"/>
              </w:rPr>
              <w:t>Engineering team, smart contract dev, compliance build</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 maintenance</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€500,000+/year</w:t>
            </w:r>
          </w:p>
        </w:tc>
        <w:tc>
          <w:tcPr>
            <w:tcW w:type="dxa" w:w="2436"/>
            <w:vAlign w:val="center"/>
          </w:tcPr>
          <w:p>
            <w:pPr>
              <w:spacing w:line="276" w:lineRule="auto" w:before="0" w:after="0"/>
            </w:pPr>
            <w:r/>
            <w:r>
              <w:rPr>
                <w:rFonts w:ascii="Figtree" w:hAnsi="Figtree"/>
                <w:b w:val="0"/>
                <w:i w:val="0"/>
                <w:sz w:val="20"/>
              </w:rPr>
              <w:t>Ongoing regulatory change adaptation</w:t>
            </w:r>
          </w:p>
        </w:tc>
      </w:tr>
      <w:tr>
        <w:trPr>
          <w:trHeight w:val="425" w:hRule="atLeast"/>
        </w:trPr>
        <w:tc>
          <w:tcPr>
            <w:tcW w:type="dxa" w:w="2436"/>
            <w:vAlign w:val="center"/>
          </w:tcPr>
          <w:p>
            <w:pPr>
              <w:spacing w:line="276" w:lineRule="auto" w:before="0" w:after="0"/>
            </w:pPr>
            <w:r/>
            <w:r>
              <w:rPr>
                <w:rFonts w:ascii="Figtree" w:hAnsi="Figtree"/>
                <w:b w:val="0"/>
                <w:i w:val="0"/>
                <w:sz w:val="20"/>
              </w:rPr>
              <w:t>Security certifications</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€200,000+/year</w:t>
            </w:r>
          </w:p>
        </w:tc>
        <w:tc>
          <w:tcPr>
            <w:tcW w:type="dxa" w:w="2436"/>
            <w:vAlign w:val="center"/>
          </w:tcPr>
          <w:p>
            <w:pPr>
              <w:spacing w:line="276" w:lineRule="auto" w:before="0" w:after="0"/>
            </w:pPr>
            <w:r/>
            <w:r>
              <w:rPr>
                <w:rFonts w:ascii="Figtree" w:hAnsi="Figtree"/>
                <w:b w:val="0"/>
                <w:i w:val="0"/>
                <w:sz w:val="20"/>
              </w:rPr>
              <w:t>ISO 27001, SOC 2, pen testing</w:t>
            </w:r>
          </w:p>
        </w:tc>
      </w:tr>
      <w:tr>
        <w:trPr>
          <w:trHeight w:val="425" w:hRule="atLeast"/>
        </w:trPr>
        <w:tc>
          <w:tcPr>
            <w:tcW w:type="dxa" w:w="2436"/>
            <w:vAlign w:val="center"/>
          </w:tcPr>
          <w:p>
            <w:pPr>
              <w:spacing w:line="276" w:lineRule="auto" w:before="0" w:after="0"/>
            </w:pPr>
            <w:r/>
            <w:r>
              <w:rPr>
                <w:rFonts w:ascii="Figtree" w:hAnsi="Figtree"/>
                <w:b w:val="0"/>
                <w:i w:val="0"/>
                <w:sz w:val="20"/>
              </w:rPr>
              <w:t>Support and operations</w:t>
            </w:r>
          </w:p>
        </w:tc>
        <w:tc>
          <w:tcPr>
            <w:tcW w:type="dxa" w:w="2436"/>
            <w:vAlign w:val="center"/>
          </w:tcPr>
          <w:p>
            <w:pPr>
              <w:spacing w:line="276" w:lineRule="auto" w:before="0" w:after="0"/>
            </w:pPr>
            <w:r/>
            <w:r>
              <w:rPr>
                <w:rFonts w:ascii="Figtree" w:hAnsi="Figtree"/>
                <w:b w:val="0"/>
                <w:i w:val="0"/>
                <w:sz w:val="20"/>
              </w:rPr>
              <w:t>Included (Enterprise)</w:t>
            </w:r>
          </w:p>
        </w:tc>
        <w:tc>
          <w:tcPr>
            <w:tcW w:type="dxa" w:w="2436"/>
            <w:vAlign w:val="center"/>
          </w:tcPr>
          <w:p>
            <w:pPr>
              <w:spacing w:line="276" w:lineRule="auto" w:before="0" w:after="0"/>
            </w:pPr>
            <w:r/>
            <w:r>
              <w:rPr>
                <w:rFonts w:ascii="Figtree" w:hAnsi="Figtree"/>
                <w:b w:val="0"/>
                <w:i w:val="0"/>
                <w:sz w:val="20"/>
              </w:rPr>
              <w:t>€400,000+/year</w:t>
            </w:r>
          </w:p>
        </w:tc>
        <w:tc>
          <w:tcPr>
            <w:tcW w:type="dxa" w:w="2436"/>
            <w:vAlign w:val="center"/>
          </w:tcPr>
          <w:p>
            <w:pPr>
              <w:spacing w:line="276" w:lineRule="auto" w:before="0" w:after="0"/>
            </w:pPr>
            <w:r/>
            <w:r>
              <w:rPr>
                <w:rFonts w:ascii="Figtree" w:hAnsi="Figtree"/>
                <w:b w:val="0"/>
                <w:i w:val="0"/>
                <w:sz w:val="20"/>
              </w:rPr>
              <w:t>24/7 blockchain infrastructure ops</w:t>
            </w:r>
          </w:p>
        </w:tc>
      </w:tr>
      <w:tr>
        <w:trPr>
          <w:trHeight w:val="425" w:hRule="atLeast"/>
        </w:trPr>
        <w:tc>
          <w:tcPr>
            <w:tcW w:type="dxa" w:w="2436"/>
            <w:vAlign w:val="center"/>
          </w:tcPr>
          <w:p>
            <w:pPr>
              <w:spacing w:line="276" w:lineRule="auto" w:before="0" w:after="0"/>
            </w:pPr>
            <w:r/>
            <w:r>
              <w:rPr>
                <w:rFonts w:ascii="Figtree" w:hAnsi="Figtree"/>
                <w:b w:val="0"/>
                <w:i w:val="0"/>
                <w:sz w:val="20"/>
              </w:rPr>
              <w:t>Total (5 years, excluding infra)</w:t>
            </w:r>
          </w:p>
        </w:tc>
        <w:tc>
          <w:tcPr>
            <w:tcW w:type="dxa" w:w="2436"/>
            <w:vAlign w:val="center"/>
          </w:tcPr>
          <w:p>
            <w:pPr>
              <w:spacing w:line="276" w:lineRule="auto" w:before="0" w:after="0"/>
            </w:pPr>
            <w:r/>
            <w:r>
              <w:rPr>
                <w:rFonts w:ascii="Figtree" w:hAnsi="Figtree"/>
                <w:b w:val="0"/>
                <w:i w:val="0"/>
                <w:sz w:val="20"/>
              </w:rPr>
              <w:t>€2,100,000 + impl</w:t>
            </w:r>
          </w:p>
        </w:tc>
        <w:tc>
          <w:tcPr>
            <w:tcW w:type="dxa" w:w="2436"/>
            <w:vAlign w:val="center"/>
          </w:tcPr>
          <w:p>
            <w:pPr>
              <w:spacing w:line="276" w:lineRule="auto" w:before="0" w:after="0"/>
            </w:pPr>
            <w:r/>
            <w:r>
              <w:rPr>
                <w:rFonts w:ascii="Figtree" w:hAnsi="Figtree"/>
                <w:b w:val="0"/>
                <w:i w:val="0"/>
                <w:sz w:val="20"/>
              </w:rPr>
              <w:t>€8,000,000 — €15,000,000</w:t>
            </w:r>
          </w:p>
        </w:tc>
        <w:tc>
          <w:tcPr>
            <w:tcW w:type="dxa" w:w="2436"/>
            <w:vAlign w:val="center"/>
          </w:tcPr>
          <w:p>
            <w:pPr>
              <w:spacing w:line="276" w:lineRule="auto" w:before="0" w:after="0"/>
            </w:pPr>
            <w:r/>
            <w:r>
              <w:rPr>
                <w:rFonts w:ascii="Figtree" w:hAnsi="Figtree"/>
                <w:b w:val="0"/>
                <w:i w:val="0"/>
                <w:sz w:val="20"/>
              </w:rPr>
              <w:t>Conservative in-house estimate</w:t>
            </w:r>
          </w:p>
        </w:tc>
      </w:tr>
    </w:tbl>
    <w:p>
      <w:pPr>
        <w:spacing w:before="0" w:after="0" w:line="120" w:lineRule="exact"/>
      </w:pPr>
    </w:p>
    <w:p>
      <w:r>
        <w:rPr>
          <w:rFonts w:ascii="Figtree" w:hAnsi="Figtree"/>
          <w:b w:val="0"/>
          <w:i w:val="0"/>
          <w:sz w:val="22"/>
        </w:rPr>
        <w:t>The build-in-house estimate does not include regulatory compliance failure costs, which represent the highest-risk cost category for a fintech operating under PSA licensing and MAS TRM requirements.</w:t>
      </w:r>
    </w:p>
    <w:p>
      <w:pPr>
        <w:pStyle w:val="H3"/>
        <w:numPr>
          <w:ilvl w:val="2"/>
          <w:numId w:val="1"/>
        </w:numPr>
      </w:pPr>
      <w:r>
        <w:t>ROI Framework</w:t>
      </w:r>
    </w:p>
    <w:p>
      <w:r>
        <w:rPr>
          <w:rFonts w:ascii="Figtree" w:hAnsi="Figtree"/>
          <w:b w:val="0"/>
          <w:i w:val="0"/>
          <w:sz w:val="22"/>
        </w:rPr>
        <w:t>For Airwallex, the quantifiable return on DALP investment comes from four categories: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5"/>
        <w:gridCol w:w="3724"/>
        <w:gridCol w:w="37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ROI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Magnitude</w:t>
            </w:r>
          </w:p>
        </w:tc>
      </w:tr>
      <w:tr>
        <w:trPr>
          <w:trHeight w:val="425" w:hRule="atLeast"/>
        </w:trPr>
        <w:tc>
          <w:tcPr>
            <w:tcW w:type="dxa" w:w="3249"/>
            <w:vAlign w:val="center"/>
          </w:tcPr>
          <w:p>
            <w:pPr>
              <w:spacing w:line="276" w:lineRule="auto" w:before="0" w:after="0"/>
            </w:pPr>
            <w:r/>
            <w:r>
              <w:rPr>
                <w:rFonts w:ascii="Figtree" w:hAnsi="Figtree"/>
                <w:b w:val="0"/>
                <w:i w:val="0"/>
                <w:sz w:val="20"/>
              </w:rPr>
              <w:t>Settlement failure cost avoidance</w:t>
            </w:r>
          </w:p>
        </w:tc>
        <w:tc>
          <w:tcPr>
            <w:tcW w:type="dxa" w:w="3249"/>
            <w:vAlign w:val="center"/>
          </w:tcPr>
          <w:p>
            <w:pPr>
              <w:spacing w:line="276" w:lineRule="auto" w:before="0" w:after="0"/>
            </w:pPr>
            <w:r/>
            <w:r>
              <w:rPr>
                <w:rFonts w:ascii="Figtree" w:hAnsi="Figtree"/>
                <w:b w:val="0"/>
                <w:i w:val="0"/>
                <w:sz w:val="20"/>
              </w:rPr>
              <w:t>Compliance enforcement prevents regulatory action from non-compliant transfers</w:t>
            </w:r>
          </w:p>
        </w:tc>
        <w:tc>
          <w:tcPr>
            <w:tcW w:type="dxa" w:w="3249"/>
            <w:vAlign w:val="center"/>
          </w:tcPr>
          <w:p>
            <w:pPr>
              <w:spacing w:line="276" w:lineRule="auto" w:before="0" w:after="0"/>
            </w:pPr>
            <w:r/>
            <w:r>
              <w:rPr>
                <w:rFonts w:ascii="Figtree" w:hAnsi="Figtree"/>
                <w:b w:val="0"/>
                <w:i w:val="0"/>
                <w:sz w:val="20"/>
              </w:rPr>
              <w:t>High — PSA enforcement actions carry material fines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labor savings</w:t>
            </w:r>
          </w:p>
        </w:tc>
        <w:tc>
          <w:tcPr>
            <w:tcW w:type="dxa" w:w="3249"/>
            <w:vAlign w:val="center"/>
          </w:tcPr>
          <w:p>
            <w:pPr>
              <w:spacing w:line="276" w:lineRule="auto" w:before="0" w:after="0"/>
            </w:pPr>
            <w:r/>
            <w:r>
              <w:rPr>
                <w:rFonts w:ascii="Figtree" w:hAnsi="Figtree"/>
                <w:b w:val="0"/>
                <w:i w:val="0"/>
                <w:sz w:val="20"/>
              </w:rPr>
              <w:t>Real-time chain indexer replaces manual reconciliation cycles</w:t>
            </w:r>
          </w:p>
        </w:tc>
        <w:tc>
          <w:tcPr>
            <w:tcW w:type="dxa" w:w="3249"/>
            <w:vAlign w:val="center"/>
          </w:tcPr>
          <w:p>
            <w:pPr>
              <w:spacing w:line="276" w:lineRule="auto" w:before="0" w:after="0"/>
            </w:pPr>
            <w:r/>
            <w:r>
              <w:rPr>
                <w:rFonts w:ascii="Figtree" w:hAnsi="Figtree"/>
                <w:b w:val="0"/>
                <w:i w:val="0"/>
                <w:sz w:val="20"/>
              </w:rPr>
              <w:t>Medium — depends on current reconciliation headcount</w:t>
            </w:r>
          </w:p>
        </w:tc>
      </w:tr>
      <w:tr>
        <w:trPr>
          <w:trHeight w:val="425" w:hRule="atLeast"/>
        </w:trPr>
        <w:tc>
          <w:tcPr>
            <w:tcW w:type="dxa" w:w="3249"/>
            <w:vAlign w:val="center"/>
          </w:tcPr>
          <w:p>
            <w:pPr>
              <w:spacing w:line="276" w:lineRule="auto" w:before="0" w:after="0"/>
            </w:pPr>
            <w:r/>
            <w:r>
              <w:rPr>
                <w:rFonts w:ascii="Figtree" w:hAnsi="Figtree"/>
                <w:b w:val="0"/>
                <w:i w:val="0"/>
                <w:sz w:val="20"/>
              </w:rPr>
              <w:t>Time to market</w:t>
            </w:r>
          </w:p>
        </w:tc>
        <w:tc>
          <w:tcPr>
            <w:tcW w:type="dxa" w:w="3249"/>
            <w:vAlign w:val="center"/>
          </w:tcPr>
          <w:p>
            <w:pPr>
              <w:spacing w:line="276" w:lineRule="auto" w:before="0" w:after="0"/>
            </w:pPr>
            <w:r/>
            <w:r>
              <w:rPr>
                <w:rFonts w:ascii="Figtree" w:hAnsi="Figtree"/>
                <w:b w:val="0"/>
                <w:i w:val="0"/>
                <w:sz w:val="20"/>
              </w:rPr>
              <w:t>19-week deployment vs multi-year in-house build</w:t>
            </w:r>
          </w:p>
        </w:tc>
        <w:tc>
          <w:tcPr>
            <w:tcW w:type="dxa" w:w="3249"/>
            <w:vAlign w:val="center"/>
          </w:tcPr>
          <w:p>
            <w:pPr>
              <w:spacing w:line="276" w:lineRule="auto" w:before="0" w:after="0"/>
            </w:pPr>
            <w:r/>
            <w:r>
              <w:rPr>
                <w:rFonts w:ascii="Figtree" w:hAnsi="Figtree"/>
                <w:b w:val="0"/>
                <w:i w:val="0"/>
                <w:sz w:val="20"/>
              </w:rPr>
              <w:t>High — enables revenue-generating cross-border settlement 2-3 years earlier</w:t>
            </w:r>
          </w:p>
        </w:tc>
      </w:tr>
      <w:tr>
        <w:trPr>
          <w:trHeight w:val="425" w:hRule="atLeast"/>
        </w:trPr>
        <w:tc>
          <w:tcPr>
            <w:tcW w:type="dxa" w:w="3249"/>
            <w:vAlign w:val="center"/>
          </w:tcPr>
          <w:p>
            <w:pPr>
              <w:spacing w:line="276" w:lineRule="auto" w:before="0" w:after="0"/>
            </w:pPr>
            <w:r/>
            <w:r>
              <w:rPr>
                <w:rFonts w:ascii="Figtree" w:hAnsi="Figtree"/>
                <w:b w:val="0"/>
                <w:i w:val="0"/>
                <w:sz w:val="20"/>
              </w:rPr>
              <w:t>Operational scalability</w:t>
            </w:r>
          </w:p>
        </w:tc>
        <w:tc>
          <w:tcPr>
            <w:tcW w:type="dxa" w:w="3249"/>
            <w:vAlign w:val="center"/>
          </w:tcPr>
          <w:p>
            <w:pPr>
              <w:spacing w:line="276" w:lineRule="auto" w:before="0" w:after="0"/>
            </w:pPr>
            <w:r/>
            <w:r>
              <w:rPr>
                <w:rFonts w:ascii="Figtree" w:hAnsi="Figtree"/>
                <w:b w:val="0"/>
                <w:i w:val="0"/>
                <w:sz w:val="20"/>
              </w:rPr>
              <w:t>Platform scales without additional engineering investment</w:t>
            </w:r>
          </w:p>
        </w:tc>
        <w:tc>
          <w:tcPr>
            <w:tcW w:type="dxa" w:w="3249"/>
            <w:vAlign w:val="center"/>
          </w:tcPr>
          <w:p>
            <w:pPr>
              <w:spacing w:line="276" w:lineRule="auto" w:before="0" w:after="0"/>
            </w:pPr>
            <w:r/>
            <w:r>
              <w:rPr>
                <w:rFonts w:ascii="Figtree" w:hAnsi="Figtree"/>
                <w:b w:val="0"/>
                <w:i w:val="0"/>
                <w:sz w:val="20"/>
              </w:rPr>
              <w:t>Medium-High — cross-border settlement volume growth is linear cost, not stepped</w:t>
            </w:r>
          </w:p>
        </w:tc>
      </w:tr>
    </w:tbl>
    <w:p>
      <w:pPr>
        <w:spacing w:before="0" w:after="0" w:line="120" w:lineRule="exact"/>
      </w:pPr>
    </w:p>
    <w:p>
      <w:r>
        <w:br w:type="page"/>
      </w:r>
    </w:p>
    <w:p>
      <w:pPr>
        <w:pStyle w:val="H2"/>
        <w:numPr>
          <w:ilvl w:val="1"/>
          <w:numId w:val="1"/>
        </w:numPr>
      </w:pPr>
      <w:r>
        <w:t>Payment Terms and Conditions</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9"/>
        <w:gridCol w:w="5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Payment Timing</w:t>
            </w:r>
          </w:p>
        </w:tc>
      </w:tr>
      <w:tr>
        <w:trPr>
          <w:trHeight w:val="425" w:hRule="atLeast"/>
        </w:trPr>
        <w:tc>
          <w:tcPr>
            <w:tcW w:type="dxa" w:w="4873"/>
            <w:vAlign w:val="center"/>
          </w:tcPr>
          <w:p>
            <w:pPr>
              <w:spacing w:line="276" w:lineRule="auto" w:before="0" w:after="0"/>
            </w:pPr>
            <w:r/>
            <w:r>
              <w:rPr>
                <w:rFonts w:ascii="Figtree" w:hAnsi="Figtree"/>
                <w:b w:val="0"/>
                <w:i w:val="0"/>
                <w:sz w:val="20"/>
              </w:rPr>
              <w:t>Annual License Fee (Year 1)</w:t>
            </w:r>
          </w:p>
        </w:tc>
        <w:tc>
          <w:tcPr>
            <w:tcW w:type="dxa" w:w="4873"/>
            <w:vAlign w:val="center"/>
          </w:tcPr>
          <w:p>
            <w:pPr>
              <w:spacing w:line="276" w:lineRule="auto" w:before="0" w:after="0"/>
            </w:pPr>
            <w:r/>
            <w:r>
              <w:rPr>
                <w:rFonts w:ascii="Figtree" w:hAnsi="Figtree"/>
                <w:b w:val="0"/>
                <w:i w:val="0"/>
                <w:sz w:val="20"/>
              </w:rPr>
              <w:t>Due upon contract execution (upfront)</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Milestone-based billing per Phase completion</w:t>
            </w:r>
          </w:p>
        </w:tc>
      </w:tr>
      <w:tr>
        <w:trPr>
          <w:trHeight w:val="425" w:hRule="atLeast"/>
        </w:trPr>
        <w:tc>
          <w:tcPr>
            <w:tcW w:type="dxa" w:w="4873"/>
            <w:vAlign w:val="center"/>
          </w:tcPr>
          <w:p>
            <w:pPr>
              <w:spacing w:line="276" w:lineRule="auto" w:before="0" w:after="0"/>
            </w:pPr>
            <w:r/>
            <w:r>
              <w:rPr>
                <w:rFonts w:ascii="Figtree" w:hAnsi="Figtree"/>
                <w:b w:val="0"/>
                <w:i w:val="0"/>
                <w:sz w:val="20"/>
              </w:rPr>
              <w:t>Annual License Renewal</w:t>
            </w:r>
          </w:p>
        </w:tc>
        <w:tc>
          <w:tcPr>
            <w:tcW w:type="dxa" w:w="4873"/>
            <w:vAlign w:val="center"/>
          </w:tcPr>
          <w:p>
            <w:pPr>
              <w:spacing w:line="276" w:lineRule="auto" w:before="0" w:after="0"/>
            </w:pPr>
            <w:r/>
            <w:r>
              <w:rPr>
                <w:rFonts w:ascii="Figtree" w:hAnsi="Figtree"/>
                <w:b w:val="0"/>
                <w:i w:val="0"/>
                <w:sz w:val="20"/>
              </w:rPr>
              <w:t>Upfront at each anniversary date</w:t>
            </w:r>
          </w:p>
        </w:tc>
      </w:tr>
    </w:tbl>
    <w:p>
      <w:pPr>
        <w:spacing w:before="0" w:after="0" w:line="120" w:lineRule="exact"/>
      </w:pPr>
    </w:p>
    <w:p>
      <w:pPr>
        <w:pStyle w:val="H3"/>
        <w:numPr>
          <w:ilvl w:val="2"/>
          <w:numId w:val="1"/>
        </w:numPr>
      </w:pPr>
      <w:r>
        <w:t>Payment Conditions</w:t>
      </w:r>
    </w:p>
    <w:p>
      <w:pPr>
        <w:pStyle w:val="ListParagraph"/>
        <w:numPr>
          <w:ilvl w:val="0"/>
          <w:numId w:val="4"/>
        </w:numPr>
      </w:pPr>
      <w:r>
        <w:rPr>
          <w:rFonts w:ascii="Figtree" w:hAnsi="Figtree"/>
          <w:b w:val="0"/>
          <w:i w:val="0"/>
          <w:sz w:val="22"/>
        </w:rPr>
        <w:t>All fees are invoiced in EUR</w:t>
      </w:r>
    </w:p>
    <w:p>
      <w:pPr>
        <w:pStyle w:val="ListParagraph"/>
        <w:numPr>
          <w:ilvl w:val="0"/>
          <w:numId w:val="4"/>
        </w:numPr>
      </w:pPr>
      <w:r>
        <w:rPr>
          <w:rFonts w:ascii="Figtree" w:hAnsi="Figtree"/>
          <w:b w:val="0"/>
          <w:i w:val="0"/>
          <w:sz w:val="22"/>
        </w:rPr>
        <w:t>Payment due within 30 days of invoice date</w:t>
      </w:r>
    </w:p>
    <w:p>
      <w:pPr>
        <w:pStyle w:val="ListParagraph"/>
        <w:numPr>
          <w:ilvl w:val="0"/>
          <w:numId w:val="4"/>
        </w:numPr>
      </w:pPr>
      <w:r>
        <w:rPr>
          <w:rFonts w:ascii="Figtree" w:hAnsi="Figtree"/>
          <w:b w:val="0"/>
          <w:i w:val="0"/>
          <w:sz w:val="22"/>
        </w:rPr>
        <w:t>All fees exclude applicable taxes and VAT; taxes added based on applicable jurisdiction</w:t>
      </w:r>
    </w:p>
    <w:p>
      <w:pPr>
        <w:pStyle w:val="ListParagraph"/>
        <w:numPr>
          <w:ilvl w:val="0"/>
          <w:numId w:val="4"/>
        </w:numPr>
      </w:pPr>
      <w:r>
        <w:rPr>
          <w:rFonts w:ascii="Figtree" w:hAnsi="Figtree"/>
          <w:b w:val="0"/>
          <w:i w:val="0"/>
          <w:sz w:val="22"/>
        </w:rPr>
        <w:t>No monthly installment option for license fees</w:t>
      </w:r>
    </w:p>
    <w:p>
      <w:pPr>
        <w:pStyle w:val="ListParagraph"/>
        <w:numPr>
          <w:ilvl w:val="0"/>
          <w:numId w:val="4"/>
        </w:numPr>
      </w:pPr>
      <w:r>
        <w:rPr>
          <w:rFonts w:ascii="Figtree" w:hAnsi="Figtree"/>
          <w:b w:val="0"/>
          <w:i w:val="0"/>
          <w:sz w:val="22"/>
        </w:rPr>
        <w:t>License activation contingent on receipt of Year 1 payment</w:t>
      </w:r>
    </w:p>
    <w:p>
      <w:pPr>
        <w:pStyle w:val="H3"/>
        <w:numPr>
          <w:ilvl w:val="2"/>
          <w:numId w:val="1"/>
        </w:numPr>
      </w:pPr>
      <w:r>
        <w:t>Governing Law and Dispute Resolution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65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Singapore (for APAC-region clients) or Belgium (as applicable)</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Singapore International Arbitration Centre (SIAC) rules</w:t>
            </w:r>
          </w:p>
        </w:tc>
      </w:tr>
      <w:tr>
        <w:trPr>
          <w:trHeight w:val="425" w:hRule="atLeast"/>
        </w:trPr>
        <w:tc>
          <w:tcPr>
            <w:tcW w:type="dxa" w:w="4873"/>
            <w:vAlign w:val="center"/>
          </w:tcPr>
          <w:p>
            <w:pPr>
              <w:spacing w:line="276" w:lineRule="auto" w:before="0" w:after="0"/>
            </w:pPr>
            <w:r/>
            <w:r>
              <w:rPr>
                <w:rFonts w:ascii="Figtree" w:hAnsi="Figtree"/>
                <w:b w:val="0"/>
                <w:i w:val="0"/>
                <w:sz w:val="20"/>
              </w:rPr>
              <w:t>Jurisdiction</w:t>
            </w:r>
          </w:p>
        </w:tc>
        <w:tc>
          <w:tcPr>
            <w:tcW w:type="dxa" w:w="4873"/>
            <w:vAlign w:val="center"/>
          </w:tcPr>
          <w:p>
            <w:pPr>
              <w:spacing w:line="276" w:lineRule="auto" w:before="0" w:after="0"/>
            </w:pPr>
            <w:r/>
            <w:r>
              <w:rPr>
                <w:rFonts w:ascii="Figtree" w:hAnsi="Figtree"/>
                <w:b w:val="0"/>
                <w:i w:val="0"/>
                <w:sz w:val="20"/>
              </w:rPr>
              <w:t>Singapore courts have non-exclusive jurisdiction</w:t>
            </w:r>
          </w:p>
        </w:tc>
      </w:tr>
      <w:tr>
        <w:trPr>
          <w:trHeight w:val="425" w:hRule="atLeast"/>
        </w:trPr>
        <w:tc>
          <w:tcPr>
            <w:tcW w:type="dxa" w:w="4873"/>
            <w:vAlign w:val="center"/>
          </w:tcPr>
          <w:p>
            <w:pPr>
              <w:spacing w:line="276" w:lineRule="auto" w:before="0" w:after="0"/>
            </w:pPr>
            <w:r/>
            <w:r>
              <w:rPr>
                <w:rFonts w:ascii="Figtree" w:hAnsi="Figtree"/>
                <w:b w:val="0"/>
                <w:i w:val="0"/>
                <w:sz w:val="20"/>
              </w:rPr>
              <w:t>Force Majeure</w:t>
            </w:r>
          </w:p>
        </w:tc>
        <w:tc>
          <w:tcPr>
            <w:tcW w:type="dxa" w:w="4873"/>
            <w:vAlign w:val="center"/>
          </w:tcPr>
          <w:p>
            <w:pPr>
              <w:spacing w:line="276" w:lineRule="auto" w:before="0" w:after="0"/>
            </w:pPr>
            <w:r/>
            <w:r>
              <w:rPr>
                <w:rFonts w:ascii="Figtree" w:hAnsi="Figtree"/>
                <w:b w:val="0"/>
                <w:i w:val="0"/>
                <w:sz w:val="20"/>
              </w:rPr>
              <w:t>Standard force majeure provisions apply (detailed in MSA)</w:t>
            </w:r>
          </w:p>
        </w:tc>
      </w:tr>
    </w:tbl>
    <w:p>
      <w:pPr>
        <w:spacing w:before="0" w:after="0" w:line="120" w:lineRule="exact"/>
      </w:pPr>
    </w:p>
    <w:p>
      <w:r>
        <w:br w:type="page"/>
      </w:r>
    </w:p>
    <w:p>
      <w:pPr>
        <w:pStyle w:val="H2"/>
        <w:numPr>
          <w:ilvl w:val="1"/>
          <w:numId w:val="1"/>
        </w:numPr>
      </w:pPr>
      <w:r>
        <w:t>Commercial Assumptions and Exclusions</w:t>
      </w:r>
    </w:p>
    <w:p>
      <w:pPr>
        <w:pStyle w:val="H3"/>
        <w:numPr>
          <w:ilvl w:val="2"/>
          <w:numId w:val="1"/>
        </w:numPr>
      </w:pPr>
      <w:r>
        <w:t>Assumptions</w:t>
      </w:r>
    </w:p>
    <w:p>
      <w:r>
        <w:rPr>
          <w:rFonts w:ascii="Figtree" w:hAnsi="Figtree"/>
          <w:b w:val="0"/>
          <w:i w:val="0"/>
          <w:sz w:val="22"/>
        </w:rPr>
        <w:t>All commercial figures in this proposal are based on the following assumptions. Material changes to assumptions will require revised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4"/>
        <w:gridCol w:w="70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Managed SaaS, Singapore data residency</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1 Production + 1 Development</w:t>
            </w:r>
          </w:p>
        </w:tc>
      </w:tr>
      <w:tr>
        <w:trPr>
          <w:trHeight w:val="425" w:hRule="atLeast"/>
        </w:trPr>
        <w:tc>
          <w:tcPr>
            <w:tcW w:type="dxa" w:w="4873"/>
            <w:vAlign w:val="center"/>
          </w:tcPr>
          <w:p>
            <w:pPr>
              <w:spacing w:line="276" w:lineRule="auto" w:before="0" w:after="0"/>
            </w:pPr>
            <w:r/>
            <w:r>
              <w:rPr>
                <w:rFonts w:ascii="Figtree" w:hAnsi="Figtree"/>
                <w:b w:val="0"/>
                <w:i w:val="0"/>
                <w:sz w:val="20"/>
              </w:rPr>
              <w:t>Asset types</w:t>
            </w:r>
          </w:p>
        </w:tc>
        <w:tc>
          <w:tcPr>
            <w:tcW w:type="dxa" w:w="4873"/>
            <w:vAlign w:val="center"/>
          </w:tcPr>
          <w:p>
            <w:pPr>
              <w:spacing w:line="276" w:lineRule="auto" w:before="0" w:after="0"/>
            </w:pPr>
            <w:r/>
            <w:r>
              <w:rPr>
                <w:rFonts w:ascii="Figtree" w:hAnsi="Figtree"/>
                <w:b w:val="0"/>
                <w:i w:val="0"/>
                <w:sz w:val="20"/>
              </w:rPr>
              <w:t>Tokenized cross-border settlement instruments (stablecoin/deposit type)</w:t>
            </w:r>
          </w:p>
        </w:tc>
      </w:tr>
      <w:tr>
        <w:trPr>
          <w:trHeight w:val="425" w:hRule="atLeast"/>
        </w:trPr>
        <w:tc>
          <w:tcPr>
            <w:tcW w:type="dxa" w:w="4873"/>
            <w:vAlign w:val="center"/>
          </w:tcPr>
          <w:p>
            <w:pPr>
              <w:spacing w:line="276" w:lineRule="auto" w:before="0" w:after="0"/>
            </w:pPr>
            <w:r/>
            <w:r>
              <w:rPr>
                <w:rFonts w:ascii="Figtree" w:hAnsi="Figtree"/>
                <w:b w:val="0"/>
                <w:i w:val="0"/>
                <w:sz w:val="20"/>
              </w:rPr>
              <w:t>Integration scope</w:t>
            </w:r>
          </w:p>
        </w:tc>
        <w:tc>
          <w:tcPr>
            <w:tcW w:type="dxa" w:w="4873"/>
            <w:vAlign w:val="center"/>
          </w:tcPr>
          <w:p>
            <w:pPr>
              <w:spacing w:line="276" w:lineRule="auto" w:before="0" w:after="0"/>
            </w:pPr>
            <w:r/>
            <w:r>
              <w:rPr>
                <w:rFonts w:ascii="Figtree" w:hAnsi="Figtree"/>
                <w:b w:val="0"/>
                <w:i w:val="0"/>
                <w:sz w:val="20"/>
              </w:rPr>
              <w:t>GL, treasury, payment rails, KYC provider, observability (standard scope)</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Enterprise (24/7/365)</w:t>
            </w:r>
          </w:p>
        </w:tc>
      </w:tr>
      <w:tr>
        <w:trPr>
          <w:trHeight w:val="425" w:hRule="atLeast"/>
        </w:trPr>
        <w:tc>
          <w:tcPr>
            <w:tcW w:type="dxa" w:w="4873"/>
            <w:vAlign w:val="center"/>
          </w:tcPr>
          <w:p>
            <w:pPr>
              <w:spacing w:line="276" w:lineRule="auto" w:before="0" w:after="0"/>
            </w:pPr>
            <w:r/>
            <w:r>
              <w:rPr>
                <w:rFonts w:ascii="Figtree" w:hAnsi="Figtree"/>
                <w:b w:val="0"/>
                <w:i w:val="0"/>
                <w:sz w:val="20"/>
              </w:rPr>
              <w:t>Timeline</w:t>
            </w:r>
          </w:p>
        </w:tc>
        <w:tc>
          <w:tcPr>
            <w:tcW w:type="dxa" w:w="4873"/>
            <w:vAlign w:val="center"/>
          </w:tcPr>
          <w:p>
            <w:pPr>
              <w:spacing w:line="276" w:lineRule="auto" w:before="0" w:after="0"/>
            </w:pPr>
            <w:r/>
            <w:r>
              <w:rPr>
                <w:rFonts w:ascii="Figtree" w:hAnsi="Figtree"/>
                <w:b w:val="0"/>
                <w:i w:val="0"/>
                <w:sz w:val="20"/>
              </w:rPr>
              <w:t>Standard 19-week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Regulatory scope</w:t>
            </w:r>
          </w:p>
        </w:tc>
        <w:tc>
          <w:tcPr>
            <w:tcW w:type="dxa" w:w="4873"/>
            <w:vAlign w:val="center"/>
          </w:tcPr>
          <w:p>
            <w:pPr>
              <w:spacing w:line="276" w:lineRule="auto" w:before="0" w:after="0"/>
            </w:pPr>
            <w:r/>
            <w:r>
              <w:rPr>
                <w:rFonts w:ascii="Figtree" w:hAnsi="Figtree"/>
                <w:b w:val="0"/>
                <w:i w:val="0"/>
                <w:sz w:val="20"/>
              </w:rPr>
              <w:t>MAS PSA / TRM compliance (Singapore primary); cross-border corridors to be scoped</w:t>
            </w:r>
          </w:p>
        </w:tc>
      </w:tr>
    </w:tbl>
    <w:p>
      <w:pPr>
        <w:spacing w:before="0" w:after="0" w:line="120" w:lineRule="exact"/>
      </w:pPr>
    </w:p>
    <w:p>
      <w:pPr>
        <w:pStyle w:val="H3"/>
        <w:numPr>
          <w:ilvl w:val="2"/>
          <w:numId w:val="1"/>
        </w:numPr>
      </w:pPr>
      <w:r>
        <w:t>Exclusions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06"/>
        <w:gridCol w:w="59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Excluded Item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modules</w:t>
            </w:r>
          </w:p>
        </w:tc>
        <w:tc>
          <w:tcPr>
            <w:tcW w:type="dxa" w:w="4873"/>
            <w:vAlign w:val="center"/>
          </w:tcPr>
          <w:p>
            <w:pPr>
              <w:spacing w:line="276" w:lineRule="auto" w:before="0" w:after="0"/>
            </w:pPr>
            <w:r/>
            <w:r>
              <w:rPr>
                <w:rFonts w:ascii="Figtree" w:hAnsi="Figtree"/>
                <w:b w:val="0"/>
                <w:i w:val="0"/>
                <w:sz w:val="20"/>
              </w:rPr>
              <w:t>Modules outside the 18-module standard catalog require additional scoping</w:t>
            </w:r>
          </w:p>
        </w:tc>
      </w:tr>
      <w:tr>
        <w:trPr>
          <w:trHeight w:val="425" w:hRule="atLeast"/>
        </w:trPr>
        <w:tc>
          <w:tcPr>
            <w:tcW w:type="dxa" w:w="4873"/>
            <w:vAlign w:val="center"/>
          </w:tcPr>
          <w:p>
            <w:pPr>
              <w:spacing w:line="276" w:lineRule="auto" w:before="0" w:after="0"/>
            </w:pPr>
            <w:r/>
            <w:r>
              <w:rPr>
                <w:rFonts w:ascii="Figtree" w:hAnsi="Figtree"/>
                <w:b w:val="0"/>
                <w:i w:val="0"/>
                <w:sz w:val="20"/>
              </w:rPr>
              <w:t>Custom smart contract development</w:t>
            </w:r>
          </w:p>
        </w:tc>
        <w:tc>
          <w:tcPr>
            <w:tcW w:type="dxa" w:w="4873"/>
            <w:vAlign w:val="center"/>
          </w:tcPr>
          <w:p>
            <w:pPr>
              <w:spacing w:line="276" w:lineRule="auto" w:before="0" w:after="0"/>
            </w:pPr>
            <w:r/>
            <w:r>
              <w:rPr>
                <w:rFonts w:ascii="Figtree" w:hAnsi="Figtree"/>
                <w:b w:val="0"/>
                <w:i w:val="0"/>
                <w:sz w:val="20"/>
              </w:rPr>
              <w:t>Platform is delivered as-configured; no custom contract code</w:t>
            </w:r>
          </w:p>
        </w:tc>
      </w:tr>
      <w:tr>
        <w:trPr>
          <w:trHeight w:val="425" w:hRule="atLeast"/>
        </w:trPr>
        <w:tc>
          <w:tcPr>
            <w:tcW w:type="dxa" w:w="4873"/>
            <w:vAlign w:val="center"/>
          </w:tcPr>
          <w:p>
            <w:pPr>
              <w:spacing w:line="276" w:lineRule="auto" w:before="0" w:after="0"/>
            </w:pPr>
            <w:r/>
            <w:r>
              <w:rPr>
                <w:rFonts w:ascii="Figtree" w:hAnsi="Figtree"/>
                <w:b w:val="0"/>
                <w:i w:val="0"/>
                <w:sz w:val="20"/>
              </w:rPr>
              <w:t>Third-party provider fees</w:t>
            </w:r>
          </w:p>
        </w:tc>
        <w:tc>
          <w:tcPr>
            <w:tcW w:type="dxa" w:w="4873"/>
            <w:vAlign w:val="center"/>
          </w:tcPr>
          <w:p>
            <w:pPr>
              <w:spacing w:line="276" w:lineRule="auto" w:before="0" w:after="0"/>
            </w:pPr>
            <w:r/>
            <w:r>
              <w:rPr>
                <w:rFonts w:ascii="Figtree" w:hAnsi="Figtree"/>
                <w:b w:val="0"/>
                <w:i w:val="0"/>
                <w:sz w:val="20"/>
              </w:rPr>
              <w:t>Custody (Fireblocks/DFNS), KYC/KYB, sanctions screening — all direct client contracts</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 costs</w:t>
            </w:r>
          </w:p>
        </w:tc>
        <w:tc>
          <w:tcPr>
            <w:tcW w:type="dxa" w:w="4873"/>
            <w:vAlign w:val="center"/>
          </w:tcPr>
          <w:p>
            <w:pPr>
              <w:spacing w:line="276" w:lineRule="auto" w:before="0" w:after="0"/>
            </w:pPr>
            <w:r/>
            <w:r>
              <w:rPr>
                <w:rFonts w:ascii="Figtree" w:hAnsi="Figtree"/>
                <w:b w:val="0"/>
                <w:i w:val="0"/>
                <w:sz w:val="20"/>
              </w:rPr>
              <w:t>Passed through at AWS cost; not marked up</w:t>
            </w:r>
          </w:p>
        </w:tc>
      </w:tr>
      <w:tr>
        <w:trPr>
          <w:trHeight w:val="425" w:hRule="atLeast"/>
        </w:trPr>
        <w:tc>
          <w:tcPr>
            <w:tcW w:type="dxa" w:w="4873"/>
            <w:vAlign w:val="center"/>
          </w:tcPr>
          <w:p>
            <w:pPr>
              <w:spacing w:line="276" w:lineRule="auto" w:before="0" w:after="0"/>
            </w:pPr>
            <w:r/>
            <w:r>
              <w:rPr>
                <w:rFonts w:ascii="Figtree" w:hAnsi="Figtree"/>
                <w:b w:val="0"/>
                <w:i w:val="0"/>
                <w:sz w:val="20"/>
              </w:rPr>
              <w:t>Legal and regulatory advisory</w:t>
            </w:r>
          </w:p>
        </w:tc>
        <w:tc>
          <w:tcPr>
            <w:tcW w:type="dxa" w:w="4873"/>
            <w:vAlign w:val="center"/>
          </w:tcPr>
          <w:p>
            <w:pPr>
              <w:spacing w:line="276" w:lineRule="auto" w:before="0" w:after="0"/>
            </w:pPr>
            <w:r/>
            <w:r>
              <w:rPr>
                <w:rFonts w:ascii="Figtree" w:hAnsi="Figtree"/>
                <w:b w:val="0"/>
                <w:i w:val="0"/>
                <w:sz w:val="20"/>
              </w:rPr>
              <w:t>SettleMint provides technical compliance documentation; legal advice is client responsibility</w:t>
            </w:r>
          </w:p>
        </w:tc>
      </w:tr>
      <w:tr>
        <w:trPr>
          <w:trHeight w:val="425" w:hRule="atLeast"/>
        </w:trPr>
        <w:tc>
          <w:tcPr>
            <w:tcW w:type="dxa" w:w="4873"/>
            <w:vAlign w:val="center"/>
          </w:tcPr>
          <w:p>
            <w:pPr>
              <w:spacing w:line="276" w:lineRule="auto" w:before="0" w:after="0"/>
            </w:pPr>
            <w:r/>
            <w:r>
              <w:rPr>
                <w:rFonts w:ascii="Figtree" w:hAnsi="Figtree"/>
                <w:b w:val="0"/>
                <w:i w:val="0"/>
                <w:sz w:val="20"/>
              </w:rPr>
              <w:t>Multi-jurisdiction expansion beyond Singapore</w:t>
            </w:r>
          </w:p>
        </w:tc>
        <w:tc>
          <w:tcPr>
            <w:tcW w:type="dxa" w:w="4873"/>
            <w:vAlign w:val="center"/>
          </w:tcPr>
          <w:p>
            <w:pPr>
              <w:spacing w:line="276" w:lineRule="auto" w:before="0" w:after="0"/>
            </w:pPr>
            <w:r/>
            <w:r>
              <w:rPr>
                <w:rFonts w:ascii="Figtree" w:hAnsi="Figtree"/>
                <w:b w:val="0"/>
                <w:i w:val="0"/>
                <w:sz w:val="20"/>
              </w:rPr>
              <w:t>Additional jurisdictions may require additional compliance module configuration (scoped separately)</w:t>
            </w:r>
          </w:p>
        </w:tc>
      </w:tr>
    </w:tbl>
    <w:p>
      <w:pPr>
        <w:spacing w:before="0" w:after="0" w:line="120" w:lineRule="exact"/>
      </w:pPr>
    </w:p>
    <w:p>
      <w:r>
        <w:br w:type="page"/>
      </w:r>
    </w:p>
    <w:p>
      <w:pPr>
        <w:pStyle w:val="H2"/>
        <w:numPr>
          <w:ilvl w:val="1"/>
          <w:numId w:val="1"/>
        </w:numPr>
      </w:pPr>
      <w:r>
        <w:t>Proposal Validity and Next Steps</w:t>
      </w:r>
    </w:p>
    <w:p>
      <w:pPr>
        <w:pStyle w:val="H3"/>
        <w:numPr>
          <w:ilvl w:val="2"/>
          <w:numId w:val="1"/>
        </w:numPr>
      </w:pPr>
      <w:r>
        <w:t>Proposal Validity</w:t>
      </w:r>
    </w:p>
    <w:p>
      <w:r>
        <w:rPr>
          <w:rFonts w:ascii="Figtree" w:hAnsi="Figtree"/>
          <w:b w:val="0"/>
          <w:i w:val="0"/>
          <w:sz w:val="22"/>
        </w:rPr>
        <w:t>This commercial proposal is valid for 60 days from the date above (until 20 May 2026). License pricing is fixed at the rates stated. Implementation fees remain subject to formal scoping confirmation.</w:t>
      </w:r>
    </w:p>
    <w:p>
      <w:pPr>
        <w:pStyle w:val="H3"/>
        <w:numPr>
          <w:ilvl w:val="2"/>
          <w:numId w:val="1"/>
        </w:numPr>
      </w:pPr>
      <w:r>
        <w:t>Recommended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03"/>
        <w:gridCol w:w="1879"/>
        <w:gridCol w:w="22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3249"/>
            <w:vAlign w:val="center"/>
          </w:tcPr>
          <w:p>
            <w:pPr>
              <w:spacing w:line="276" w:lineRule="auto" w:before="0" w:after="0"/>
            </w:pPr>
            <w:r/>
            <w:r>
              <w:rPr>
                <w:rFonts w:ascii="Figtree" w:hAnsi="Figtree"/>
                <w:b w:val="0"/>
                <w:i w:val="0"/>
                <w:sz w:val="20"/>
              </w:rPr>
              <w:t>1. Evaluation questions and clarifications</w:t>
            </w:r>
          </w:p>
        </w:tc>
        <w:tc>
          <w:tcPr>
            <w:tcW w:type="dxa" w:w="3249"/>
            <w:vAlign w:val="center"/>
          </w:tcPr>
          <w:p>
            <w:pPr>
              <w:spacing w:line="276" w:lineRule="auto" w:before="0" w:after="0"/>
            </w:pPr>
            <w:r/>
            <w:r>
              <w:rPr>
                <w:rFonts w:ascii="Figtree" w:hAnsi="Figtree"/>
                <w:b w:val="0"/>
                <w:i w:val="0"/>
                <w:sz w:val="20"/>
              </w:rPr>
              <w:t>Airwallex to SettleMint</w:t>
            </w:r>
          </w:p>
        </w:tc>
        <w:tc>
          <w:tcPr>
            <w:tcW w:type="dxa" w:w="3249"/>
            <w:vAlign w:val="center"/>
          </w:tcPr>
          <w:p>
            <w:pPr>
              <w:spacing w:line="276" w:lineRule="auto" w:before="0" w:after="0"/>
            </w:pPr>
            <w:r/>
            <w:r>
              <w:rPr>
                <w:rFonts w:ascii="Figtree" w:hAnsi="Figtree"/>
                <w:b w:val="0"/>
                <w:i w:val="0"/>
                <w:sz w:val="20"/>
              </w:rPr>
              <w:t>Within 2 weeks of receipt</w:t>
            </w:r>
          </w:p>
        </w:tc>
      </w:tr>
      <w:tr>
        <w:trPr>
          <w:trHeight w:val="425" w:hRule="atLeast"/>
        </w:trPr>
        <w:tc>
          <w:tcPr>
            <w:tcW w:type="dxa" w:w="3249"/>
            <w:vAlign w:val="center"/>
          </w:tcPr>
          <w:p>
            <w:pPr>
              <w:spacing w:line="276" w:lineRule="auto" w:before="0" w:after="0"/>
            </w:pPr>
            <w:r/>
            <w:r>
              <w:rPr>
                <w:rFonts w:ascii="Figtree" w:hAnsi="Figtree"/>
                <w:b w:val="0"/>
                <w:i w:val="0"/>
                <w:sz w:val="20"/>
              </w:rPr>
              <w:t>2. Reference client calls (under NDA)</w:t>
            </w:r>
          </w:p>
        </w:tc>
        <w:tc>
          <w:tcPr>
            <w:tcW w:type="dxa" w:w="3249"/>
            <w:vAlign w:val="center"/>
          </w:tcPr>
          <w:p>
            <w:pPr>
              <w:spacing w:line="276" w:lineRule="auto" w:before="0" w:after="0"/>
            </w:pPr>
            <w:r/>
            <w:r>
              <w:rPr>
                <w:rFonts w:ascii="Figtree" w:hAnsi="Figtree"/>
                <w:b w:val="0"/>
                <w:i w:val="0"/>
                <w:sz w:val="20"/>
              </w:rPr>
              <w:t>SettleMint to arrange</w:t>
            </w:r>
          </w:p>
        </w:tc>
        <w:tc>
          <w:tcPr>
            <w:tcW w:type="dxa" w:w="3249"/>
            <w:vAlign w:val="center"/>
          </w:tcPr>
          <w:p>
            <w:pPr>
              <w:spacing w:line="276" w:lineRule="auto" w:before="0" w:after="0"/>
            </w:pPr>
            <w:r/>
            <w:r>
              <w:rPr>
                <w:rFonts w:ascii="Figtree" w:hAnsi="Figtree"/>
                <w:b w:val="0"/>
                <w:i w:val="0"/>
                <w:sz w:val="20"/>
              </w:rPr>
              <w:t>Upon request</w:t>
            </w:r>
          </w:p>
        </w:tc>
      </w:tr>
      <w:tr>
        <w:trPr>
          <w:trHeight w:val="425" w:hRule="atLeast"/>
        </w:trPr>
        <w:tc>
          <w:tcPr>
            <w:tcW w:type="dxa" w:w="3249"/>
            <w:vAlign w:val="center"/>
          </w:tcPr>
          <w:p>
            <w:pPr>
              <w:spacing w:line="276" w:lineRule="auto" w:before="0" w:after="0"/>
            </w:pPr>
            <w:r/>
            <w:r>
              <w:rPr>
                <w:rFonts w:ascii="Figtree" w:hAnsi="Figtree"/>
                <w:b w:val="0"/>
                <w:i w:val="0"/>
                <w:sz w:val="20"/>
              </w:rPr>
              <w:t>3. Commercial scoping call (implementation fee confirmation)</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4. Technical deep-dive / architecture review</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5. Legal review of Master Services Agreement</w:t>
            </w:r>
          </w:p>
        </w:tc>
        <w:tc>
          <w:tcPr>
            <w:tcW w:type="dxa" w:w="3249"/>
            <w:vAlign w:val="center"/>
          </w:tcPr>
          <w:p>
            <w:pPr>
              <w:spacing w:line="276" w:lineRule="auto" w:before="0" w:after="0"/>
            </w:pPr>
            <w:r/>
            <w:r>
              <w:rPr>
                <w:rFonts w:ascii="Figtree" w:hAnsi="Figtree"/>
                <w:b w:val="0"/>
                <w:i w:val="0"/>
                <w:sz w:val="20"/>
              </w:rPr>
              <w:t>Both legal teams</w:t>
            </w:r>
          </w:p>
        </w:tc>
        <w:tc>
          <w:tcPr>
            <w:tcW w:type="dxa" w:w="3249"/>
            <w:vAlign w:val="center"/>
          </w:tcPr>
          <w:p>
            <w:pPr>
              <w:spacing w:line="276" w:lineRule="auto" w:before="0" w:after="0"/>
            </w:pPr>
            <w:r/>
            <w:r>
              <w:rPr>
                <w:rFonts w:ascii="Figtree" w:hAnsi="Figtree"/>
                <w:b w:val="0"/>
                <w:i w:val="0"/>
                <w:sz w:val="20"/>
              </w:rPr>
              <w:t>Week 4-6</w:t>
            </w:r>
          </w:p>
        </w:tc>
      </w:tr>
      <w:tr>
        <w:trPr>
          <w:trHeight w:val="425" w:hRule="atLeast"/>
        </w:trPr>
        <w:tc>
          <w:tcPr>
            <w:tcW w:type="dxa" w:w="3249"/>
            <w:vAlign w:val="center"/>
          </w:tcPr>
          <w:p>
            <w:pPr>
              <w:spacing w:line="276" w:lineRule="auto" w:before="0" w:after="0"/>
            </w:pPr>
            <w:r/>
            <w:r>
              <w:rPr>
                <w:rFonts w:ascii="Figtree" w:hAnsi="Figtree"/>
                <w:b w:val="0"/>
                <w:i w:val="0"/>
                <w:sz w:val="20"/>
              </w:rPr>
              <w:t>6. Contract execution and Year 1 license payment</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Upon agreement</w:t>
            </w:r>
          </w:p>
        </w:tc>
      </w:tr>
      <w:tr>
        <w:trPr>
          <w:trHeight w:val="425" w:hRule="atLeast"/>
        </w:trPr>
        <w:tc>
          <w:tcPr>
            <w:tcW w:type="dxa" w:w="3249"/>
            <w:vAlign w:val="center"/>
          </w:tcPr>
          <w:p>
            <w:pPr>
              <w:spacing w:line="276" w:lineRule="auto" w:before="0" w:after="0"/>
            </w:pPr>
            <w:r/>
            <w:r>
              <w:rPr>
                <w:rFonts w:ascii="Figtree" w:hAnsi="Figtree"/>
                <w:b w:val="0"/>
                <w:i w:val="0"/>
                <w:sz w:val="20"/>
              </w:rPr>
              <w:t>7. Implementation kickoff</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Following contract execution</w:t>
            </w:r>
          </w:p>
        </w:tc>
      </w:tr>
    </w:tbl>
    <w:p>
      <w:pPr>
        <w:spacing w:before="0" w:after="0" w:line="120" w:lineRule="exact"/>
      </w:pPr>
    </w:p>
    <w:p>
      <w:pPr>
        <w:pStyle w:val="H3"/>
        <w:numPr>
          <w:ilvl w:val="2"/>
          <w:numId w:val="1"/>
        </w:numPr>
      </w:pPr>
      <w:r>
        <w:t>SettleMint Commercial Contact</w:t>
      </w:r>
    </w:p>
    <w:p>
      <w:r>
        <w:rPr>
          <w:rFonts w:ascii="Figtree" w:hAnsi="Figtree"/>
          <w:b w:val="0"/>
          <w:i w:val="0"/>
          <w:sz w:val="22"/>
        </w:rPr>
        <w:t>For all commercial queries related to this proposal, please contact SettleMint's Singapore-region commercial team. Contact details provided under separate cover.</w:t>
      </w:r>
    </w:p>
    <w:p>
      <w:r>
        <w:br w:type="page"/>
      </w:r>
    </w:p>
    <w:p>
      <w:r>
        <w:rPr>
          <w:rFonts w:ascii="Figtree" w:hAnsi="Figtree"/>
          <w:b w:val="0"/>
          <w:i/>
          <w:sz w:val="22"/>
        </w:rPr>
        <w:t>SettleMint | Confidential | Version 1.0 | 21 March 2026</w:t>
      </w:r>
    </w:p>
    <w:p>
      <w:r>
        <w:rPr>
          <w:rFonts w:ascii="Figtree" w:hAnsi="Figtree"/>
          <w:b w:val="0"/>
          <w:i/>
          <w:sz w:val="22"/>
        </w:rPr>
        <w:t>All prices exclude applicable taxes and VAT. Annual, upfront payment terms apply to all license fees.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