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Recommended Commercial Configuration</w:t>
          </w:r>
          <w:r>
            <w:tab/>
          </w:r>
          <w:r>
            <w:t xml:space="preserve">5</w:t>
          </w:r>
        </w:p>
        <w:p>
          <w:pPr>
            <w:pStyle w:val="TOC2"/>
            <w:tabs>
              <w:tab w:val="right" w:leader="dot" w:pos="9072"/>
            </w:tabs>
          </w:pPr>
          <w:r>
            <w:t xml:space="preserve">License and Subscription Fees</w:t>
          </w:r>
          <w:r>
            <w:tab/>
          </w:r>
          <w:r>
            <w:t xml:space="preserve">6</w:t>
          </w:r>
        </w:p>
        <w:p>
          <w:pPr>
            <w:pStyle w:val="TOC3"/>
            <w:tabs>
              <w:tab w:val="right" w:leader="dot" w:pos="9072"/>
            </w:tabs>
          </w:pPr>
          <w:r>
            <w:t xml:space="preserve">Annual License Structure</w:t>
          </w:r>
          <w:r>
            <w:tab/>
          </w:r>
          <w:r>
            <w:t xml:space="preserve">7</w:t>
          </w:r>
        </w:p>
        <w:p>
          <w:pPr>
            <w:pStyle w:val="TOC3"/>
            <w:tabs>
              <w:tab w:val="right" w:leader="dot" w:pos="9072"/>
            </w:tabs>
          </w:pPr>
          <w:r>
            <w:t xml:space="preserve">License Inclusions</w:t>
          </w:r>
          <w:r>
            <w:tab/>
          </w:r>
          <w:r>
            <w:t xml:space="preserve">8</w:t>
          </w:r>
        </w:p>
        <w:p>
          <w:pPr>
            <w:pStyle w:val="TOC3"/>
            <w:tabs>
              <w:tab w:val="right" w:leader="dot" w:pos="9072"/>
            </w:tabs>
          </w:pPr>
          <w:r>
            <w:t xml:space="preserve">License Exclusions</w:t>
          </w:r>
          <w:r>
            <w:tab/>
          </w:r>
          <w:r>
            <w:t xml:space="preserve">9</w:t>
          </w:r>
        </w:p>
        <w:p>
          <w:pPr>
            <w:pStyle w:val="TOC2"/>
            <w:tabs>
              <w:tab w:val="right" w:leader="dot" w:pos="9072"/>
            </w:tabs>
          </w:pPr>
          <w:r>
            <w:t xml:space="preserve">Implementation Services</w:t>
          </w:r>
          <w:r>
            <w:tab/>
          </w:r>
          <w:r>
            <w:t xml:space="preserve">10</w:t>
          </w:r>
        </w:p>
        <w:p>
          <w:pPr>
            <w:pStyle w:val="TOC3"/>
            <w:tabs>
              <w:tab w:val="right" w:leader="dot" w:pos="9072"/>
            </w:tabs>
          </w:pPr>
          <w:r>
            <w:t xml:space="preserve">Engagement Model</w:t>
          </w:r>
          <w:r>
            <w:tab/>
          </w:r>
          <w:r>
            <w:t xml:space="preserve">11</w:t>
          </w:r>
        </w:p>
        <w:p>
          <w:pPr>
            <w:pStyle w:val="TOC3"/>
            <w:tabs>
              <w:tab w:val="right" w:leader="dot" w:pos="9072"/>
            </w:tabs>
          </w:pPr>
          <w:r>
            <w:t xml:space="preserve">Implementation Governance</w:t>
          </w:r>
          <w:r>
            <w:tab/>
          </w:r>
          <w:r>
            <w:t xml:space="preserve">12</w:t>
          </w:r>
        </w:p>
        <w:p>
          <w:pPr>
            <w:pStyle w:val="TOC2"/>
            <w:tabs>
              <w:tab w:val="right" w:leader="dot" w:pos="9072"/>
            </w:tabs>
          </w:pPr>
          <w:r>
            <w:t xml:space="preserve">Support and Maintenance</w:t>
          </w:r>
          <w:r>
            <w:tab/>
          </w:r>
          <w:r>
            <w:t xml:space="preserve">13</w:t>
          </w:r>
        </w:p>
        <w:p>
          <w:pPr>
            <w:pStyle w:val="TOC3"/>
            <w:tabs>
              <w:tab w:val="right" w:leader="dot" w:pos="9072"/>
            </w:tabs>
          </w:pPr>
          <w:r>
            <w:t xml:space="preserve">Enterprise Support (Included in License)</w:t>
          </w:r>
          <w:r>
            <w:tab/>
          </w:r>
          <w:r>
            <w:t xml:space="preserve">14</w:t>
          </w:r>
        </w:p>
        <w:p>
          <w:pPr>
            <w:pStyle w:val="TOC3"/>
            <w:tabs>
              <w:tab w:val="right" w:leader="dot" w:pos="9072"/>
            </w:tabs>
          </w:pPr>
          <w:r>
            <w:t xml:space="preserve">P1 Escalation: Payment Infrastructure</w:t>
          </w:r>
          <w:r>
            <w:tab/>
          </w:r>
          <w:r>
            <w:t xml:space="preserve">15</w:t>
          </w:r>
        </w:p>
        <w:p>
          <w:pPr>
            <w:pStyle w:val="TOC2"/>
            <w:tabs>
              <w:tab w:val="right" w:leader="dot" w:pos="9072"/>
            </w:tabs>
          </w:pPr>
          <w:r>
            <w:t xml:space="preserve">Total Cost of Ownership</w:t>
          </w:r>
          <w:r>
            <w:tab/>
          </w:r>
          <w:r>
            <w:t xml:space="preserve">16</w:t>
          </w:r>
        </w:p>
        <w:p>
          <w:pPr>
            <w:pStyle w:val="TOC3"/>
            <w:tabs>
              <w:tab w:val="right" w:leader="dot" w:pos="9072"/>
            </w:tabs>
          </w:pPr>
          <w:r>
            <w:t xml:space="preserve">Year 1 and Year 2+ Investment Summary</w:t>
          </w:r>
          <w:r>
            <w:tab/>
          </w:r>
          <w:r>
            <w:t xml:space="preserve">17</w:t>
          </w:r>
        </w:p>
        <w:p>
          <w:pPr>
            <w:pStyle w:val="TOC3"/>
            <w:tabs>
              <w:tab w:val="right" w:leader="dot" w:pos="9072"/>
            </w:tabs>
          </w:pPr>
          <w:r>
            <w:t xml:space="preserve">TCO Comparison: DALP vs Build-In-House</w:t>
          </w:r>
          <w:r>
            <w:tab/>
          </w:r>
          <w:r>
            <w:t xml:space="preserve">18</w:t>
          </w:r>
        </w:p>
        <w:p>
          <w:pPr>
            <w:pStyle w:val="TOC3"/>
            <w:tabs>
              <w:tab w:val="right" w:leader="dot" w:pos="9072"/>
            </w:tabs>
          </w:pPr>
          <w:r>
            <w:t xml:space="preserve">ROI Framework</w:t>
          </w:r>
          <w:r>
            <w:tab/>
          </w:r>
          <w:r>
            <w:t xml:space="preserve">19</w:t>
          </w:r>
        </w:p>
        <w:p>
          <w:pPr>
            <w:pStyle w:val="TOC2"/>
            <w:tabs>
              <w:tab w:val="right" w:leader="dot" w:pos="9072"/>
            </w:tabs>
          </w:pPr>
          <w:r>
            <w:t xml:space="preserve">Payment Terms and Conditions</w:t>
          </w:r>
          <w:r>
            <w:tab/>
          </w:r>
          <w:r>
            <w:t xml:space="preserve">20</w:t>
          </w:r>
        </w:p>
        <w:p>
          <w:pPr>
            <w:pStyle w:val="TOC3"/>
            <w:tabs>
              <w:tab w:val="right" w:leader="dot" w:pos="9072"/>
            </w:tabs>
          </w:pPr>
          <w:r>
            <w:t xml:space="preserve">Payment Schedule</w:t>
          </w:r>
          <w:r>
            <w:tab/>
          </w:r>
          <w:r>
            <w:t xml:space="preserve">21</w:t>
          </w:r>
        </w:p>
        <w:p>
          <w:pPr>
            <w:pStyle w:val="TOC3"/>
            <w:tabs>
              <w:tab w:val="right" w:leader="dot" w:pos="9072"/>
            </w:tabs>
          </w:pPr>
          <w:r>
            <w:t xml:space="preserve">Conditions</w:t>
          </w:r>
          <w:r>
            <w:tab/>
          </w:r>
          <w:r>
            <w:t xml:space="preserve">22</w:t>
          </w:r>
        </w:p>
        <w:p>
          <w:pPr>
            <w:pStyle w:val="TOC3"/>
            <w:tabs>
              <w:tab w:val="right" w:leader="dot" w:pos="9072"/>
            </w:tabs>
          </w:pPr>
          <w:r>
            <w:t xml:space="preserve">Governing Law</w:t>
          </w:r>
          <w:r>
            <w:tab/>
          </w:r>
          <w:r>
            <w:t xml:space="preserve">23</w:t>
          </w:r>
        </w:p>
        <w:p>
          <w:pPr>
            <w:pStyle w:val="TOC2"/>
            <w:tabs>
              <w:tab w:val="right" w:leader="dot" w:pos="9072"/>
            </w:tabs>
          </w:pPr>
          <w:r>
            <w:t xml:space="preserve">Commercial Assumptions and Exclusions</w:t>
          </w:r>
          <w:r>
            <w:tab/>
          </w:r>
          <w:r>
            <w:t xml:space="preserve">24</w:t>
          </w:r>
        </w:p>
        <w:p>
          <w:pPr>
            <w:pStyle w:val="TOC3"/>
            <w:tabs>
              <w:tab w:val="right" w:leader="dot" w:pos="9072"/>
            </w:tabs>
          </w:pPr>
          <w:r>
            <w:t xml:space="preserve">Assumptions</w:t>
          </w:r>
          <w:r>
            <w:tab/>
          </w:r>
          <w:r>
            <w:t xml:space="preserve">25</w:t>
          </w:r>
        </w:p>
        <w:p>
          <w:pPr>
            <w:pStyle w:val="TOC3"/>
            <w:tabs>
              <w:tab w:val="right" w:leader="dot" w:pos="9072"/>
            </w:tabs>
          </w:pPr>
          <w:r>
            <w:t xml:space="preserve">Exclusions</w:t>
          </w:r>
          <w:r>
            <w:tab/>
          </w:r>
          <w:r>
            <w:t xml:space="preserve">26</w:t>
          </w:r>
        </w:p>
        <w:p>
          <w:pPr>
            <w:pStyle w:val="TOC2"/>
            <w:tabs>
              <w:tab w:val="right" w:leader="dot" w:pos="9072"/>
            </w:tabs>
          </w:pPr>
          <w:r>
            <w:t xml:space="preserve">Proposal Validity and Next Steps</w:t>
          </w:r>
          <w:r>
            <w:tab/>
          </w:r>
          <w:r>
            <w:t xml:space="preserve">27</w:t>
          </w:r>
        </w:p>
        <w:p>
          <w:pPr>
            <w:pStyle w:val="TOC3"/>
            <w:tabs>
              <w:tab w:val="right" w:leader="dot" w:pos="9072"/>
            </w:tabs>
          </w:pPr>
          <w:r>
            <w:t xml:space="preserve">Validity</w:t>
          </w:r>
          <w:r>
            <w:tab/>
          </w:r>
          <w:r>
            <w:t xml:space="preserve">28</w:t>
          </w:r>
        </w:p>
        <w:p>
          <w:pPr>
            <w:pStyle w:val="TOC3"/>
            <w:tabs>
              <w:tab w:val="right" w:leader="dot" w:pos="9072"/>
            </w:tabs>
          </w:pPr>
          <w:r>
            <w:t xml:space="preserve">Recommended Next Steps</w:t>
          </w:r>
          <w:r>
            <w:tab/>
          </w:r>
          <w:r>
            <w:t xml:space="preserve">29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Grab Financial Group</w:t>
      </w:r>
    </w:p>
    <w:p>
      <w:r>
        <w:rPr>
          <w:rFonts w:ascii="Figtree" w:hAnsi="Figtree"/>
          <w:b/>
          <w:i w:val="0"/>
          <w:sz w:val="22"/>
        </w:rPr>
        <w:t>Prepared by:</w:t>
      </w:r>
      <w:r>
        <w:rPr>
          <w:rFonts w:ascii="Figtree" w:hAnsi="Figtree"/>
          <w:b w:val="0"/>
          <w:i w:val="0"/>
          <w:sz w:val="22"/>
        </w:rPr>
        <w:t xml:space="preserve"> SettleMint</w:t>
      </w:r>
    </w:p>
    <w:p>
      <w:r>
        <w:rPr>
          <w:rFonts w:ascii="Figtree" w:hAnsi="Figtree"/>
          <w:b/>
          <w:i w:val="0"/>
          <w:sz w:val="22"/>
        </w:rPr>
        <w:t>Document Reference:</w:t>
      </w:r>
      <w:r>
        <w:rPr>
          <w:rFonts w:ascii="Figtree" w:hAnsi="Figtree"/>
          <w:b w:val="0"/>
          <w:i w:val="0"/>
          <w:sz w:val="22"/>
        </w:rPr>
        <w:t xml:space="preserve"> GRAB-FINANCIAL-RFP-202603-CP-001</w:t>
      </w:r>
    </w:p>
    <w:p>
      <w:r>
        <w:rPr>
          <w:rFonts w:ascii="Figtree" w:hAnsi="Figtree"/>
          <w:b/>
          <w:i w:val="0"/>
          <w:sz w:val="22"/>
        </w:rPr>
        <w:t>Date:</w:t>
      </w:r>
      <w:r>
        <w:rPr>
          <w:rFonts w:ascii="Figtree" w:hAnsi="Figtree"/>
          <w:b w:val="0"/>
          <w:i w:val="0"/>
          <w:sz w:val="22"/>
        </w:rPr>
        <w:t xml:space="preserve"> 21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Confidential — Grab Financial Invited Bidders Only</w:t>
      </w:r>
    </w:p>
    <w:p>
      <w:r>
        <w:br w:type="page"/>
      </w:r>
    </w:p>
    <w:p>
      <w:r>
        <w:rPr>
          <w:rFonts w:ascii="Figtree" w:hAnsi="Figtree"/>
          <w:b w:val="0"/>
          <w:i/>
          <w:sz w:val="22"/>
        </w:rPr>
        <w:t>This proposal and its contents are proprietary to SettleMint and are provided solely for evaluation purposes in response to the above-referenced procurement. Distribution outside the Grab Financial evaluation committee is prohibited without written consent from SettleMint.</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Recommended Commercial Configuration</w:t>
      </w:r>
    </w:p>
    <w:p>
      <w:pPr>
        <w:pStyle w:val="ListParagraph"/>
        <w:numPr>
          <w:ilvl w:val="0"/>
          <w:numId w:val="6"/>
        </w:numPr>
      </w:pPr>
      <w:r>
        <w:rPr>
          <w:rFonts w:ascii="Figtree" w:hAnsi="Figtree"/>
          <w:b w:val="0"/>
          <w:i w:val="0"/>
          <w:sz w:val="22"/>
        </w:rPr>
        <w:t>License and Subscription Fees</w:t>
      </w:r>
    </w:p>
    <w:p>
      <w:pPr>
        <w:pStyle w:val="ListParagraph"/>
        <w:numPr>
          <w:ilvl w:val="0"/>
          <w:numId w:val="6"/>
        </w:numPr>
      </w:pPr>
      <w:r>
        <w:rPr>
          <w:rFonts w:ascii="Figtree" w:hAnsi="Figtree"/>
          <w:b w:val="0"/>
          <w:i w:val="0"/>
          <w:sz w:val="22"/>
        </w:rPr>
        <w:t>Implementation Services</w:t>
      </w:r>
    </w:p>
    <w:p>
      <w:pPr>
        <w:pStyle w:val="ListParagraph"/>
        <w:numPr>
          <w:ilvl w:val="0"/>
          <w:numId w:val="6"/>
        </w:numPr>
      </w:pPr>
      <w:r>
        <w:rPr>
          <w:rFonts w:ascii="Figtree" w:hAnsi="Figtree"/>
          <w:b w:val="0"/>
          <w:i w:val="0"/>
          <w:sz w:val="22"/>
        </w:rPr>
        <w:t>Support and Maintenance</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Investment Rationale and ROI Analysis</w:t>
      </w:r>
    </w:p>
    <w:p>
      <w:pPr>
        <w:pStyle w:val="ListParagraph"/>
        <w:numPr>
          <w:ilvl w:val="0"/>
          <w:numId w:val="6"/>
        </w:numPr>
      </w:pPr>
      <w:r>
        <w:rPr>
          <w:rFonts w:ascii="Figtree" w:hAnsi="Figtree"/>
          <w:b w:val="0"/>
          <w:i w:val="0"/>
          <w:sz w:val="22"/>
        </w:rPr>
        <w:t>Payment Terms and Conditions</w:t>
      </w:r>
    </w:p>
    <w:p>
      <w:pPr>
        <w:pStyle w:val="ListParagraph"/>
        <w:numPr>
          <w:ilvl w:val="0"/>
          <w:numId w:val="6"/>
        </w:numPr>
      </w:pPr>
      <w:r>
        <w:rPr>
          <w:rFonts w:ascii="Figtree" w:hAnsi="Figtree"/>
          <w:b w:val="0"/>
          <w:i w:val="0"/>
          <w:sz w:val="22"/>
        </w:rPr>
        <w:t>Commercial Assumptions and Exclusions</w:t>
      </w:r>
    </w:p>
    <w:p>
      <w:pPr>
        <w:pStyle w:val="ListParagraph"/>
        <w:numPr>
          <w:ilvl w:val="0"/>
          <w:numId w:val="6"/>
        </w:numPr>
      </w:pPr>
      <w:r>
        <w:rPr>
          <w:rFonts w:ascii="Figtree" w:hAnsi="Figtree"/>
          <w:b w:val="0"/>
          <w:i w:val="0"/>
          <w:sz w:val="22"/>
        </w:rPr>
        <w:t>Proposal Validity and Next Steps</w:t>
      </w:r>
    </w:p>
    <w:p>
      <w:r>
        <w:br w:type="page"/>
      </w:r>
    </w:p>
    <w:p>
      <w:pPr>
        <w:pStyle w:val="H2"/>
        <w:numPr>
          <w:ilvl w:val="1"/>
          <w:numId w:val="1"/>
        </w:numPr>
      </w:pPr>
      <w:r>
        <w:t>Executive Summary</w:t>
      </w:r>
    </w:p>
    <w:p>
      <w:r>
        <w:rPr>
          <w:rFonts w:ascii="Figtree" w:hAnsi="Figtree"/>
          <w:b w:val="0"/>
          <w:i w:val="0"/>
          <w:sz w:val="22"/>
        </w:rPr>
        <w:t>Grab Financial Group is procuring a tokenized payment rails infrastructure that supports MAS PSA compliance, integrates with existing GrabPay and merchant settlement infrastructure, and scales across Southeast Asia corridors without requiring a re-platform at each new market. This commercial proposal sets out the total investment required to deploy, operate, and expand DALP for that programme under the GRAB-FINANCIAL-RFP-202603 procurement.</w:t>
      </w:r>
    </w:p>
    <w:p>
      <w:r>
        <w:rPr>
          <w:rFonts w:ascii="Figtree" w:hAnsi="Figtree"/>
          <w:b w:val="0"/>
          <w:i w:val="0"/>
          <w:sz w:val="22"/>
        </w:rPr>
        <w:t>The recommended commercial configuration is:</w:t>
      </w:r>
    </w:p>
    <w:p>
      <w:pPr>
        <w:pStyle w:val="ListParagraph"/>
        <w:numPr>
          <w:ilvl w:val="0"/>
          <w:numId w:val="4"/>
        </w:numPr>
      </w:pPr>
      <w:r>
        <w:rPr>
          <w:rFonts w:ascii="Figtree" w:hAnsi="Figtree"/>
          <w:b/>
          <w:i w:val="0"/>
          <w:sz w:val="22"/>
        </w:rPr>
        <w:t>License:</w:t>
      </w:r>
      <w:r>
        <w:rPr>
          <w:rFonts w:ascii="Figtree" w:hAnsi="Figtree"/>
          <w:b w:val="0"/>
          <w:i w:val="0"/>
          <w:sz w:val="22"/>
        </w:rPr>
        <w:t xml:space="preserve"> DALP Enterprise License — Production + Development environments</w:t>
      </w:r>
    </w:p>
    <w:p>
      <w:pPr>
        <w:pStyle w:val="ListParagraph"/>
        <w:numPr>
          <w:ilvl w:val="0"/>
          <w:numId w:val="4"/>
        </w:numPr>
      </w:pPr>
      <w:r>
        <w:rPr>
          <w:rFonts w:ascii="Figtree" w:hAnsi="Figtree"/>
          <w:b/>
          <w:i w:val="0"/>
          <w:sz w:val="22"/>
        </w:rPr>
        <w:t>Annual License Fee:</w:t>
      </w:r>
      <w:r>
        <w:rPr>
          <w:rFonts w:ascii="Figtree" w:hAnsi="Figtree"/>
          <w:b w:val="0"/>
          <w:i w:val="0"/>
          <w:sz w:val="22"/>
        </w:rPr>
        <w:t xml:space="preserve"> €420,000 per year (upfront)</w:t>
      </w:r>
    </w:p>
    <w:p>
      <w:pPr>
        <w:pStyle w:val="ListParagraph"/>
        <w:numPr>
          <w:ilvl w:val="0"/>
          <w:numId w:val="4"/>
        </w:numPr>
      </w:pPr>
      <w:r>
        <w:rPr>
          <w:rFonts w:ascii="Figtree" w:hAnsi="Figtree"/>
          <w:b/>
          <w:i w:val="0"/>
          <w:sz w:val="22"/>
        </w:rPr>
        <w:t>Implementation Services:</w:t>
      </w:r>
      <w:r>
        <w:rPr>
          <w:rFonts w:ascii="Figtree" w:hAnsi="Figtree"/>
          <w:b w:val="0"/>
          <w:i w:val="0"/>
          <w:sz w:val="22"/>
        </w:rPr>
        <w:t xml:space="preserve"> [CLIENT-SPECIFIC — to be scoped in commercial validation]</w:t>
      </w:r>
    </w:p>
    <w:p>
      <w:pPr>
        <w:pStyle w:val="ListParagraph"/>
        <w:numPr>
          <w:ilvl w:val="0"/>
          <w:numId w:val="4"/>
        </w:numPr>
      </w:pPr>
      <w:r>
        <w:rPr>
          <w:rFonts w:ascii="Figtree" w:hAnsi="Figtree"/>
          <w:b/>
          <w:i w:val="0"/>
          <w:sz w:val="22"/>
        </w:rPr>
        <w:t>Support:</w:t>
      </w:r>
      <w:r>
        <w:rPr>
          <w:rFonts w:ascii="Figtree" w:hAnsi="Figtree"/>
          <w:b w:val="0"/>
          <w:i w:val="0"/>
          <w:sz w:val="22"/>
        </w:rPr>
        <w:t xml:space="preserve"> Enterprise Support (24/7/365 — included in licensing package)</w:t>
      </w:r>
    </w:p>
    <w:p>
      <w:pPr>
        <w:pStyle w:val="ListParagraph"/>
        <w:numPr>
          <w:ilvl w:val="0"/>
          <w:numId w:val="4"/>
        </w:numPr>
      </w:pPr>
      <w:r>
        <w:rPr>
          <w:rFonts w:ascii="Figtree" w:hAnsi="Figtree"/>
          <w:b/>
          <w:i w:val="0"/>
          <w:sz w:val="22"/>
        </w:rPr>
        <w:t>Infrastructure:</w:t>
      </w:r>
      <w:r>
        <w:rPr>
          <w:rFonts w:ascii="Figtree" w:hAnsi="Figtree"/>
          <w:b w:val="0"/>
          <w:i w:val="0"/>
          <w:sz w:val="22"/>
        </w:rPr>
        <w:t xml:space="preserve"> Pass-through at cost (Managed SaaS, Singapore primary)</w:t>
      </w:r>
    </w:p>
    <w:p>
      <w:r>
        <w:rPr>
          <w:rFonts w:ascii="Figtree" w:hAnsi="Figtree"/>
          <w:b w:val="0"/>
          <w:i w:val="0"/>
          <w:sz w:val="22"/>
        </w:rPr>
        <w:t>For Grab Financial, the commercial case for DALP rests on three points. First, the platform provides the complete compliance and governance infrastructure required for MAS PSA-compliant payment token operations. Building equivalent institutional-grade compliance controls from scratch is a multi-year engineering programme, not a feature sprint. Second, DALP scales across Southeast Asia corridors through configuration. Each new corridor requires deploying a new asset contract and configuring compliance modules — not re-implementing the platform. Third, the cost profile step-changes materially from Year 1 (implementation-heavy) to Year 2+ (license plus infrastructure only), creating a favorable long-run economics profile against alternatives.</w:t>
      </w:r>
    </w:p>
    <w:p>
      <w:r>
        <w:rPr>
          <w:rFonts w:ascii="Figtree" w:hAnsi="Figtree"/>
          <w:b w:val="0"/>
          <w:i w:val="0"/>
          <w:sz w:val="22"/>
        </w:rPr>
        <w:t>All prices exclude applicable taxes and VAT. Annual, upfront payment terms apply to all license fees.</w:t>
      </w:r>
    </w:p>
    <w:p>
      <w:r>
        <w:br w:type="page"/>
      </w:r>
    </w:p>
    <w:p>
      <w:pPr>
        <w:pStyle w:val="H2"/>
        <w:numPr>
          <w:ilvl w:val="1"/>
          <w:numId w:val="1"/>
        </w:numPr>
      </w:pPr>
      <w:r>
        <w:t>Recommended Commercial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09"/>
        <w:gridCol w:w="2419"/>
        <w:gridCol w:w="544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Selection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License Type</w:t>
            </w:r>
          </w:p>
        </w:tc>
        <w:tc>
          <w:tcPr>
            <w:tcW w:type="dxa" w:w="3249"/>
            <w:vAlign w:val="center"/>
          </w:tcPr>
          <w:p>
            <w:pPr>
              <w:spacing w:line="276" w:lineRule="auto" w:before="0" w:after="0"/>
            </w:pPr>
            <w:r/>
            <w:r>
              <w:rPr>
                <w:rFonts w:ascii="Figtree" w:hAnsi="Figtree"/>
                <w:b w:val="0"/>
                <w:i w:val="0"/>
                <w:sz w:val="20"/>
              </w:rPr>
              <w:t>Enterprise License</w:t>
            </w:r>
          </w:p>
        </w:tc>
        <w:tc>
          <w:tcPr>
            <w:tcW w:type="dxa" w:w="3249"/>
            <w:vAlign w:val="center"/>
          </w:tcPr>
          <w:p>
            <w:pPr>
              <w:spacing w:line="276" w:lineRule="auto" w:before="0" w:after="0"/>
            </w:pPr>
            <w:r/>
            <w:r>
              <w:rPr>
                <w:rFonts w:ascii="Figtree" w:hAnsi="Figtree"/>
                <w:b w:val="0"/>
                <w:i w:val="0"/>
                <w:sz w:val="20"/>
              </w:rPr>
              <w:t>Full feature set, Production + Development, Enterprise Support</w:t>
            </w:r>
          </w:p>
        </w:tc>
      </w:tr>
      <w:tr>
        <w:trPr>
          <w:trHeight w:val="425" w:hRule="atLeast"/>
        </w:trPr>
        <w:tc>
          <w:tcPr>
            <w:tcW w:type="dxa" w:w="3249"/>
            <w:vAlign w:val="center"/>
          </w:tcPr>
          <w:p>
            <w:pPr>
              <w:spacing w:line="276" w:lineRule="auto" w:before="0" w:after="0"/>
            </w:pPr>
            <w:r/>
            <w:r>
              <w:rPr>
                <w:rFonts w:ascii="Figtree" w:hAnsi="Figtree"/>
                <w:b w:val="0"/>
                <w:i w:val="0"/>
                <w:sz w:val="20"/>
              </w:rPr>
              <w:t>Deployment Model</w:t>
            </w:r>
          </w:p>
        </w:tc>
        <w:tc>
          <w:tcPr>
            <w:tcW w:type="dxa" w:w="3249"/>
            <w:vAlign w:val="center"/>
          </w:tcPr>
          <w:p>
            <w:pPr>
              <w:spacing w:line="276" w:lineRule="auto" w:before="0" w:after="0"/>
            </w:pPr>
            <w:r/>
            <w:r>
              <w:rPr>
                <w:rFonts w:ascii="Figtree" w:hAnsi="Figtree"/>
                <w:b w:val="0"/>
                <w:i w:val="0"/>
                <w:sz w:val="20"/>
              </w:rPr>
              <w:t>Managed SaaS (Singapore primary)</w:t>
            </w:r>
          </w:p>
        </w:tc>
        <w:tc>
          <w:tcPr>
            <w:tcW w:type="dxa" w:w="3249"/>
            <w:vAlign w:val="center"/>
          </w:tcPr>
          <w:p>
            <w:pPr>
              <w:spacing w:line="276" w:lineRule="auto" w:before="0" w:after="0"/>
            </w:pPr>
            <w:r/>
            <w:r>
              <w:rPr>
                <w:rFonts w:ascii="Figtree" w:hAnsi="Figtree"/>
                <w:b w:val="0"/>
                <w:i w:val="0"/>
                <w:sz w:val="20"/>
              </w:rPr>
              <w:t>MAS TRM aligned; fastest time to production; lowest operational overhead</w:t>
            </w:r>
          </w:p>
        </w:tc>
      </w:tr>
      <w:tr>
        <w:trPr>
          <w:trHeight w:val="425" w:hRule="atLeast"/>
        </w:trPr>
        <w:tc>
          <w:tcPr>
            <w:tcW w:type="dxa" w:w="3249"/>
            <w:vAlign w:val="center"/>
          </w:tcPr>
          <w:p>
            <w:pPr>
              <w:spacing w:line="276" w:lineRule="auto" w:before="0" w:after="0"/>
            </w:pPr>
            <w:r/>
            <w:r>
              <w:rPr>
                <w:rFonts w:ascii="Figtree" w:hAnsi="Figtree"/>
                <w:b w:val="0"/>
                <w:i w:val="0"/>
                <w:sz w:val="20"/>
              </w:rPr>
              <w:t>Environments</w:t>
            </w:r>
          </w:p>
        </w:tc>
        <w:tc>
          <w:tcPr>
            <w:tcW w:type="dxa" w:w="3249"/>
            <w:vAlign w:val="center"/>
          </w:tcPr>
          <w:p>
            <w:pPr>
              <w:spacing w:line="276" w:lineRule="auto" w:before="0" w:after="0"/>
            </w:pPr>
            <w:r/>
            <w:r>
              <w:rPr>
                <w:rFonts w:ascii="Figtree" w:hAnsi="Figtree"/>
                <w:b w:val="0"/>
                <w:i w:val="0"/>
                <w:sz w:val="20"/>
              </w:rPr>
              <w:t>Production (1) + Development (1)</w:t>
            </w:r>
          </w:p>
        </w:tc>
        <w:tc>
          <w:tcPr>
            <w:tcW w:type="dxa" w:w="3249"/>
            <w:vAlign w:val="center"/>
          </w:tcPr>
          <w:p>
            <w:pPr>
              <w:spacing w:line="276" w:lineRule="auto" w:before="0" w:after="0"/>
            </w:pPr>
            <w:r/>
            <w:r>
              <w:rPr>
                <w:rFonts w:ascii="Figtree" w:hAnsi="Figtree"/>
                <w:b w:val="0"/>
                <w:i w:val="0"/>
                <w:sz w:val="20"/>
              </w:rPr>
              <w:t>Supports live payment rail operations and parallel integration/testing</w:t>
            </w:r>
          </w:p>
        </w:tc>
      </w:tr>
      <w:tr>
        <w:trPr>
          <w:trHeight w:val="425" w:hRule="atLeast"/>
        </w:trPr>
        <w:tc>
          <w:tcPr>
            <w:tcW w:type="dxa" w:w="3249"/>
            <w:vAlign w:val="center"/>
          </w:tcPr>
          <w:p>
            <w:pPr>
              <w:spacing w:line="276" w:lineRule="auto" w:before="0" w:after="0"/>
            </w:pPr>
            <w:r/>
            <w:r>
              <w:rPr>
                <w:rFonts w:ascii="Figtree" w:hAnsi="Figtree"/>
                <w:b w:val="0"/>
                <w:i w:val="0"/>
                <w:sz w:val="20"/>
              </w:rPr>
              <w:t>Support Tier</w:t>
            </w:r>
          </w:p>
        </w:tc>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24/7/365; named team; 99.99% SLA; critical for payment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w:t>
            </w:r>
          </w:p>
        </w:tc>
        <w:tc>
          <w:tcPr>
            <w:tcW w:type="dxa" w:w="3249"/>
            <w:vAlign w:val="center"/>
          </w:tcPr>
          <w:p>
            <w:pPr>
              <w:spacing w:line="276" w:lineRule="auto" w:before="0" w:after="0"/>
            </w:pPr>
            <w:r/>
            <w:r>
              <w:rPr>
                <w:rFonts w:ascii="Figtree" w:hAnsi="Figtree"/>
                <w:b w:val="0"/>
                <w:i w:val="0"/>
                <w:sz w:val="20"/>
              </w:rPr>
              <w:t>[CLIENT-SPECIFIC]</w:t>
            </w:r>
          </w:p>
        </w:tc>
        <w:tc>
          <w:tcPr>
            <w:tcW w:type="dxa" w:w="3249"/>
            <w:vAlign w:val="center"/>
          </w:tcPr>
          <w:p>
            <w:pPr>
              <w:spacing w:line="276" w:lineRule="auto" w:before="0" w:after="0"/>
            </w:pPr>
            <w:r/>
            <w:r>
              <w:rPr>
                <w:rFonts w:ascii="Figtree" w:hAnsi="Figtree"/>
                <w:b w:val="0"/>
                <w:i w:val="0"/>
                <w:sz w:val="20"/>
              </w:rPr>
              <w:t>Scoped per engagement; 19-week standard</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w:t>
            </w:r>
          </w:p>
        </w:tc>
        <w:tc>
          <w:tcPr>
            <w:tcW w:type="dxa" w:w="3249"/>
            <w:vAlign w:val="center"/>
          </w:tcPr>
          <w:p>
            <w:pPr>
              <w:spacing w:line="276" w:lineRule="auto" w:before="0" w:after="0"/>
            </w:pPr>
            <w:r/>
            <w:r>
              <w:rPr>
                <w:rFonts w:ascii="Figtree" w:hAnsi="Figtree"/>
                <w:b w:val="0"/>
                <w:i w:val="0"/>
                <w:sz w:val="20"/>
              </w:rPr>
              <w:t>AWS ap-southeast-1 pass-through</w:t>
            </w:r>
          </w:p>
        </w:tc>
        <w:tc>
          <w:tcPr>
            <w:tcW w:type="dxa" w:w="3249"/>
            <w:vAlign w:val="center"/>
          </w:tcPr>
          <w:p>
            <w:pPr>
              <w:spacing w:line="276" w:lineRule="auto" w:before="0" w:after="0"/>
            </w:pPr>
            <w:r/>
            <w:r>
              <w:rPr>
                <w:rFonts w:ascii="Figtree" w:hAnsi="Figtree"/>
                <w:b w:val="0"/>
                <w:i w:val="0"/>
                <w:sz w:val="20"/>
              </w:rPr>
              <w:t>Not marked up by SettleMint</w:t>
            </w:r>
          </w:p>
        </w:tc>
      </w:tr>
    </w:tbl>
    <w:p>
      <w:pPr>
        <w:spacing w:before="0" w:after="0" w:line="120" w:lineRule="exact"/>
      </w:pPr>
    </w:p>
    <w:p>
      <w:r>
        <w:br w:type="page"/>
      </w:r>
    </w:p>
    <w:p>
      <w:pPr>
        <w:pStyle w:val="H2"/>
        <w:numPr>
          <w:ilvl w:val="1"/>
          <w:numId w:val="1"/>
        </w:numPr>
      </w:pPr>
      <w:r>
        <w:t>License and Subscription Fees</w:t>
      </w:r>
    </w:p>
    <w:p>
      <w:pPr>
        <w:pStyle w:val="H3"/>
        <w:numPr>
          <w:ilvl w:val="2"/>
          <w:numId w:val="1"/>
        </w:numPr>
      </w:pPr>
      <w:r>
        <w:t>Annual License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9"/>
        <w:gridCol w:w="2767"/>
        <w:gridCol w:w="30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License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€25,000</w:t>
            </w:r>
          </w:p>
        </w:tc>
        <w:tc>
          <w:tcPr>
            <w:tcW w:type="dxa" w:w="3249"/>
            <w:vAlign w:val="center"/>
          </w:tcPr>
          <w:p>
            <w:pPr>
              <w:spacing w:line="276" w:lineRule="auto" w:before="0" w:after="0"/>
            </w:pPr>
            <w:r/>
            <w:r>
              <w:rPr>
                <w:rFonts w:ascii="Figtree" w:hAnsi="Figtree"/>
                <w:b w:val="0"/>
                <w:i w:val="0"/>
                <w:sz w:val="20"/>
              </w:rPr>
              <w:t>€300,000</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€10,000</w:t>
            </w:r>
          </w:p>
        </w:tc>
        <w:tc>
          <w:tcPr>
            <w:tcW w:type="dxa" w:w="3249"/>
            <w:vAlign w:val="center"/>
          </w:tcPr>
          <w:p>
            <w:pPr>
              <w:spacing w:line="276" w:lineRule="auto" w:before="0" w:after="0"/>
            </w:pPr>
            <w:r/>
            <w:r>
              <w:rPr>
                <w:rFonts w:ascii="Figtree" w:hAnsi="Figtree"/>
                <w:b w:val="0"/>
                <w:i w:val="0"/>
                <w:sz w:val="20"/>
              </w:rPr>
              <w:t>€120,000</w:t>
            </w:r>
          </w:p>
        </w:tc>
      </w:tr>
      <w:tr>
        <w:trPr>
          <w:trHeight w:val="425" w:hRule="atLeast"/>
        </w:trPr>
        <w:tc>
          <w:tcPr>
            <w:tcW w:type="dxa" w:w="3249"/>
            <w:vAlign w:val="center"/>
          </w:tcPr>
          <w:p>
            <w:pPr>
              <w:spacing w:line="276" w:lineRule="auto" w:before="0" w:after="0"/>
            </w:pPr>
            <w:r/>
            <w:r>
              <w:rPr>
                <w:rFonts w:ascii="Figtree" w:hAnsi="Figtree"/>
                <w:b/>
                <w:i w:val="0"/>
                <w:sz w:val="20"/>
              </w:rPr>
              <w:t>Total License Fee</w:t>
            </w:r>
          </w:p>
        </w:tc>
        <w:tc>
          <w:tcPr>
            <w:tcW w:type="dxa" w:w="3249"/>
            <w:vAlign w:val="center"/>
          </w:tcPr>
          <w:p>
            <w:pPr>
              <w:spacing w:line="276" w:lineRule="auto" w:before="0" w:after="0"/>
            </w:pPr>
            <w:r/>
            <w:r>
              <w:rPr>
                <w:rFonts w:ascii="Figtree" w:hAnsi="Figtree"/>
                <w:b/>
                <w:i w:val="0"/>
                <w:sz w:val="20"/>
              </w:rPr>
              <w:t>€35,000</w:t>
            </w:r>
          </w:p>
        </w:tc>
        <w:tc>
          <w:tcPr>
            <w:tcW w:type="dxa" w:w="3249"/>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val="0"/>
          <w:sz w:val="22"/>
        </w:rPr>
        <w:t>All prices exclude applicable taxes and VAT. Annual, upfront. No monthly payment option.</w:t>
      </w:r>
    </w:p>
    <w:p>
      <w:pPr>
        <w:pStyle w:val="H3"/>
        <w:numPr>
          <w:ilvl w:val="2"/>
          <w:numId w:val="1"/>
        </w:numPr>
      </w:pPr>
      <w:r>
        <w:t>License Inclusions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02"/>
        <w:gridCol w:w="616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Full DALP Platform</w:t>
            </w:r>
          </w:p>
        </w:tc>
        <w:tc>
          <w:tcPr>
            <w:tcW w:type="dxa" w:w="4873"/>
            <w:vAlign w:val="center"/>
          </w:tcPr>
          <w:p>
            <w:pPr>
              <w:spacing w:line="276" w:lineRule="auto" w:before="0" w:after="0"/>
            </w:pPr>
            <w:r/>
            <w:r>
              <w:rPr>
                <w:rFonts w:ascii="Figtree" w:hAnsi="Figtree"/>
                <w:b w:val="0"/>
                <w:i w:val="0"/>
                <w:sz w:val="20"/>
              </w:rPr>
              <w:t>Token lifecycle, compliance engine, identity registry, XvP settlement, observability, API</w:t>
            </w:r>
          </w:p>
        </w:tc>
      </w:tr>
      <w:tr>
        <w:trPr>
          <w:trHeight w:val="425" w:hRule="atLeast"/>
        </w:trPr>
        <w:tc>
          <w:tcPr>
            <w:tcW w:type="dxa" w:w="4873"/>
            <w:vAlign w:val="center"/>
          </w:tcPr>
          <w:p>
            <w:pPr>
              <w:spacing w:line="276" w:lineRule="auto" w:before="0" w:after="0"/>
            </w:pPr>
            <w:r/>
            <w:r>
              <w:rPr>
                <w:rFonts w:ascii="Figtree" w:hAnsi="Figtree"/>
                <w:b w:val="0"/>
                <w:i w:val="0"/>
                <w:sz w:val="20"/>
              </w:rPr>
              <w:t>All Corridors (Configuration-Based)</w:t>
            </w:r>
          </w:p>
        </w:tc>
        <w:tc>
          <w:tcPr>
            <w:tcW w:type="dxa" w:w="4873"/>
            <w:vAlign w:val="center"/>
          </w:tcPr>
          <w:p>
            <w:pPr>
              <w:spacing w:line="276" w:lineRule="auto" w:before="0" w:after="0"/>
            </w:pPr>
            <w:r/>
            <w:r>
              <w:rPr>
                <w:rFonts w:ascii="Figtree" w:hAnsi="Figtree"/>
                <w:b w:val="0"/>
                <w:i w:val="0"/>
                <w:sz w:val="20"/>
              </w:rPr>
              <w:t>No per-corridor license fee; additional corridors through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Software Updates</w:t>
            </w:r>
          </w:p>
        </w:tc>
        <w:tc>
          <w:tcPr>
            <w:tcW w:type="dxa" w:w="4873"/>
            <w:vAlign w:val="center"/>
          </w:tcPr>
          <w:p>
            <w:pPr>
              <w:spacing w:line="276" w:lineRule="auto" w:before="0" w:after="0"/>
            </w:pPr>
            <w:r/>
            <w:r>
              <w:rPr>
                <w:rFonts w:ascii="Figtree" w:hAnsi="Figtree"/>
                <w:b w:val="0"/>
                <w:i w:val="0"/>
                <w:sz w:val="20"/>
              </w:rPr>
              <w:t>Continuous platform releases; coordinated change windows</w:t>
            </w:r>
          </w:p>
        </w:tc>
      </w:tr>
      <w:tr>
        <w:trPr>
          <w:trHeight w:val="425" w:hRule="atLeast"/>
        </w:trPr>
        <w:tc>
          <w:tcPr>
            <w:tcW w:type="dxa" w:w="4873"/>
            <w:vAlign w:val="center"/>
          </w:tcPr>
          <w:p>
            <w:pPr>
              <w:spacing w:line="276" w:lineRule="auto" w:before="0" w:after="0"/>
            </w:pPr>
            <w:r/>
            <w:r>
              <w:rPr>
                <w:rFonts w:ascii="Figtree" w:hAnsi="Figtree"/>
                <w:b w:val="0"/>
                <w:i w:val="0"/>
                <w:sz w:val="20"/>
              </w:rPr>
              <w:t>Platform Documentation</w:t>
            </w:r>
          </w:p>
        </w:tc>
        <w:tc>
          <w:tcPr>
            <w:tcW w:type="dxa" w:w="4873"/>
            <w:vAlign w:val="center"/>
          </w:tcPr>
          <w:p>
            <w:pPr>
              <w:spacing w:line="276" w:lineRule="auto" w:before="0" w:after="0"/>
            </w:pPr>
            <w:r/>
            <w:r>
              <w:rPr>
                <w:rFonts w:ascii="Figtree" w:hAnsi="Figtree"/>
                <w:b w:val="0"/>
                <w:i w:val="0"/>
                <w:sz w:val="20"/>
              </w:rPr>
              <w:t>Full technical documentation, runbooks, integration guides</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w:t>
            </w:r>
          </w:p>
        </w:tc>
        <w:tc>
          <w:tcPr>
            <w:tcW w:type="dxa" w:w="4873"/>
            <w:vAlign w:val="center"/>
          </w:tcPr>
          <w:p>
            <w:pPr>
              <w:spacing w:line="276" w:lineRule="auto" w:before="0" w:after="0"/>
            </w:pPr>
            <w:r/>
            <w:r>
              <w:rPr>
                <w:rFonts w:ascii="Figtree" w:hAnsi="Figtree"/>
                <w:b w:val="0"/>
                <w:i w:val="0"/>
                <w:sz w:val="20"/>
              </w:rPr>
              <w:t>24/7/365; named team; CSM (detailed in Support section)</w:t>
            </w:r>
          </w:p>
        </w:tc>
      </w:tr>
      <w:tr>
        <w:trPr>
          <w:trHeight w:val="425" w:hRule="atLeast"/>
        </w:trPr>
        <w:tc>
          <w:tcPr>
            <w:tcW w:type="dxa" w:w="4873"/>
            <w:vAlign w:val="center"/>
          </w:tcPr>
          <w:p>
            <w:pPr>
              <w:spacing w:line="276" w:lineRule="auto" w:before="0" w:after="0"/>
            </w:pPr>
            <w:r/>
            <w:r>
              <w:rPr>
                <w:rFonts w:ascii="Figtree" w:hAnsi="Figtree"/>
                <w:b w:val="0"/>
                <w:i w:val="0"/>
                <w:sz w:val="20"/>
              </w:rPr>
              <w:t>Security Certifications</w:t>
            </w:r>
          </w:p>
        </w:tc>
        <w:tc>
          <w:tcPr>
            <w:tcW w:type="dxa" w:w="4873"/>
            <w:vAlign w:val="center"/>
          </w:tcPr>
          <w:p>
            <w:pPr>
              <w:spacing w:line="276" w:lineRule="auto" w:before="0" w:after="0"/>
            </w:pPr>
            <w:r/>
            <w:r>
              <w:rPr>
                <w:rFonts w:ascii="Figtree" w:hAnsi="Figtree"/>
                <w:b w:val="0"/>
                <w:i w:val="0"/>
                <w:sz w:val="20"/>
              </w:rPr>
              <w:t>ISO 27001 and SOC 2 Type II annual certifications</w:t>
            </w:r>
          </w:p>
        </w:tc>
      </w:tr>
    </w:tbl>
    <w:p>
      <w:pPr>
        <w:spacing w:before="0" w:after="0" w:line="120" w:lineRule="exact"/>
      </w:pPr>
    </w:p>
    <w:p>
      <w:pPr>
        <w:pStyle w:val="H3"/>
        <w:numPr>
          <w:ilvl w:val="2"/>
          <w:numId w:val="1"/>
        </w:numPr>
      </w:pPr>
      <w:r>
        <w:t>License Exclusions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41"/>
        <w:gridCol w:w="593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Excluded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w:t>
            </w:r>
          </w:p>
        </w:tc>
        <w:tc>
          <w:tcPr>
            <w:tcW w:type="dxa" w:w="4873"/>
            <w:vAlign w:val="center"/>
          </w:tcPr>
          <w:p>
            <w:pPr>
              <w:spacing w:line="276" w:lineRule="auto" w:before="0" w:after="0"/>
            </w:pPr>
            <w:r/>
            <w:r>
              <w:rPr>
                <w:rFonts w:ascii="Figtree" w:hAnsi="Figtree"/>
                <w:b w:val="0"/>
                <w:i w:val="0"/>
                <w:sz w:val="20"/>
              </w:rPr>
              <w:t>Pass-through at AWS cost; not marked up</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Separately scoped per engagement</w:t>
            </w:r>
          </w:p>
        </w:tc>
      </w:tr>
      <w:tr>
        <w:trPr>
          <w:trHeight w:val="425" w:hRule="atLeast"/>
        </w:trPr>
        <w:tc>
          <w:tcPr>
            <w:tcW w:type="dxa" w:w="4873"/>
            <w:vAlign w:val="center"/>
          </w:tcPr>
          <w:p>
            <w:pPr>
              <w:spacing w:line="276" w:lineRule="auto" w:before="0" w:after="0"/>
            </w:pPr>
            <w:r/>
            <w:r>
              <w:rPr>
                <w:rFonts w:ascii="Figtree" w:hAnsi="Figtree"/>
                <w:b w:val="0"/>
                <w:i w:val="0"/>
                <w:sz w:val="20"/>
              </w:rPr>
              <w:t>Custody Provider Fees</w:t>
            </w:r>
          </w:p>
        </w:tc>
        <w:tc>
          <w:tcPr>
            <w:tcW w:type="dxa" w:w="4873"/>
            <w:vAlign w:val="center"/>
          </w:tcPr>
          <w:p>
            <w:pPr>
              <w:spacing w:line="276" w:lineRule="auto" w:before="0" w:after="0"/>
            </w:pPr>
            <w:r/>
            <w:r>
              <w:rPr>
                <w:rFonts w:ascii="Figtree" w:hAnsi="Figtree"/>
                <w:b w:val="0"/>
                <w:i w:val="0"/>
                <w:sz w:val="20"/>
              </w:rPr>
              <w:t>Fireblocks or DFNS direct client contracts</w:t>
            </w:r>
          </w:p>
        </w:tc>
      </w:tr>
      <w:tr>
        <w:trPr>
          <w:trHeight w:val="425" w:hRule="atLeast"/>
        </w:trPr>
        <w:tc>
          <w:tcPr>
            <w:tcW w:type="dxa" w:w="4873"/>
            <w:vAlign w:val="center"/>
          </w:tcPr>
          <w:p>
            <w:pPr>
              <w:spacing w:line="276" w:lineRule="auto" w:before="0" w:after="0"/>
            </w:pPr>
            <w:r/>
            <w:r>
              <w:rPr>
                <w:rFonts w:ascii="Figtree" w:hAnsi="Figtree"/>
                <w:b w:val="0"/>
                <w:i w:val="0"/>
                <w:sz w:val="20"/>
              </w:rPr>
              <w:t>Third-party KYC/eKYC Provider</w:t>
            </w:r>
          </w:p>
        </w:tc>
        <w:tc>
          <w:tcPr>
            <w:tcW w:type="dxa" w:w="4873"/>
            <w:vAlign w:val="center"/>
          </w:tcPr>
          <w:p>
            <w:pPr>
              <w:spacing w:line="276" w:lineRule="auto" w:before="0" w:after="0"/>
            </w:pPr>
            <w:r/>
            <w:r>
              <w:rPr>
                <w:rFonts w:ascii="Figtree" w:hAnsi="Figtree"/>
                <w:b w:val="0"/>
                <w:i w:val="0"/>
                <w:sz w:val="20"/>
              </w:rPr>
              <w:t>Claim issuance fees are direct client-to-provider</w:t>
            </w:r>
          </w:p>
        </w:tc>
      </w:tr>
      <w:tr>
        <w:trPr>
          <w:trHeight w:val="425" w:hRule="atLeast"/>
        </w:trPr>
        <w:tc>
          <w:tcPr>
            <w:tcW w:type="dxa" w:w="4873"/>
            <w:vAlign w:val="center"/>
          </w:tcPr>
          <w:p>
            <w:pPr>
              <w:spacing w:line="276" w:lineRule="auto" w:before="0" w:after="0"/>
            </w:pPr>
            <w:r/>
            <w:r>
              <w:rPr>
                <w:rFonts w:ascii="Figtree" w:hAnsi="Figtree"/>
                <w:b w:val="0"/>
                <w:i w:val="0"/>
                <w:sz w:val="20"/>
              </w:rPr>
              <w:t>Custom Compliance Modules</w:t>
            </w:r>
          </w:p>
        </w:tc>
        <w:tc>
          <w:tcPr>
            <w:tcW w:type="dxa" w:w="4873"/>
            <w:vAlign w:val="center"/>
          </w:tcPr>
          <w:p>
            <w:pPr>
              <w:spacing w:line="276" w:lineRule="auto" w:before="0" w:after="0"/>
            </w:pPr>
            <w:r/>
            <w:r>
              <w:rPr>
                <w:rFonts w:ascii="Figtree" w:hAnsi="Figtree"/>
                <w:b w:val="0"/>
                <w:i w:val="0"/>
                <w:sz w:val="20"/>
              </w:rPr>
              <w:t>Rules outside the 18-module standard catalog require additional scoping</w:t>
            </w:r>
          </w:p>
        </w:tc>
      </w:tr>
      <w:tr>
        <w:trPr>
          <w:trHeight w:val="425" w:hRule="atLeast"/>
        </w:trPr>
        <w:tc>
          <w:tcPr>
            <w:tcW w:type="dxa" w:w="4873"/>
            <w:vAlign w:val="center"/>
          </w:tcPr>
          <w:p>
            <w:pPr>
              <w:spacing w:line="276" w:lineRule="auto" w:before="0" w:after="0"/>
            </w:pPr>
            <w:r/>
            <w:r>
              <w:rPr>
                <w:rFonts w:ascii="Figtree" w:hAnsi="Figtree"/>
                <w:b w:val="0"/>
                <w:i w:val="0"/>
                <w:sz w:val="20"/>
              </w:rPr>
              <w:t>Additional Production Environments</w:t>
            </w:r>
          </w:p>
        </w:tc>
        <w:tc>
          <w:tcPr>
            <w:tcW w:type="dxa" w:w="4873"/>
            <w:vAlign w:val="center"/>
          </w:tcPr>
          <w:p>
            <w:pPr>
              <w:spacing w:line="276" w:lineRule="auto" w:before="0" w:after="0"/>
            </w:pPr>
            <w:r/>
            <w:r>
              <w:rPr>
                <w:rFonts w:ascii="Figtree" w:hAnsi="Figtree"/>
                <w:b w:val="0"/>
                <w:i w:val="0"/>
                <w:sz w:val="20"/>
              </w:rPr>
              <w:t>Additional production environments are priced per Production License rate</w:t>
            </w:r>
          </w:p>
        </w:tc>
      </w:tr>
    </w:tbl>
    <w:p>
      <w:pPr>
        <w:spacing w:before="0" w:after="0" w:line="120" w:lineRule="exact"/>
      </w:pPr>
    </w:p>
    <w:p>
      <w:r>
        <w:br w:type="page"/>
      </w:r>
    </w:p>
    <w:p>
      <w:pPr>
        <w:pStyle w:val="H2"/>
        <w:numPr>
          <w:ilvl w:val="1"/>
          <w:numId w:val="1"/>
        </w:numPr>
      </w:pPr>
      <w:r>
        <w:t>Implementation Services</w:t>
      </w:r>
    </w:p>
    <w:p>
      <w:pPr>
        <w:pStyle w:val="H3"/>
        <w:numPr>
          <w:ilvl w:val="2"/>
          <w:numId w:val="1"/>
        </w:numPr>
      </w:pPr>
      <w:r>
        <w:t>Engagement Model</w:t>
      </w:r>
    </w:p>
    <w:p>
      <w:r>
        <w:rPr>
          <w:rFonts w:ascii="Figtree" w:hAnsi="Figtree"/>
          <w:b w:val="0"/>
          <w:i w:val="0"/>
          <w:sz w:val="22"/>
        </w:rPr>
        <w:t>SettleMint provides fixed-scope implementation services quoted per engagement following commercial validation. The standard 19-week programme for Grab Financial covers: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75"/>
        <w:gridCol w:w="799"/>
        <w:gridCol w:w="59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Activities</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Requirements</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Business requirements, PSA compliance matrix, multi-corridor architecture design</w:t>
            </w:r>
          </w:p>
        </w:tc>
      </w:tr>
      <w:tr>
        <w:trPr>
          <w:trHeight w:val="425" w:hRule="atLeast"/>
        </w:trPr>
        <w:tc>
          <w:tcPr>
            <w:tcW w:type="dxa" w:w="3249"/>
            <w:vAlign w:val="center"/>
          </w:tcPr>
          <w:p>
            <w:pPr>
              <w:spacing w:line="276" w:lineRule="auto" w:before="0" w:after="0"/>
            </w:pPr>
            <w:r/>
            <w:r>
              <w:rPr>
                <w:rFonts w:ascii="Figtree" w:hAnsi="Figtree"/>
                <w:b w:val="0"/>
                <w:i w:val="0"/>
                <w:sz w:val="20"/>
              </w:rPr>
              <w:t>Foundation and Setup</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Environment provisioning, identity framework, custody integration, GrabPay API baseline</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Compliance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Payment token contracts, corridor compliance modules, XvP settlement addon</w:t>
            </w:r>
          </w:p>
        </w:tc>
      </w:tr>
      <w:tr>
        <w:trPr>
          <w:trHeight w:val="425" w:hRule="atLeast"/>
        </w:trPr>
        <w:tc>
          <w:tcPr>
            <w:tcW w:type="dxa" w:w="3249"/>
            <w:vAlign w:val="center"/>
          </w:tcPr>
          <w:p>
            <w:pPr>
              <w:spacing w:line="276" w:lineRule="auto" w:before="0" w:after="0"/>
            </w:pPr>
            <w:r/>
            <w:r>
              <w:rPr>
                <w:rFonts w:ascii="Figtree" w:hAnsi="Figtree"/>
                <w:b w:val="0"/>
                <w:i w:val="0"/>
                <w:sz w:val="20"/>
              </w:rPr>
              <w:t>Integration and Testing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GrabPay wallet integration, merchant settlement, GL/treasury; SIT/UAT/performance/DR</w:t>
            </w:r>
          </w:p>
        </w:tc>
      </w:tr>
      <w:tr>
        <w:trPr>
          <w:trHeight w:val="425" w:hRule="atLeast"/>
        </w:trPr>
        <w:tc>
          <w:tcPr>
            <w:tcW w:type="dxa" w:w="3249"/>
            <w:vAlign w:val="center"/>
          </w:tcPr>
          <w:p>
            <w:pPr>
              <w:spacing w:line="276" w:lineRule="auto" w:before="0" w:after="0"/>
            </w:pPr>
            <w:r/>
            <w:r>
              <w:rPr>
                <w:rFonts w:ascii="Figtree" w:hAnsi="Figtree"/>
                <w:b w:val="0"/>
                <w:i w:val="0"/>
                <w:sz w:val="20"/>
              </w:rPr>
              <w:t>Go-Live and 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Production deployment, training, runbooks, hypercare</w:t>
            </w:r>
          </w:p>
        </w:tc>
      </w:tr>
    </w:tbl>
    <w:p>
      <w:pPr>
        <w:spacing w:before="0" w:after="0" w:line="120" w:lineRule="exact"/>
      </w:pPr>
    </w:p>
    <w:p>
      <w:r>
        <w:rPr>
          <w:rFonts w:ascii="Figtree" w:hAnsi="Figtree"/>
          <w:b w:val="0"/>
          <w:i w:val="0"/>
          <w:sz w:val="22"/>
        </w:rPr>
        <w:t xml:space="preserve">Implementation fees are marked </w:t>
      </w:r>
      <w:r>
        <w:rPr>
          <w:rFonts w:ascii="Figtree" w:hAnsi="Figtree"/>
          <w:b/>
          <w:i w:val="0"/>
          <w:sz w:val="22"/>
        </w:rPr>
        <w:t>[CLIENT-SPECIFIC]</w:t>
      </w:r>
      <w:r>
        <w:rPr>
          <w:rFonts w:ascii="Figtree" w:hAnsi="Figtree"/>
          <w:b w:val="0"/>
          <w:i w:val="0"/>
          <w:sz w:val="22"/>
        </w:rPr>
        <w:t xml:space="preserve"> and confirmed through a 2-hour commercial scoping call.</w:t>
      </w:r>
    </w:p>
    <w:p>
      <w:pPr>
        <w:pStyle w:val="H3"/>
        <w:numPr>
          <w:ilvl w:val="2"/>
          <w:numId w:val="1"/>
        </w:numPr>
      </w:pPr>
      <w:r>
        <w:t>Implementation Governance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4"/>
        <w:gridCol w:w="3415"/>
        <w:gridCol w:w="32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Grab Financial</w:t>
            </w:r>
          </w:p>
        </w:tc>
      </w:tr>
      <w:tr>
        <w:trPr>
          <w:trHeight w:val="425" w:hRule="atLeast"/>
        </w:trPr>
        <w:tc>
          <w:tcPr>
            <w:tcW w:type="dxa" w:w="3249"/>
            <w:vAlign w:val="center"/>
          </w:tcPr>
          <w:p>
            <w:pPr>
              <w:spacing w:line="276" w:lineRule="auto" w:before="0" w:after="0"/>
            </w:pPr>
            <w:r/>
            <w:r>
              <w:rPr>
                <w:rFonts w:ascii="Figtree" w:hAnsi="Figtree"/>
                <w:b w:val="0"/>
                <w:i w:val="0"/>
                <w:sz w:val="20"/>
              </w:rPr>
              <w:t>Project Management</w:t>
            </w:r>
          </w:p>
        </w:tc>
        <w:tc>
          <w:tcPr>
            <w:tcW w:type="dxa" w:w="3249"/>
            <w:vAlign w:val="center"/>
          </w:tcPr>
          <w:p>
            <w:pPr>
              <w:spacing w:line="276" w:lineRule="auto" w:before="0" w:after="0"/>
            </w:pPr>
            <w:r/>
            <w:r>
              <w:rPr>
                <w:rFonts w:ascii="Figtree" w:hAnsi="Figtree"/>
                <w:b w:val="0"/>
                <w:i w:val="0"/>
                <w:sz w:val="20"/>
              </w:rPr>
              <w:t>SettleMint PM</w:t>
            </w:r>
          </w:p>
        </w:tc>
        <w:tc>
          <w:tcPr>
            <w:tcW w:type="dxa" w:w="3249"/>
            <w:vAlign w:val="center"/>
          </w:tcPr>
          <w:p>
            <w:pPr>
              <w:spacing w:line="276" w:lineRule="auto" w:before="0" w:after="0"/>
            </w:pPr>
            <w:r/>
            <w:r>
              <w:rPr>
                <w:rFonts w:ascii="Figtree" w:hAnsi="Figtree"/>
                <w:b w:val="0"/>
                <w:i w:val="0"/>
                <w:sz w:val="20"/>
              </w:rPr>
              <w:t>Grab Financial PM</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Architecture</w:t>
            </w:r>
          </w:p>
        </w:tc>
        <w:tc>
          <w:tcPr>
            <w:tcW w:type="dxa" w:w="3249"/>
            <w:vAlign w:val="center"/>
          </w:tcPr>
          <w:p>
            <w:pPr>
              <w:spacing w:line="276" w:lineRule="auto" w:before="0" w:after="0"/>
            </w:pPr>
            <w:r/>
            <w:r>
              <w:rPr>
                <w:rFonts w:ascii="Figtree" w:hAnsi="Figtree"/>
                <w:b w:val="0"/>
                <w:i w:val="0"/>
                <w:sz w:val="20"/>
              </w:rPr>
              <w:t>SettleMint Solution Architect</w:t>
            </w:r>
          </w:p>
        </w:tc>
        <w:tc>
          <w:tcPr>
            <w:tcW w:type="dxa" w:w="3249"/>
            <w:vAlign w:val="center"/>
          </w:tcPr>
          <w:p>
            <w:pPr>
              <w:spacing w:line="276" w:lineRule="auto" w:before="0" w:after="0"/>
            </w:pPr>
            <w:r/>
            <w:r>
              <w:rPr>
                <w:rFonts w:ascii="Figtree" w:hAnsi="Figtree"/>
                <w:b w:val="0"/>
                <w:i w:val="0"/>
                <w:sz w:val="20"/>
              </w:rPr>
              <w:t>Grab Financial Tech Lead</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Engineering</w:t>
            </w:r>
          </w:p>
        </w:tc>
        <w:tc>
          <w:tcPr>
            <w:tcW w:type="dxa" w:w="3249"/>
            <w:vAlign w:val="center"/>
          </w:tcPr>
          <w:p>
            <w:pPr>
              <w:spacing w:line="276" w:lineRule="auto" w:before="0" w:after="0"/>
            </w:pPr>
            <w:r/>
            <w:r>
              <w:rPr>
                <w:rFonts w:ascii="Figtree" w:hAnsi="Figtree"/>
                <w:b w:val="0"/>
                <w:i w:val="0"/>
                <w:sz w:val="20"/>
              </w:rPr>
              <w:t>SettleMint Integration Engineer</w:t>
            </w:r>
          </w:p>
        </w:tc>
        <w:tc>
          <w:tcPr>
            <w:tcW w:type="dxa" w:w="3249"/>
            <w:vAlign w:val="center"/>
          </w:tcPr>
          <w:p>
            <w:pPr>
              <w:spacing w:line="276" w:lineRule="auto" w:before="0" w:after="0"/>
            </w:pPr>
            <w:r/>
            <w:r>
              <w:rPr>
                <w:rFonts w:ascii="Figtree" w:hAnsi="Figtree"/>
                <w:b w:val="0"/>
                <w:i w:val="0"/>
                <w:sz w:val="20"/>
              </w:rPr>
              <w:t>GrabPay Engineering Contact</w:t>
            </w:r>
          </w:p>
        </w:tc>
      </w:tr>
      <w:tr>
        <w:trPr>
          <w:trHeight w:val="425" w:hRule="atLeast"/>
        </w:trPr>
        <w:tc>
          <w:tcPr>
            <w:tcW w:type="dxa" w:w="3249"/>
            <w:vAlign w:val="center"/>
          </w:tcPr>
          <w:p>
            <w:pPr>
              <w:spacing w:line="276" w:lineRule="auto" w:before="0" w:after="0"/>
            </w:pPr>
            <w:r/>
            <w:r>
              <w:rPr>
                <w:rFonts w:ascii="Figtree" w:hAnsi="Figtree"/>
                <w:b w:val="0"/>
                <w:i w:val="0"/>
                <w:sz w:val="20"/>
              </w:rPr>
              <w:t>Compliance / Regulatory</w:t>
            </w:r>
          </w:p>
        </w:tc>
        <w:tc>
          <w:tcPr>
            <w:tcW w:type="dxa" w:w="3249"/>
            <w:vAlign w:val="center"/>
          </w:tcPr>
          <w:p>
            <w:pPr>
              <w:spacing w:line="276" w:lineRule="auto" w:before="0" w:after="0"/>
            </w:pPr>
            <w:r/>
            <w:r>
              <w:rPr>
                <w:rFonts w:ascii="Figtree" w:hAnsi="Figtree"/>
                <w:b w:val="0"/>
                <w:i w:val="0"/>
                <w:sz w:val="20"/>
              </w:rPr>
              <w:t>SettleMint Compliance Specialist</w:t>
            </w:r>
          </w:p>
        </w:tc>
        <w:tc>
          <w:tcPr>
            <w:tcW w:type="dxa" w:w="3249"/>
            <w:vAlign w:val="center"/>
          </w:tcPr>
          <w:p>
            <w:pPr>
              <w:spacing w:line="276" w:lineRule="auto" w:before="0" w:after="0"/>
            </w:pPr>
            <w:r/>
            <w:r>
              <w:rPr>
                <w:rFonts w:ascii="Figtree" w:hAnsi="Figtree"/>
                <w:b w:val="0"/>
                <w:i w:val="0"/>
                <w:sz w:val="20"/>
              </w:rPr>
              <w:t>Grab Financial Compliance Lead</w:t>
            </w:r>
          </w:p>
        </w:tc>
      </w:tr>
    </w:tbl>
    <w:p>
      <w:pPr>
        <w:spacing w:before="0" w:after="0" w:line="120" w:lineRule="exact"/>
      </w:pPr>
    </w:p>
    <w:p>
      <w:r>
        <w:br w:type="page"/>
      </w:r>
    </w:p>
    <w:p>
      <w:pPr>
        <w:pStyle w:val="H2"/>
        <w:numPr>
          <w:ilvl w:val="1"/>
          <w:numId w:val="1"/>
        </w:numPr>
      </w:pPr>
      <w:r>
        <w:t>Support and Maintenance</w:t>
      </w:r>
    </w:p>
    <w:p>
      <w:pPr>
        <w:pStyle w:val="H3"/>
        <w:numPr>
          <w:ilvl w:val="2"/>
          <w:numId w:val="1"/>
        </w:numPr>
      </w:pPr>
      <w:r>
        <w:t>Enterprise Support (Included in License)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28"/>
        <w:gridCol w:w="54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&lt; 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Channels</w:t>
            </w:r>
          </w:p>
        </w:tc>
        <w:tc>
          <w:tcPr>
            <w:tcW w:type="dxa" w:w="4873"/>
            <w:vAlign w:val="center"/>
          </w:tcPr>
          <w:p>
            <w:pPr>
              <w:spacing w:line="276" w:lineRule="auto" w:before="0" w:after="0"/>
            </w:pPr>
            <w:r/>
            <w:r>
              <w:rPr>
                <w:rFonts w:ascii="Figtree" w:hAnsi="Figtree"/>
                <w:b w:val="0"/>
                <w:i w:val="0"/>
                <w:sz w:val="20"/>
              </w:rPr>
              <w:t>Portal, email, Slack, phone, video</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Team</w:t>
            </w:r>
          </w:p>
        </w:tc>
        <w:tc>
          <w:tcPr>
            <w:tcW w:type="dxa" w:w="4873"/>
            <w:vAlign w:val="center"/>
          </w:tcPr>
          <w:p>
            <w:pPr>
              <w:spacing w:line="276" w:lineRule="auto" w:before="0" w:after="0"/>
            </w:pPr>
            <w:r/>
            <w:r>
              <w:rPr>
                <w:rFonts w:ascii="Figtree" w:hAnsi="Figtree"/>
                <w:b w:val="0"/>
                <w:i w:val="0"/>
                <w:sz w:val="20"/>
              </w:rPr>
              <w:t>Yes — APAC-aligned engineers</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staged rollouts</w:t>
            </w:r>
          </w:p>
        </w:tc>
      </w:tr>
    </w:tbl>
    <w:p>
      <w:pPr>
        <w:spacing w:before="0" w:after="0" w:line="120" w:lineRule="exact"/>
      </w:pPr>
    </w:p>
    <w:p>
      <w:pPr>
        <w:pStyle w:val="H3"/>
        <w:numPr>
          <w:ilvl w:val="2"/>
          <w:numId w:val="1"/>
        </w:numPr>
      </w:pPr>
      <w:r>
        <w:t>P1 Escalation: Payment Infrastructure</w:t>
      </w:r>
    </w:p>
    <w:p>
      <w:r>
        <w:rPr>
          <w:rFonts w:ascii="Figtree" w:hAnsi="Figtree"/>
          <w:b w:val="0"/>
          <w:i w:val="0"/>
          <w:sz w:val="22"/>
        </w:rPr>
        <w:t>For payment infrastructure, SettleMint defines P1 as any condition causing material disruption to settlement operations: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2"/>
        <w:gridCol w:w="58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P1 Trigger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Example</w:t>
            </w:r>
          </w:p>
        </w:tc>
      </w:tr>
      <w:tr>
        <w:trPr>
          <w:trHeight w:val="425" w:hRule="atLeast"/>
        </w:trPr>
        <w:tc>
          <w:tcPr>
            <w:tcW w:type="dxa" w:w="4873"/>
            <w:vAlign w:val="center"/>
          </w:tcPr>
          <w:p>
            <w:pPr>
              <w:spacing w:line="276" w:lineRule="auto" w:before="0" w:after="0"/>
            </w:pPr>
            <w:r/>
            <w:r>
              <w:rPr>
                <w:rFonts w:ascii="Figtree" w:hAnsi="Figtree"/>
                <w:b w:val="0"/>
                <w:i w:val="0"/>
                <w:sz w:val="20"/>
              </w:rPr>
              <w:t>Settlement finality failure</w:t>
            </w:r>
          </w:p>
        </w:tc>
        <w:tc>
          <w:tcPr>
            <w:tcW w:type="dxa" w:w="4873"/>
            <w:vAlign w:val="center"/>
          </w:tcPr>
          <w:p>
            <w:pPr>
              <w:spacing w:line="276" w:lineRule="auto" w:before="0" w:after="0"/>
            </w:pPr>
            <w:r/>
            <w:r>
              <w:rPr>
                <w:rFonts w:ascii="Figtree" w:hAnsi="Figtree"/>
                <w:b w:val="0"/>
                <w:i w:val="0"/>
                <w:sz w:val="20"/>
              </w:rPr>
              <w:t>XvP contract unreachable; settlement events not confirmed</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 unavailable</w:t>
            </w:r>
          </w:p>
        </w:tc>
        <w:tc>
          <w:tcPr>
            <w:tcW w:type="dxa" w:w="4873"/>
            <w:vAlign w:val="center"/>
          </w:tcPr>
          <w:p>
            <w:pPr>
              <w:spacing w:line="276" w:lineRule="auto" w:before="0" w:after="0"/>
            </w:pPr>
            <w:r/>
            <w:r>
              <w:rPr>
                <w:rFonts w:ascii="Figtree" w:hAnsi="Figtree"/>
                <w:b w:val="0"/>
                <w:i w:val="0"/>
                <w:sz w:val="20"/>
              </w:rPr>
              <w:t>Transfer validation failures due to compliance engine errors</w:t>
            </w:r>
          </w:p>
        </w:tc>
      </w:tr>
      <w:tr>
        <w:trPr>
          <w:trHeight w:val="425" w:hRule="atLeast"/>
        </w:trPr>
        <w:tc>
          <w:tcPr>
            <w:tcW w:type="dxa" w:w="4873"/>
            <w:vAlign w:val="center"/>
          </w:tcPr>
          <w:p>
            <w:pPr>
              <w:spacing w:line="276" w:lineRule="auto" w:before="0" w:after="0"/>
            </w:pPr>
            <w:r/>
            <w:r>
              <w:rPr>
                <w:rFonts w:ascii="Figtree" w:hAnsi="Figtree"/>
                <w:b w:val="0"/>
                <w:i w:val="0"/>
                <w:sz w:val="20"/>
              </w:rPr>
              <w:t>API / DAPI unresponsive</w:t>
            </w:r>
          </w:p>
        </w:tc>
        <w:tc>
          <w:tcPr>
            <w:tcW w:type="dxa" w:w="4873"/>
            <w:vAlign w:val="center"/>
          </w:tcPr>
          <w:p>
            <w:pPr>
              <w:spacing w:line="276" w:lineRule="auto" w:before="0" w:after="0"/>
            </w:pPr>
            <w:r/>
            <w:r>
              <w:rPr>
                <w:rFonts w:ascii="Figtree" w:hAnsi="Figtree"/>
                <w:b w:val="0"/>
                <w:i w:val="0"/>
                <w:sz w:val="20"/>
              </w:rPr>
              <w:t>GrabPay wallet unable to initiate payment token transfers</w:t>
            </w:r>
          </w:p>
        </w:tc>
      </w:tr>
      <w:tr>
        <w:trPr>
          <w:trHeight w:val="425" w:hRule="atLeast"/>
        </w:trPr>
        <w:tc>
          <w:tcPr>
            <w:tcW w:type="dxa" w:w="4873"/>
            <w:vAlign w:val="center"/>
          </w:tcPr>
          <w:p>
            <w:pPr>
              <w:spacing w:line="276" w:lineRule="auto" w:before="0" w:after="0"/>
            </w:pPr>
            <w:r/>
            <w:r>
              <w:rPr>
                <w:rFonts w:ascii="Figtree" w:hAnsi="Figtree"/>
                <w:b w:val="0"/>
                <w:i w:val="0"/>
                <w:sz w:val="20"/>
              </w:rPr>
              <w:t>Key Guardian failure</w:t>
            </w:r>
          </w:p>
        </w:tc>
        <w:tc>
          <w:tcPr>
            <w:tcW w:type="dxa" w:w="4873"/>
            <w:vAlign w:val="center"/>
          </w:tcPr>
          <w:p>
            <w:pPr>
              <w:spacing w:line="276" w:lineRule="auto" w:before="0" w:after="0"/>
            </w:pPr>
            <w:r/>
            <w:r>
              <w:rPr>
                <w:rFonts w:ascii="Figtree" w:hAnsi="Figtree"/>
                <w:b w:val="0"/>
                <w:i w:val="0"/>
                <w:sz w:val="20"/>
              </w:rPr>
              <w:t>Signing failures preventing all blockchain writes</w:t>
            </w:r>
          </w:p>
        </w:tc>
      </w:tr>
    </w:tbl>
    <w:p>
      <w:pPr>
        <w:spacing w:before="0" w:after="0" w:line="120" w:lineRule="exact"/>
      </w:pPr>
    </w:p>
    <w:p>
      <w:r>
        <w:rPr>
          <w:rFonts w:ascii="Figtree" w:hAnsi="Figtree"/>
          <w:b w:val="0"/>
          <w:i w:val="0"/>
          <w:sz w:val="22"/>
        </w:rPr>
        <w:t>P1 incidents trigger a war-room response: named incident manager, direct engineering escalation, and continuous status communication to Grab Financial's operations team.</w:t>
      </w:r>
    </w:p>
    <w:p>
      <w:r>
        <w:br w:type="page"/>
      </w:r>
    </w:p>
    <w:p>
      <w:pPr>
        <w:pStyle w:val="H2"/>
        <w:numPr>
          <w:ilvl w:val="1"/>
          <w:numId w:val="1"/>
        </w:numPr>
      </w:pPr>
      <w:r>
        <w:t>Total Cost of Ownership</w:t>
      </w:r>
    </w:p>
    <w:p>
      <w:pPr>
        <w:pStyle w:val="H3"/>
        <w:numPr>
          <w:ilvl w:val="2"/>
          <w:numId w:val="1"/>
        </w:numPr>
      </w:pPr>
      <w:r>
        <w:t>Year 1 and Year 2+ 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08"/>
        <w:gridCol w:w="1927"/>
        <w:gridCol w:w="1927"/>
        <w:gridCol w:w="260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2+ (Annual)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DALP Enterprise License</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Fixed; upfront per year</w:t>
            </w:r>
          </w:p>
        </w:tc>
      </w:tr>
      <w:tr>
        <w:trPr>
          <w:trHeight w:val="425" w:hRule="atLeast"/>
        </w:trPr>
        <w:tc>
          <w:tcPr>
            <w:tcW w:type="dxa" w:w="2436"/>
            <w:vAlign w:val="center"/>
          </w:tcPr>
          <w:p>
            <w:pPr>
              <w:spacing w:line="276" w:lineRule="auto" w:before="0" w:after="0"/>
            </w:pPr>
            <w:r/>
            <w:r>
              <w:rPr>
                <w:rFonts w:ascii="Figtree" w:hAnsi="Figtree"/>
                <w:b w:val="0"/>
                <w:i w:val="0"/>
                <w:sz w:val="20"/>
              </w:rPr>
              <w:t>Implementation Services</w:t>
            </w:r>
          </w:p>
        </w:tc>
        <w:tc>
          <w:tcPr>
            <w:tcW w:type="dxa" w:w="2436"/>
            <w:vAlign w:val="center"/>
          </w:tcPr>
          <w:p>
            <w:pPr>
              <w:spacing w:line="276" w:lineRule="auto" w:before="0" w:after="0"/>
            </w:pPr>
            <w:r/>
            <w:r>
              <w:rPr>
                <w:rFonts w:ascii="Figtree" w:hAnsi="Figtree"/>
                <w:b w:val="0"/>
                <w:i w:val="0"/>
                <w:sz w:val="20"/>
              </w:rPr>
              <w:t>[CLIENT-SPECIFIC]</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One-time</w:t>
            </w:r>
          </w:p>
        </w:tc>
      </w:tr>
      <w:tr>
        <w:trPr>
          <w:trHeight w:val="425" w:hRule="atLeast"/>
        </w:trPr>
        <w:tc>
          <w:tcPr>
            <w:tcW w:type="dxa" w:w="2436"/>
            <w:vAlign w:val="center"/>
          </w:tcPr>
          <w:p>
            <w:pPr>
              <w:spacing w:line="276" w:lineRule="auto" w:before="0" w:after="0"/>
            </w:pPr>
            <w:r/>
            <w:r>
              <w:rPr>
                <w:rFonts w:ascii="Figtree" w:hAnsi="Figtree"/>
                <w:b w:val="0"/>
                <w:i w:val="0"/>
                <w:sz w:val="20"/>
              </w:rPr>
              <w:t>Cloud Infrastructure</w:t>
            </w:r>
          </w:p>
        </w:tc>
        <w:tc>
          <w:tcPr>
            <w:tcW w:type="dxa" w:w="2436"/>
            <w:vAlign w:val="center"/>
          </w:tcPr>
          <w:p>
            <w:pPr>
              <w:spacing w:line="276" w:lineRule="auto" w:before="0" w:after="0"/>
            </w:pPr>
            <w:r/>
            <w:r>
              <w:rPr>
                <w:rFonts w:ascii="Figtree" w:hAnsi="Figtree"/>
                <w:b w:val="0"/>
                <w:i w:val="0"/>
                <w:sz w:val="20"/>
              </w:rPr>
              <w:t>[PASS-THROUGH]</w:t>
            </w:r>
          </w:p>
        </w:tc>
        <w:tc>
          <w:tcPr>
            <w:tcW w:type="dxa" w:w="2436"/>
            <w:vAlign w:val="center"/>
          </w:tcPr>
          <w:p>
            <w:pPr>
              <w:spacing w:line="276" w:lineRule="auto" w:before="0" w:after="0"/>
            </w:pPr>
            <w:r/>
            <w:r>
              <w:rPr>
                <w:rFonts w:ascii="Figtree" w:hAnsi="Figtree"/>
                <w:b w:val="0"/>
                <w:i w:val="0"/>
                <w:sz w:val="20"/>
              </w:rPr>
              <w:t>[PASS-THROUGH]</w:t>
            </w:r>
          </w:p>
        </w:tc>
        <w:tc>
          <w:tcPr>
            <w:tcW w:type="dxa" w:w="2436"/>
            <w:vAlign w:val="center"/>
          </w:tcPr>
          <w:p>
            <w:pPr>
              <w:spacing w:line="276" w:lineRule="auto" w:before="0" w:after="0"/>
            </w:pPr>
            <w:r/>
            <w:r>
              <w:rPr>
                <w:rFonts w:ascii="Figtree" w:hAnsi="Figtree"/>
                <w:b w:val="0"/>
                <w:i w:val="0"/>
                <w:sz w:val="20"/>
              </w:rPr>
              <w:t>AWS cost</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w:t>
            </w:r>
          </w:p>
        </w:tc>
        <w:tc>
          <w:tcPr>
            <w:tcW w:type="dxa" w:w="2436"/>
            <w:vAlign w:val="center"/>
          </w:tcPr>
          <w:p>
            <w:pPr>
              <w:spacing w:line="276" w:lineRule="auto" w:before="0" w:after="0"/>
            </w:pPr>
            <w:r/>
            <w:r>
              <w:rPr>
                <w:rFonts w:ascii="Figtree" w:hAnsi="Figtree"/>
                <w:b w:val="0"/>
                <w:i w:val="0"/>
                <w:sz w:val="20"/>
              </w:rPr>
              <w:t>[DIRECT CONTRACT]</w:t>
            </w:r>
          </w:p>
        </w:tc>
        <w:tc>
          <w:tcPr>
            <w:tcW w:type="dxa" w:w="2436"/>
            <w:vAlign w:val="center"/>
          </w:tcPr>
          <w:p>
            <w:pPr>
              <w:spacing w:line="276" w:lineRule="auto" w:before="0" w:after="0"/>
            </w:pPr>
            <w:r/>
            <w:r>
              <w:rPr>
                <w:rFonts w:ascii="Figtree" w:hAnsi="Figtree"/>
                <w:b w:val="0"/>
                <w:i w:val="0"/>
                <w:sz w:val="20"/>
              </w:rPr>
              <w:t>[DIRECT CONTRACT]</w:t>
            </w:r>
          </w:p>
        </w:tc>
        <w:tc>
          <w:tcPr>
            <w:tcW w:type="dxa" w:w="2436"/>
            <w:vAlign w:val="center"/>
          </w:tcPr>
          <w:p>
            <w:pPr>
              <w:spacing w:line="276" w:lineRule="auto" w:before="0" w:after="0"/>
            </w:pPr>
            <w:r/>
            <w:r>
              <w:rPr>
                <w:rFonts w:ascii="Figtree" w:hAnsi="Figtree"/>
                <w:b w:val="0"/>
                <w:i w:val="0"/>
                <w:sz w:val="20"/>
              </w:rPr>
              <w:t>Fireblocks/DFNS</w:t>
            </w:r>
          </w:p>
        </w:tc>
      </w:tr>
    </w:tbl>
    <w:p>
      <w:pPr>
        <w:spacing w:before="0" w:after="0" w:line="120" w:lineRule="exact"/>
      </w:pPr>
    </w:p>
    <w:p>
      <w:r>
        <w:rPr>
          <w:rFonts w:ascii="Figtree" w:hAnsi="Figtree"/>
          <w:b/>
          <w:i w:val="0"/>
          <w:sz w:val="22"/>
        </w:rPr>
        <w:t>Year 1 vs Year 2+ Cost Profile:</w:t>
      </w:r>
    </w:p>
    <w:p>
      <w:r>
        <w:rPr>
          <w:rFonts w:ascii="Figtree" w:hAnsi="Figtree"/>
          <w:b w:val="0"/>
          <w:i w:val="0"/>
          <w:sz w:val="22"/>
        </w:rPr>
        <w:t>Year 1 is implementation-heavy: the total cost includes license, one-time implementation, and infrastructure. From Year 2, the cost profile simplifies to €420,000/year (license) plus infrastructure pass-through. This step-change is significant: Year 2+ total platform cost is typically 30-50% lower than Year 1 once implementation is complete, depending on the implementation scope confirmed during commercial validation.</w:t>
      </w:r>
    </w:p>
    <w:p>
      <w:r>
        <w:rPr>
          <w:rFonts w:ascii="Figtree" w:hAnsi="Figtree"/>
          <w:b w:val="0"/>
          <w:i w:val="0"/>
          <w:sz w:val="22"/>
        </w:rPr>
        <w:t>This cost profile step-change has a strategic implication: the earlier Grab Financial reaches production, the sooner the economics shift to the favorable Year 2+ profile. Delayed go-live extends the Year 1 cost period without the operational benefits of the live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00"/>
        <w:gridCol w:w="1067"/>
        <w:gridCol w:w="2268"/>
        <w:gridCol w:w="1867"/>
        <w:gridCol w:w="306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Approximate Total</w:t>
            </w:r>
          </w:p>
        </w:tc>
      </w:tr>
      <w:tr>
        <w:trPr>
          <w:trHeight w:val="425" w:hRule="atLeast"/>
        </w:trPr>
        <w:tc>
          <w:tcPr>
            <w:tcW w:type="dxa" w:w="1949"/>
            <w:vAlign w:val="center"/>
          </w:tcPr>
          <w:p>
            <w:pPr>
              <w:spacing w:line="276" w:lineRule="auto" w:before="0" w:after="0"/>
            </w:pPr>
            <w:r/>
            <w:r>
              <w:rPr>
                <w:rFonts w:ascii="Figtree" w:hAnsi="Figtree"/>
                <w:b w:val="0"/>
                <w:i w:val="0"/>
                <w:sz w:val="20"/>
              </w:rPr>
              <w:t>Year 1</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[PASS-THROUGH]</w:t>
            </w:r>
          </w:p>
        </w:tc>
        <w:tc>
          <w:tcPr>
            <w:tcW w:type="dxa" w:w="1949"/>
            <w:vAlign w:val="center"/>
          </w:tcPr>
          <w:p>
            <w:pPr>
              <w:spacing w:line="276" w:lineRule="auto" w:before="0" w:after="0"/>
            </w:pPr>
            <w:r/>
            <w:r>
              <w:rPr>
                <w:rFonts w:ascii="Figtree" w:hAnsi="Figtree"/>
                <w:b w:val="0"/>
                <w:i w:val="0"/>
                <w:sz w:val="20"/>
              </w:rPr>
              <w:t>€420,000 + impl + infra</w:t>
            </w:r>
          </w:p>
        </w:tc>
      </w:tr>
      <w:tr>
        <w:trPr>
          <w:trHeight w:val="425" w:hRule="atLeast"/>
        </w:trPr>
        <w:tc>
          <w:tcPr>
            <w:tcW w:type="dxa" w:w="1949"/>
            <w:vAlign w:val="center"/>
          </w:tcPr>
          <w:p>
            <w:pPr>
              <w:spacing w:line="276" w:lineRule="auto" w:before="0" w:after="0"/>
            </w:pPr>
            <w:r/>
            <w:r>
              <w:rPr>
                <w:rFonts w:ascii="Figtree" w:hAnsi="Figtree"/>
                <w:b w:val="0"/>
                <w:i w:val="0"/>
                <w:sz w:val="20"/>
              </w:rPr>
              <w:t>Year 2</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[PASS-THROUGH]</w:t>
            </w:r>
          </w:p>
        </w:tc>
        <w:tc>
          <w:tcPr>
            <w:tcW w:type="dxa" w:w="1949"/>
            <w:vAlign w:val="center"/>
          </w:tcPr>
          <w:p>
            <w:pPr>
              <w:spacing w:line="276" w:lineRule="auto" w:before="0" w:after="0"/>
            </w:pPr>
            <w:r/>
            <w:r>
              <w:rPr>
                <w:rFonts w:ascii="Figtree" w:hAnsi="Figtree"/>
                <w:b w:val="0"/>
                <w:i w:val="0"/>
                <w:sz w:val="20"/>
              </w:rPr>
              <w:t>€420,000 + infra</w:t>
            </w:r>
          </w:p>
        </w:tc>
      </w:tr>
      <w:tr>
        <w:trPr>
          <w:trHeight w:val="425" w:hRule="atLeast"/>
        </w:trPr>
        <w:tc>
          <w:tcPr>
            <w:tcW w:type="dxa" w:w="1949"/>
            <w:vAlign w:val="center"/>
          </w:tcPr>
          <w:p>
            <w:pPr>
              <w:spacing w:line="276" w:lineRule="auto" w:before="0" w:after="0"/>
            </w:pPr>
            <w:r/>
            <w:r>
              <w:rPr>
                <w:rFonts w:ascii="Figtree" w:hAnsi="Figtree"/>
                <w:b w:val="0"/>
                <w:i w:val="0"/>
                <w:sz w:val="20"/>
              </w:rPr>
              <w:t>Year 3</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[PASS-THROUGH]</w:t>
            </w:r>
          </w:p>
        </w:tc>
        <w:tc>
          <w:tcPr>
            <w:tcW w:type="dxa" w:w="1949"/>
            <w:vAlign w:val="center"/>
          </w:tcPr>
          <w:p>
            <w:pPr>
              <w:spacing w:line="276" w:lineRule="auto" w:before="0" w:after="0"/>
            </w:pPr>
            <w:r/>
            <w:r>
              <w:rPr>
                <w:rFonts w:ascii="Figtree" w:hAnsi="Figtree"/>
                <w:b w:val="0"/>
                <w:i w:val="0"/>
                <w:sz w:val="20"/>
              </w:rPr>
              <w:t>€420,000 + infra</w:t>
            </w:r>
          </w:p>
        </w:tc>
      </w:tr>
      <w:tr>
        <w:trPr>
          <w:trHeight w:val="425" w:hRule="atLeast"/>
        </w:trPr>
        <w:tc>
          <w:tcPr>
            <w:tcW w:type="dxa" w:w="1949"/>
            <w:vAlign w:val="center"/>
          </w:tcPr>
          <w:p>
            <w:pPr>
              <w:spacing w:line="276" w:lineRule="auto" w:before="0" w:after="0"/>
            </w:pPr>
            <w:r/>
            <w:r>
              <w:rPr>
                <w:rFonts w:ascii="Figtree" w:hAnsi="Figtree"/>
                <w:b w:val="0"/>
                <w:i w:val="0"/>
                <w:sz w:val="20"/>
              </w:rPr>
              <w:t>Year 4</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[PASS-THROUGH]</w:t>
            </w:r>
          </w:p>
        </w:tc>
        <w:tc>
          <w:tcPr>
            <w:tcW w:type="dxa" w:w="1949"/>
            <w:vAlign w:val="center"/>
          </w:tcPr>
          <w:p>
            <w:pPr>
              <w:spacing w:line="276" w:lineRule="auto" w:before="0" w:after="0"/>
            </w:pPr>
            <w:r/>
            <w:r>
              <w:rPr>
                <w:rFonts w:ascii="Figtree" w:hAnsi="Figtree"/>
                <w:b w:val="0"/>
                <w:i w:val="0"/>
                <w:sz w:val="20"/>
              </w:rPr>
              <w:t>€420,000 + infra</w:t>
            </w:r>
          </w:p>
        </w:tc>
      </w:tr>
      <w:tr>
        <w:trPr>
          <w:trHeight w:val="425" w:hRule="atLeast"/>
        </w:trPr>
        <w:tc>
          <w:tcPr>
            <w:tcW w:type="dxa" w:w="1949"/>
            <w:vAlign w:val="center"/>
          </w:tcPr>
          <w:p>
            <w:pPr>
              <w:spacing w:line="276" w:lineRule="auto" w:before="0" w:after="0"/>
            </w:pPr>
            <w:r/>
            <w:r>
              <w:rPr>
                <w:rFonts w:ascii="Figtree" w:hAnsi="Figtree"/>
                <w:b w:val="0"/>
                <w:i w:val="0"/>
                <w:sz w:val="20"/>
              </w:rPr>
              <w:t>Year 5</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[PASS-THROUGH]</w:t>
            </w:r>
          </w:p>
        </w:tc>
        <w:tc>
          <w:tcPr>
            <w:tcW w:type="dxa" w:w="1949"/>
            <w:vAlign w:val="center"/>
          </w:tcPr>
          <w:p>
            <w:pPr>
              <w:spacing w:line="276" w:lineRule="auto" w:before="0" w:after="0"/>
            </w:pPr>
            <w:r/>
            <w:r>
              <w:rPr>
                <w:rFonts w:ascii="Figtree" w:hAnsi="Figtree"/>
                <w:b w:val="0"/>
                <w:i w:val="0"/>
                <w:sz w:val="20"/>
              </w:rPr>
              <w:t>€420,000 + infra</w:t>
            </w:r>
          </w:p>
        </w:tc>
      </w:tr>
    </w:tbl>
    <w:p>
      <w:pPr>
        <w:spacing w:before="0" w:after="0" w:line="120" w:lineRule="exact"/>
      </w:pPr>
    </w:p>
    <w:p>
      <w:pPr>
        <w:pStyle w:val="H3"/>
        <w:numPr>
          <w:ilvl w:val="2"/>
          <w:numId w:val="1"/>
        </w:numPr>
      </w:pPr>
      <w:r>
        <w:t>TCO Comparison: DALP vs Build-In-House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3"/>
        <w:gridCol w:w="1642"/>
        <w:gridCol w:w="1955"/>
        <w:gridCol w:w="344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(5 years)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Platform License</w:t>
            </w:r>
          </w:p>
        </w:tc>
        <w:tc>
          <w:tcPr>
            <w:tcW w:type="dxa" w:w="2436"/>
            <w:vAlign w:val="center"/>
          </w:tcPr>
          <w:p>
            <w:pPr>
              <w:spacing w:line="276" w:lineRule="auto" w:before="0" w:after="0"/>
            </w:pPr>
            <w:r/>
            <w:r>
              <w:rPr>
                <w:rFonts w:ascii="Figtree" w:hAnsi="Figtree"/>
                <w:b w:val="0"/>
                <w:i w:val="0"/>
                <w:sz w:val="20"/>
              </w:rPr>
              <w:t>€2,100,000</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DALP Year 1-5 license</w:t>
            </w:r>
          </w:p>
        </w:tc>
      </w:tr>
      <w:tr>
        <w:trPr>
          <w:trHeight w:val="425" w:hRule="atLeast"/>
        </w:trPr>
        <w:tc>
          <w:tcPr>
            <w:tcW w:type="dxa" w:w="2436"/>
            <w:vAlign w:val="center"/>
          </w:tcPr>
          <w:p>
            <w:pPr>
              <w:spacing w:line="276" w:lineRule="auto" w:before="0" w:after="0"/>
            </w:pPr>
            <w:r/>
            <w:r>
              <w:rPr>
                <w:rFonts w:ascii="Figtree" w:hAnsi="Figtree"/>
                <w:b w:val="0"/>
                <w:i w:val="0"/>
                <w:sz w:val="20"/>
              </w:rPr>
              <w:t>Initial Build</w:t>
            </w:r>
          </w:p>
        </w:tc>
        <w:tc>
          <w:tcPr>
            <w:tcW w:type="dxa" w:w="2436"/>
            <w:vAlign w:val="center"/>
          </w:tcPr>
          <w:p>
            <w:pPr>
              <w:spacing w:line="276" w:lineRule="auto" w:before="0" w:after="0"/>
            </w:pPr>
            <w:r/>
            <w:r>
              <w:rPr>
                <w:rFonts w:ascii="Figtree" w:hAnsi="Figtree"/>
                <w:b w:val="0"/>
                <w:i w:val="0"/>
                <w:sz w:val="20"/>
              </w:rPr>
              <w:t>[CLIENT-SPECIFIC]</w:t>
            </w:r>
          </w:p>
        </w:tc>
        <w:tc>
          <w:tcPr>
            <w:tcW w:type="dxa" w:w="2436"/>
            <w:vAlign w:val="center"/>
          </w:tcPr>
          <w:p>
            <w:pPr>
              <w:spacing w:line="276" w:lineRule="auto" w:before="0" w:after="0"/>
            </w:pPr>
            <w:r/>
            <w:r>
              <w:rPr>
                <w:rFonts w:ascii="Figtree" w:hAnsi="Figtree"/>
                <w:b w:val="0"/>
                <w:i w:val="0"/>
                <w:sz w:val="20"/>
              </w:rPr>
              <w:t>€4,000,000 — €10,000,000</w:t>
            </w:r>
          </w:p>
        </w:tc>
        <w:tc>
          <w:tcPr>
            <w:tcW w:type="dxa" w:w="2436"/>
            <w:vAlign w:val="center"/>
          </w:tcPr>
          <w:p>
            <w:pPr>
              <w:spacing w:line="276" w:lineRule="auto" w:before="0" w:after="0"/>
            </w:pPr>
            <w:r/>
            <w:r>
              <w:rPr>
                <w:rFonts w:ascii="Figtree" w:hAnsi="Figtree"/>
                <w:b w:val="0"/>
                <w:i w:val="0"/>
                <w:sz w:val="20"/>
              </w:rPr>
              <w:t>Smart contracts, compliance, governance, API</w:t>
            </w:r>
          </w:p>
        </w:tc>
      </w:tr>
      <w:tr>
        <w:trPr>
          <w:trHeight w:val="425" w:hRule="atLeast"/>
        </w:trPr>
        <w:tc>
          <w:tcPr>
            <w:tcW w:type="dxa" w:w="2436"/>
            <w:vAlign w:val="center"/>
          </w:tcPr>
          <w:p>
            <w:pPr>
              <w:spacing w:line="276" w:lineRule="auto" w:before="0" w:after="0"/>
            </w:pPr>
            <w:r/>
            <w:r>
              <w:rPr>
                <w:rFonts w:ascii="Figtree" w:hAnsi="Figtree"/>
                <w:b w:val="0"/>
                <w:i w:val="0"/>
                <w:sz w:val="20"/>
              </w:rPr>
              <w:t>Compliance Maintenance</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€600,000+/year</w:t>
            </w:r>
          </w:p>
        </w:tc>
        <w:tc>
          <w:tcPr>
            <w:tcW w:type="dxa" w:w="2436"/>
            <w:vAlign w:val="center"/>
          </w:tcPr>
          <w:p>
            <w:pPr>
              <w:spacing w:line="276" w:lineRule="auto" w:before="0" w:after="0"/>
            </w:pPr>
            <w:r/>
            <w:r>
              <w:rPr>
                <w:rFonts w:ascii="Figtree" w:hAnsi="Figtree"/>
                <w:b w:val="0"/>
                <w:i w:val="0"/>
                <w:sz w:val="20"/>
              </w:rPr>
              <w:t>Regulatory change adaptation per corridor</w:t>
            </w:r>
          </w:p>
        </w:tc>
      </w:tr>
      <w:tr>
        <w:trPr>
          <w:trHeight w:val="425" w:hRule="atLeast"/>
        </w:trPr>
        <w:tc>
          <w:tcPr>
            <w:tcW w:type="dxa" w:w="2436"/>
            <w:vAlign w:val="center"/>
          </w:tcPr>
          <w:p>
            <w:pPr>
              <w:spacing w:line="276" w:lineRule="auto" w:before="0" w:after="0"/>
            </w:pPr>
            <w:r/>
            <w:r>
              <w:rPr>
                <w:rFonts w:ascii="Figtree" w:hAnsi="Figtree"/>
                <w:b w:val="0"/>
                <w:i w:val="0"/>
                <w:sz w:val="20"/>
              </w:rPr>
              <w:t>Security Certifications</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€250,000+/year</w:t>
            </w:r>
          </w:p>
        </w:tc>
        <w:tc>
          <w:tcPr>
            <w:tcW w:type="dxa" w:w="2436"/>
            <w:vAlign w:val="center"/>
          </w:tcPr>
          <w:p>
            <w:pPr>
              <w:spacing w:line="276" w:lineRule="auto" w:before="0" w:after="0"/>
            </w:pPr>
            <w:r/>
            <w:r>
              <w:rPr>
                <w:rFonts w:ascii="Figtree" w:hAnsi="Figtree"/>
                <w:b w:val="0"/>
                <w:i w:val="0"/>
                <w:sz w:val="20"/>
              </w:rPr>
              <w:t>ISO 27001, SOC 2, pen testing</w:t>
            </w:r>
          </w:p>
        </w:tc>
      </w:tr>
      <w:tr>
        <w:trPr>
          <w:trHeight w:val="425" w:hRule="atLeast"/>
        </w:trPr>
        <w:tc>
          <w:tcPr>
            <w:tcW w:type="dxa" w:w="2436"/>
            <w:vAlign w:val="center"/>
          </w:tcPr>
          <w:p>
            <w:pPr>
              <w:spacing w:line="276" w:lineRule="auto" w:before="0" w:after="0"/>
            </w:pPr>
            <w:r/>
            <w:r>
              <w:rPr>
                <w:rFonts w:ascii="Figtree" w:hAnsi="Figtree"/>
                <w:b w:val="0"/>
                <w:i w:val="0"/>
                <w:sz w:val="20"/>
              </w:rPr>
              <w:t>24/7 Operations</w:t>
            </w:r>
          </w:p>
        </w:tc>
        <w:tc>
          <w:tcPr>
            <w:tcW w:type="dxa" w:w="2436"/>
            <w:vAlign w:val="center"/>
          </w:tcPr>
          <w:p>
            <w:pPr>
              <w:spacing w:line="276" w:lineRule="auto" w:before="0" w:after="0"/>
            </w:pPr>
            <w:r/>
            <w:r>
              <w:rPr>
                <w:rFonts w:ascii="Figtree" w:hAnsi="Figtree"/>
                <w:b w:val="0"/>
                <w:i w:val="0"/>
                <w:sz w:val="20"/>
              </w:rPr>
              <w:t>Included (Enterprise)</w:t>
            </w:r>
          </w:p>
        </w:tc>
        <w:tc>
          <w:tcPr>
            <w:tcW w:type="dxa" w:w="2436"/>
            <w:vAlign w:val="center"/>
          </w:tcPr>
          <w:p>
            <w:pPr>
              <w:spacing w:line="276" w:lineRule="auto" w:before="0" w:after="0"/>
            </w:pPr>
            <w:r/>
            <w:r>
              <w:rPr>
                <w:rFonts w:ascii="Figtree" w:hAnsi="Figtree"/>
                <w:b w:val="0"/>
                <w:i w:val="0"/>
                <w:sz w:val="20"/>
              </w:rPr>
              <w:t>€500,000+/year</w:t>
            </w:r>
          </w:p>
        </w:tc>
        <w:tc>
          <w:tcPr>
            <w:tcW w:type="dxa" w:w="2436"/>
            <w:vAlign w:val="center"/>
          </w:tcPr>
          <w:p>
            <w:pPr>
              <w:spacing w:line="276" w:lineRule="auto" w:before="0" w:after="0"/>
            </w:pPr>
            <w:r/>
            <w:r>
              <w:rPr>
                <w:rFonts w:ascii="Figtree" w:hAnsi="Figtree"/>
                <w:b w:val="0"/>
                <w:i w:val="0"/>
                <w:sz w:val="20"/>
              </w:rPr>
              <w:t>Blockchain infrastructure ops team</w:t>
            </w:r>
          </w:p>
        </w:tc>
      </w:tr>
      <w:tr>
        <w:trPr>
          <w:trHeight w:val="425" w:hRule="atLeast"/>
        </w:trPr>
        <w:tc>
          <w:tcPr>
            <w:tcW w:type="dxa" w:w="2436"/>
            <w:vAlign w:val="center"/>
          </w:tcPr>
          <w:p>
            <w:pPr>
              <w:spacing w:line="276" w:lineRule="auto" w:before="0" w:after="0"/>
            </w:pPr>
            <w:r/>
            <w:r>
              <w:rPr>
                <w:rFonts w:ascii="Figtree" w:hAnsi="Figtree"/>
                <w:b w:val="0"/>
                <w:i w:val="0"/>
                <w:sz w:val="20"/>
              </w:rPr>
              <w:t>5-Year Total (excl. infra)</w:t>
            </w:r>
          </w:p>
        </w:tc>
        <w:tc>
          <w:tcPr>
            <w:tcW w:type="dxa" w:w="2436"/>
            <w:vAlign w:val="center"/>
          </w:tcPr>
          <w:p>
            <w:pPr>
              <w:spacing w:line="276" w:lineRule="auto" w:before="0" w:after="0"/>
            </w:pPr>
            <w:r/>
            <w:r>
              <w:rPr>
                <w:rFonts w:ascii="Figtree" w:hAnsi="Figtree"/>
                <w:b w:val="0"/>
                <w:i w:val="0"/>
                <w:sz w:val="20"/>
              </w:rPr>
              <w:t>€2,100,000 + impl</w:t>
            </w:r>
          </w:p>
        </w:tc>
        <w:tc>
          <w:tcPr>
            <w:tcW w:type="dxa" w:w="2436"/>
            <w:vAlign w:val="center"/>
          </w:tcPr>
          <w:p>
            <w:pPr>
              <w:spacing w:line="276" w:lineRule="auto" w:before="0" w:after="0"/>
            </w:pPr>
            <w:r/>
            <w:r>
              <w:rPr>
                <w:rFonts w:ascii="Figtree" w:hAnsi="Figtree"/>
                <w:b w:val="0"/>
                <w:i w:val="0"/>
                <w:sz w:val="20"/>
              </w:rPr>
              <w:t>€12,000,000 — €22,000,000</w:t>
            </w:r>
          </w:p>
        </w:tc>
        <w:tc>
          <w:tcPr>
            <w:tcW w:type="dxa" w:w="2436"/>
            <w:vAlign w:val="center"/>
          </w:tcPr>
          <w:p>
            <w:pPr>
              <w:spacing w:line="276" w:lineRule="auto" w:before="0" w:after="0"/>
            </w:pPr>
            <w:r/>
            <w:r>
              <w:rPr>
                <w:rFonts w:ascii="Figtree" w:hAnsi="Figtree"/>
                <w:b w:val="0"/>
                <w:i w:val="0"/>
                <w:sz w:val="20"/>
              </w:rPr>
              <w:t>Conservative in-house estimate</w:t>
            </w:r>
          </w:p>
        </w:tc>
      </w:tr>
    </w:tbl>
    <w:p>
      <w:pPr>
        <w:spacing w:before="0" w:after="0" w:line="120" w:lineRule="exact"/>
      </w:pPr>
    </w:p>
    <w:p>
      <w:r>
        <w:rPr>
          <w:rFonts w:ascii="Figtree" w:hAnsi="Figtree"/>
          <w:b w:val="0"/>
          <w:i w:val="0"/>
          <w:sz w:val="22"/>
        </w:rPr>
        <w:t>The in-house figure does not include the cost of a compliance failure — regulatory enforcement action under PSA, operational write-down, or reputational damage from a failed cross-border settlement. For a MAS-licensed payment services provider, these are the dominant risk costs, and they are the category DALP's institutional-grade compliance architecture is designed to prevent.</w:t>
      </w:r>
    </w:p>
    <w:p>
      <w:pPr>
        <w:pStyle w:val="H3"/>
        <w:numPr>
          <w:ilvl w:val="2"/>
          <w:numId w:val="1"/>
        </w:numPr>
      </w:pPr>
      <w:r>
        <w:t>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3"/>
        <w:gridCol w:w="3741"/>
        <w:gridCol w:w="364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ROI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Magnitude</w:t>
            </w:r>
          </w:p>
        </w:tc>
      </w:tr>
      <w:tr>
        <w:trPr>
          <w:trHeight w:val="425" w:hRule="atLeast"/>
        </w:trPr>
        <w:tc>
          <w:tcPr>
            <w:tcW w:type="dxa" w:w="3249"/>
            <w:vAlign w:val="center"/>
          </w:tcPr>
          <w:p>
            <w:pPr>
              <w:spacing w:line="276" w:lineRule="auto" w:before="0" w:after="0"/>
            </w:pPr>
            <w:r/>
            <w:r>
              <w:rPr>
                <w:rFonts w:ascii="Figtree" w:hAnsi="Figtree"/>
                <w:b w:val="0"/>
                <w:i w:val="0"/>
                <w:sz w:val="20"/>
              </w:rPr>
              <w:t>Regulatory compliance cost avoidance</w:t>
            </w:r>
          </w:p>
        </w:tc>
        <w:tc>
          <w:tcPr>
            <w:tcW w:type="dxa" w:w="3249"/>
            <w:vAlign w:val="center"/>
          </w:tcPr>
          <w:p>
            <w:pPr>
              <w:spacing w:line="276" w:lineRule="auto" w:before="0" w:after="0"/>
            </w:pPr>
            <w:r/>
            <w:r>
              <w:rPr>
                <w:rFonts w:ascii="Figtree" w:hAnsi="Figtree"/>
                <w:b w:val="0"/>
                <w:i w:val="0"/>
                <w:sz w:val="20"/>
              </w:rPr>
              <w:t>On-chain compliance prevents PSA enforcement action from non-compliant transfers</w:t>
            </w:r>
          </w:p>
        </w:tc>
        <w:tc>
          <w:tcPr>
            <w:tcW w:type="dxa" w:w="3249"/>
            <w:vAlign w:val="center"/>
          </w:tcPr>
          <w:p>
            <w:pPr>
              <w:spacing w:line="276" w:lineRule="auto" w:before="0" w:after="0"/>
            </w:pPr>
            <w:r/>
            <w:r>
              <w:rPr>
                <w:rFonts w:ascii="Figtree" w:hAnsi="Figtree"/>
                <w:b w:val="0"/>
                <w:i w:val="0"/>
                <w:sz w:val="20"/>
              </w:rPr>
              <w:t>High — PSA enforcement carries material fines and potential licence conditions</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labor savings</w:t>
            </w:r>
          </w:p>
        </w:tc>
        <w:tc>
          <w:tcPr>
            <w:tcW w:type="dxa" w:w="3249"/>
            <w:vAlign w:val="center"/>
          </w:tcPr>
          <w:p>
            <w:pPr>
              <w:spacing w:line="276" w:lineRule="auto" w:before="0" w:after="0"/>
            </w:pPr>
            <w:r/>
            <w:r>
              <w:rPr>
                <w:rFonts w:ascii="Figtree" w:hAnsi="Figtree"/>
                <w:b w:val="0"/>
                <w:i w:val="0"/>
                <w:sz w:val="20"/>
              </w:rPr>
              <w:t>Real-time chain indexer replaces manual cross-corridor reconciliation</w:t>
            </w:r>
          </w:p>
        </w:tc>
        <w:tc>
          <w:tcPr>
            <w:tcW w:type="dxa" w:w="3249"/>
            <w:vAlign w:val="center"/>
          </w:tcPr>
          <w:p>
            <w:pPr>
              <w:spacing w:line="276" w:lineRule="auto" w:before="0" w:after="0"/>
            </w:pPr>
            <w:r/>
            <w:r>
              <w:rPr>
                <w:rFonts w:ascii="Figtree" w:hAnsi="Figtree"/>
                <w:b w:val="0"/>
                <w:i w:val="0"/>
                <w:sz w:val="20"/>
              </w:rPr>
              <w:t>Medium — depends on current reconciliation team size</w:t>
            </w:r>
          </w:p>
        </w:tc>
      </w:tr>
      <w:tr>
        <w:trPr>
          <w:trHeight w:val="425" w:hRule="atLeast"/>
        </w:trPr>
        <w:tc>
          <w:tcPr>
            <w:tcW w:type="dxa" w:w="3249"/>
            <w:vAlign w:val="center"/>
          </w:tcPr>
          <w:p>
            <w:pPr>
              <w:spacing w:line="276" w:lineRule="auto" w:before="0" w:after="0"/>
            </w:pPr>
            <w:r/>
            <w:r>
              <w:rPr>
                <w:rFonts w:ascii="Figtree" w:hAnsi="Figtree"/>
                <w:b w:val="0"/>
                <w:i w:val="0"/>
                <w:sz w:val="20"/>
              </w:rPr>
              <w:t>Time to market</w:t>
            </w:r>
          </w:p>
        </w:tc>
        <w:tc>
          <w:tcPr>
            <w:tcW w:type="dxa" w:w="3249"/>
            <w:vAlign w:val="center"/>
          </w:tcPr>
          <w:p>
            <w:pPr>
              <w:spacing w:line="276" w:lineRule="auto" w:before="0" w:after="0"/>
            </w:pPr>
            <w:r/>
            <w:r>
              <w:rPr>
                <w:rFonts w:ascii="Figtree" w:hAnsi="Figtree"/>
                <w:b w:val="0"/>
                <w:i w:val="0"/>
                <w:sz w:val="20"/>
              </w:rPr>
              <w:t>19-week deployment vs multi-year in-house build</w:t>
            </w:r>
          </w:p>
        </w:tc>
        <w:tc>
          <w:tcPr>
            <w:tcW w:type="dxa" w:w="3249"/>
            <w:vAlign w:val="center"/>
          </w:tcPr>
          <w:p>
            <w:pPr>
              <w:spacing w:line="276" w:lineRule="auto" w:before="0" w:after="0"/>
            </w:pPr>
            <w:r/>
            <w:r>
              <w:rPr>
                <w:rFonts w:ascii="Figtree" w:hAnsi="Figtree"/>
                <w:b w:val="0"/>
                <w:i w:val="0"/>
                <w:sz w:val="20"/>
              </w:rPr>
              <w:t>High — multi-corridor payment settlement revenue 2-3 years earlier</w:t>
            </w:r>
          </w:p>
        </w:tc>
      </w:tr>
      <w:tr>
        <w:trPr>
          <w:trHeight w:val="425" w:hRule="atLeast"/>
        </w:trPr>
        <w:tc>
          <w:tcPr>
            <w:tcW w:type="dxa" w:w="3249"/>
            <w:vAlign w:val="center"/>
          </w:tcPr>
          <w:p>
            <w:pPr>
              <w:spacing w:line="276" w:lineRule="auto" w:before="0" w:after="0"/>
            </w:pPr>
            <w:r/>
            <w:r>
              <w:rPr>
                <w:rFonts w:ascii="Figtree" w:hAnsi="Figtree"/>
                <w:b w:val="0"/>
                <w:i w:val="0"/>
                <w:sz w:val="20"/>
              </w:rPr>
              <w:t>Corridor expansion economics</w:t>
            </w:r>
          </w:p>
        </w:tc>
        <w:tc>
          <w:tcPr>
            <w:tcW w:type="dxa" w:w="3249"/>
            <w:vAlign w:val="center"/>
          </w:tcPr>
          <w:p>
            <w:pPr>
              <w:spacing w:line="276" w:lineRule="auto" w:before="0" w:after="0"/>
            </w:pPr>
            <w:r/>
            <w:r>
              <w:rPr>
                <w:rFonts w:ascii="Figtree" w:hAnsi="Figtree"/>
                <w:b w:val="0"/>
                <w:i w:val="0"/>
                <w:sz w:val="20"/>
              </w:rPr>
              <w:t>New corridors via configuration, not re-implementation</w:t>
            </w:r>
          </w:p>
        </w:tc>
        <w:tc>
          <w:tcPr>
            <w:tcW w:type="dxa" w:w="3249"/>
            <w:vAlign w:val="center"/>
          </w:tcPr>
          <w:p>
            <w:pPr>
              <w:spacing w:line="276" w:lineRule="auto" w:before="0" w:after="0"/>
            </w:pPr>
            <w:r/>
            <w:r>
              <w:rPr>
                <w:rFonts w:ascii="Figtree" w:hAnsi="Figtree"/>
                <w:b w:val="0"/>
                <w:i w:val="0"/>
                <w:sz w:val="20"/>
              </w:rPr>
              <w:t>Medium — each new corridor adds revenue without corresponding engineering cost</w:t>
            </w:r>
          </w:p>
        </w:tc>
      </w:tr>
      <w:tr>
        <w:trPr>
          <w:trHeight w:val="425" w:hRule="atLeast"/>
        </w:trPr>
        <w:tc>
          <w:tcPr>
            <w:tcW w:type="dxa" w:w="3249"/>
            <w:vAlign w:val="center"/>
          </w:tcPr>
          <w:p>
            <w:pPr>
              <w:spacing w:line="276" w:lineRule="auto" w:before="0" w:after="0"/>
            </w:pPr>
            <w:r/>
            <w:r>
              <w:rPr>
                <w:rFonts w:ascii="Figtree" w:hAnsi="Figtree"/>
                <w:b w:val="0"/>
                <w:i w:val="0"/>
                <w:sz w:val="20"/>
              </w:rPr>
              <w:t>Operational scalability</w:t>
            </w:r>
          </w:p>
        </w:tc>
        <w:tc>
          <w:tcPr>
            <w:tcW w:type="dxa" w:w="3249"/>
            <w:vAlign w:val="center"/>
          </w:tcPr>
          <w:p>
            <w:pPr>
              <w:spacing w:line="276" w:lineRule="auto" w:before="0" w:after="0"/>
            </w:pPr>
            <w:r/>
            <w:r>
              <w:rPr>
                <w:rFonts w:ascii="Figtree" w:hAnsi="Figtree"/>
                <w:b w:val="0"/>
                <w:i w:val="0"/>
                <w:sz w:val="20"/>
              </w:rPr>
              <w:t>Platform scales with payment volume without additional platform engineering</w:t>
            </w:r>
          </w:p>
        </w:tc>
        <w:tc>
          <w:tcPr>
            <w:tcW w:type="dxa" w:w="3249"/>
            <w:vAlign w:val="center"/>
          </w:tcPr>
          <w:p>
            <w:pPr>
              <w:spacing w:line="276" w:lineRule="auto" w:before="0" w:after="0"/>
            </w:pPr>
            <w:r/>
            <w:r>
              <w:rPr>
                <w:rFonts w:ascii="Figtree" w:hAnsi="Figtree"/>
                <w:b w:val="0"/>
                <w:i w:val="0"/>
                <w:sz w:val="20"/>
              </w:rPr>
              <w:t>Medium-High — favorable unit economics at scale</w:t>
            </w:r>
          </w:p>
        </w:tc>
      </w:tr>
    </w:tbl>
    <w:p>
      <w:pPr>
        <w:spacing w:before="0" w:after="0" w:line="120" w:lineRule="exact"/>
      </w:pPr>
    </w:p>
    <w:p>
      <w:r>
        <w:br w:type="page"/>
      </w:r>
    </w:p>
    <w:p>
      <w:pPr>
        <w:pStyle w:val="H2"/>
        <w:numPr>
          <w:ilvl w:val="1"/>
          <w:numId w:val="1"/>
        </w:numPr>
      </w:pPr>
      <w:r>
        <w:t>Payment Terms and Conditions</w:t>
      </w:r>
    </w:p>
    <w:p>
      <w:pPr>
        <w:pStyle w:val="H3"/>
        <w:numPr>
          <w:ilvl w:val="2"/>
          <w:numId w:val="1"/>
        </w:numPr>
      </w:pPr>
      <w:r>
        <w:t>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73"/>
        <w:gridCol w:w="569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4873"/>
            <w:vAlign w:val="center"/>
          </w:tcPr>
          <w:p>
            <w:pPr>
              <w:spacing w:line="276" w:lineRule="auto" w:before="0" w:after="0"/>
            </w:pPr>
            <w:r/>
            <w:r>
              <w:rPr>
                <w:rFonts w:ascii="Figtree" w:hAnsi="Figtree"/>
                <w:b w:val="0"/>
                <w:i w:val="0"/>
                <w:sz w:val="20"/>
              </w:rPr>
              <w:t>Annual License Fee (Year 1)</w:t>
            </w:r>
          </w:p>
        </w:tc>
        <w:tc>
          <w:tcPr>
            <w:tcW w:type="dxa" w:w="4873"/>
            <w:vAlign w:val="center"/>
          </w:tcPr>
          <w:p>
            <w:pPr>
              <w:spacing w:line="276" w:lineRule="auto" w:before="0" w:after="0"/>
            </w:pPr>
            <w:r/>
            <w:r>
              <w:rPr>
                <w:rFonts w:ascii="Figtree" w:hAnsi="Figtree"/>
                <w:b w:val="0"/>
                <w:i w:val="0"/>
                <w:sz w:val="20"/>
              </w:rPr>
              <w:t>Due upon contract execution (upfront)</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Milestone-based billing per Phase completion gate</w:t>
            </w:r>
          </w:p>
        </w:tc>
      </w:tr>
      <w:tr>
        <w:trPr>
          <w:trHeight w:val="425" w:hRule="atLeast"/>
        </w:trPr>
        <w:tc>
          <w:tcPr>
            <w:tcW w:type="dxa" w:w="4873"/>
            <w:vAlign w:val="center"/>
          </w:tcPr>
          <w:p>
            <w:pPr>
              <w:spacing w:line="276" w:lineRule="auto" w:before="0" w:after="0"/>
            </w:pPr>
            <w:r/>
            <w:r>
              <w:rPr>
                <w:rFonts w:ascii="Figtree" w:hAnsi="Figtree"/>
                <w:b w:val="0"/>
                <w:i w:val="0"/>
                <w:sz w:val="20"/>
              </w:rPr>
              <w:t>Annual License Renewal</w:t>
            </w:r>
          </w:p>
        </w:tc>
        <w:tc>
          <w:tcPr>
            <w:tcW w:type="dxa" w:w="4873"/>
            <w:vAlign w:val="center"/>
          </w:tcPr>
          <w:p>
            <w:pPr>
              <w:spacing w:line="276" w:lineRule="auto" w:before="0" w:after="0"/>
            </w:pPr>
            <w:r/>
            <w:r>
              <w:rPr>
                <w:rFonts w:ascii="Figtree" w:hAnsi="Figtree"/>
                <w:b w:val="0"/>
                <w:i w:val="0"/>
                <w:sz w:val="20"/>
              </w:rPr>
              <w:t>Upfront at each anniversary</w:t>
            </w:r>
          </w:p>
        </w:tc>
      </w:tr>
    </w:tbl>
    <w:p>
      <w:pPr>
        <w:spacing w:before="0" w:after="0" w:line="120" w:lineRule="exact"/>
      </w:pPr>
    </w:p>
    <w:p>
      <w:pPr>
        <w:pStyle w:val="H3"/>
        <w:numPr>
          <w:ilvl w:val="2"/>
          <w:numId w:val="1"/>
        </w:numPr>
      </w:pPr>
      <w:r>
        <w:t>Conditions</w:t>
      </w:r>
    </w:p>
    <w:p>
      <w:pPr>
        <w:pStyle w:val="ListParagraph"/>
        <w:numPr>
          <w:ilvl w:val="0"/>
          <w:numId w:val="4"/>
        </w:numPr>
      </w:pPr>
      <w:r>
        <w:rPr>
          <w:rFonts w:ascii="Figtree" w:hAnsi="Figtree"/>
          <w:b w:val="0"/>
          <w:i w:val="0"/>
          <w:sz w:val="22"/>
        </w:rPr>
        <w:t>All fees invoiced in EUR</w:t>
      </w:r>
    </w:p>
    <w:p>
      <w:pPr>
        <w:pStyle w:val="ListParagraph"/>
        <w:numPr>
          <w:ilvl w:val="0"/>
          <w:numId w:val="4"/>
        </w:numPr>
      </w:pPr>
      <w:r>
        <w:rPr>
          <w:rFonts w:ascii="Figtree" w:hAnsi="Figtree"/>
          <w:b w:val="0"/>
          <w:i w:val="0"/>
          <w:sz w:val="22"/>
        </w:rPr>
        <w:t>Payment due within 30 days of invoice date</w:t>
      </w:r>
    </w:p>
    <w:p>
      <w:pPr>
        <w:pStyle w:val="ListParagraph"/>
        <w:numPr>
          <w:ilvl w:val="0"/>
          <w:numId w:val="4"/>
        </w:numPr>
      </w:pPr>
      <w:r>
        <w:rPr>
          <w:rFonts w:ascii="Figtree" w:hAnsi="Figtree"/>
          <w:b w:val="0"/>
          <w:i w:val="0"/>
          <w:sz w:val="22"/>
        </w:rPr>
        <w:t>All fees exclude applicable taxes and VAT</w:t>
      </w:r>
    </w:p>
    <w:p>
      <w:pPr>
        <w:pStyle w:val="ListParagraph"/>
        <w:numPr>
          <w:ilvl w:val="0"/>
          <w:numId w:val="4"/>
        </w:numPr>
      </w:pPr>
      <w:r>
        <w:rPr>
          <w:rFonts w:ascii="Figtree" w:hAnsi="Figtree"/>
          <w:b w:val="0"/>
          <w:i w:val="0"/>
          <w:sz w:val="22"/>
        </w:rPr>
        <w:t>No monthly installment option for license fees</w:t>
      </w:r>
    </w:p>
    <w:p>
      <w:pPr>
        <w:pStyle w:val="ListParagraph"/>
        <w:numPr>
          <w:ilvl w:val="0"/>
          <w:numId w:val="4"/>
        </w:numPr>
      </w:pPr>
      <w:r>
        <w:rPr>
          <w:rFonts w:ascii="Figtree" w:hAnsi="Figtree"/>
          <w:b w:val="0"/>
          <w:i w:val="0"/>
          <w:sz w:val="22"/>
        </w:rPr>
        <w:t>License activation contingent on receipt of Year 1 payment</w:t>
      </w:r>
    </w:p>
    <w:p>
      <w:pPr>
        <w:pStyle w:val="H3"/>
        <w:numPr>
          <w:ilvl w:val="2"/>
          <w:numId w:val="1"/>
        </w:numPr>
      </w:pPr>
      <w:r>
        <w:t>Governing Law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49"/>
        <w:gridCol w:w="63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Governing Law</w:t>
            </w:r>
          </w:p>
        </w:tc>
        <w:tc>
          <w:tcPr>
            <w:tcW w:type="dxa" w:w="4873"/>
            <w:vAlign w:val="center"/>
          </w:tcPr>
          <w:p>
            <w:pPr>
              <w:spacing w:line="276" w:lineRule="auto" w:before="0" w:after="0"/>
            </w:pPr>
            <w:r/>
            <w:r>
              <w:rPr>
                <w:rFonts w:ascii="Figtree" w:hAnsi="Figtree"/>
                <w:b w:val="0"/>
                <w:i w:val="0"/>
                <w:sz w:val="20"/>
              </w:rPr>
              <w:t>Singapore</w:t>
            </w:r>
          </w:p>
        </w:tc>
      </w:tr>
      <w:tr>
        <w:trPr>
          <w:trHeight w:val="425" w:hRule="atLeast"/>
        </w:trPr>
        <w:tc>
          <w:tcPr>
            <w:tcW w:type="dxa" w:w="4873"/>
            <w:vAlign w:val="center"/>
          </w:tcPr>
          <w:p>
            <w:pPr>
              <w:spacing w:line="276" w:lineRule="auto" w:before="0" w:after="0"/>
            </w:pPr>
            <w:r/>
            <w:r>
              <w:rPr>
                <w:rFonts w:ascii="Figtree" w:hAnsi="Figtree"/>
                <w:b w:val="0"/>
                <w:i w:val="0"/>
                <w:sz w:val="20"/>
              </w:rPr>
              <w:t>Dispute Resolution</w:t>
            </w:r>
          </w:p>
        </w:tc>
        <w:tc>
          <w:tcPr>
            <w:tcW w:type="dxa" w:w="4873"/>
            <w:vAlign w:val="center"/>
          </w:tcPr>
          <w:p>
            <w:pPr>
              <w:spacing w:line="276" w:lineRule="auto" w:before="0" w:after="0"/>
            </w:pPr>
            <w:r/>
            <w:r>
              <w:rPr>
                <w:rFonts w:ascii="Figtree" w:hAnsi="Figtree"/>
                <w:b w:val="0"/>
                <w:i w:val="0"/>
                <w:sz w:val="20"/>
              </w:rPr>
              <w:t>Singapore International Arbitration Centre (SIAC)</w:t>
            </w:r>
          </w:p>
        </w:tc>
      </w:tr>
      <w:tr>
        <w:trPr>
          <w:trHeight w:val="425" w:hRule="atLeast"/>
        </w:trPr>
        <w:tc>
          <w:tcPr>
            <w:tcW w:type="dxa" w:w="4873"/>
            <w:vAlign w:val="center"/>
          </w:tcPr>
          <w:p>
            <w:pPr>
              <w:spacing w:line="276" w:lineRule="auto" w:before="0" w:after="0"/>
            </w:pPr>
            <w:r/>
            <w:r>
              <w:rPr>
                <w:rFonts w:ascii="Figtree" w:hAnsi="Figtree"/>
                <w:b w:val="0"/>
                <w:i w:val="0"/>
                <w:sz w:val="20"/>
              </w:rPr>
              <w:t>Jurisdiction</w:t>
            </w:r>
          </w:p>
        </w:tc>
        <w:tc>
          <w:tcPr>
            <w:tcW w:type="dxa" w:w="4873"/>
            <w:vAlign w:val="center"/>
          </w:tcPr>
          <w:p>
            <w:pPr>
              <w:spacing w:line="276" w:lineRule="auto" w:before="0" w:after="0"/>
            </w:pPr>
            <w:r/>
            <w:r>
              <w:rPr>
                <w:rFonts w:ascii="Figtree" w:hAnsi="Figtree"/>
                <w:b w:val="0"/>
                <w:i w:val="0"/>
                <w:sz w:val="20"/>
              </w:rPr>
              <w:t>Singapore courts</w:t>
            </w:r>
          </w:p>
        </w:tc>
      </w:tr>
      <w:tr>
        <w:trPr>
          <w:trHeight w:val="425" w:hRule="atLeast"/>
        </w:trPr>
        <w:tc>
          <w:tcPr>
            <w:tcW w:type="dxa" w:w="4873"/>
            <w:vAlign w:val="center"/>
          </w:tcPr>
          <w:p>
            <w:pPr>
              <w:spacing w:line="276" w:lineRule="auto" w:before="0" w:after="0"/>
            </w:pPr>
            <w:r/>
            <w:r>
              <w:rPr>
                <w:rFonts w:ascii="Figtree" w:hAnsi="Figtree"/>
                <w:b w:val="0"/>
                <w:i w:val="0"/>
                <w:sz w:val="20"/>
              </w:rPr>
              <w:t>Force Majeure</w:t>
            </w:r>
          </w:p>
        </w:tc>
        <w:tc>
          <w:tcPr>
            <w:tcW w:type="dxa" w:w="4873"/>
            <w:vAlign w:val="center"/>
          </w:tcPr>
          <w:p>
            <w:pPr>
              <w:spacing w:line="276" w:lineRule="auto" w:before="0" w:after="0"/>
            </w:pPr>
            <w:r/>
            <w:r>
              <w:rPr>
                <w:rFonts w:ascii="Figtree" w:hAnsi="Figtree"/>
                <w:b w:val="0"/>
                <w:i w:val="0"/>
                <w:sz w:val="20"/>
              </w:rPr>
              <w:t>Standard provisions in MSA</w:t>
            </w:r>
          </w:p>
        </w:tc>
      </w:tr>
      <w:tr>
        <w:trPr>
          <w:trHeight w:val="425" w:hRule="atLeast"/>
        </w:trPr>
        <w:tc>
          <w:tcPr>
            <w:tcW w:type="dxa" w:w="4873"/>
            <w:vAlign w:val="center"/>
          </w:tcPr>
          <w:p>
            <w:pPr>
              <w:spacing w:line="276" w:lineRule="auto" w:before="0" w:after="0"/>
            </w:pPr>
            <w:r/>
            <w:r>
              <w:rPr>
                <w:rFonts w:ascii="Figtree" w:hAnsi="Figtree"/>
                <w:b w:val="0"/>
                <w:i w:val="0"/>
                <w:sz w:val="20"/>
              </w:rPr>
              <w:t>Change of Control</w:t>
            </w:r>
          </w:p>
        </w:tc>
        <w:tc>
          <w:tcPr>
            <w:tcW w:type="dxa" w:w="4873"/>
            <w:vAlign w:val="center"/>
          </w:tcPr>
          <w:p>
            <w:pPr>
              <w:spacing w:line="276" w:lineRule="auto" w:before="0" w:after="0"/>
            </w:pPr>
            <w:r/>
            <w:r>
              <w:rPr>
                <w:rFonts w:ascii="Figtree" w:hAnsi="Figtree"/>
                <w:b w:val="0"/>
                <w:i w:val="0"/>
                <w:sz w:val="20"/>
              </w:rPr>
              <w:t>Notification obligations and consent rights per MSA</w:t>
            </w:r>
          </w:p>
        </w:tc>
      </w:tr>
    </w:tbl>
    <w:p>
      <w:pPr>
        <w:spacing w:before="0" w:after="0" w:line="120" w:lineRule="exact"/>
      </w:pPr>
    </w:p>
    <w:p>
      <w:r>
        <w:br w:type="page"/>
      </w:r>
    </w:p>
    <w:p>
      <w:pPr>
        <w:pStyle w:val="H2"/>
        <w:numPr>
          <w:ilvl w:val="1"/>
          <w:numId w:val="1"/>
        </w:numPr>
      </w:pPr>
      <w:r>
        <w:t>Commercial Assumptions and Exclusions</w:t>
      </w:r>
    </w:p>
    <w:p>
      <w:pPr>
        <w:pStyle w:val="H3"/>
        <w:numPr>
          <w:ilvl w:val="2"/>
          <w:numId w:val="1"/>
        </w:numPr>
      </w:pPr>
      <w:r>
        <w:t>Assumptions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87"/>
        <w:gridCol w:w="70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Managed SaaS, Singapore primary (AWS ap-southeast-1)</w:t>
            </w:r>
          </w:p>
        </w:tc>
      </w:tr>
      <w:tr>
        <w:trPr>
          <w:trHeight w:val="425" w:hRule="atLeast"/>
        </w:trPr>
        <w:tc>
          <w:tcPr>
            <w:tcW w:type="dxa" w:w="4873"/>
            <w:vAlign w:val="center"/>
          </w:tcPr>
          <w:p>
            <w:pPr>
              <w:spacing w:line="276" w:lineRule="auto" w:before="0" w:after="0"/>
            </w:pPr>
            <w:r/>
            <w:r>
              <w:rPr>
                <w:rFonts w:ascii="Figtree" w:hAnsi="Figtree"/>
                <w:b w:val="0"/>
                <w:i w:val="0"/>
                <w:sz w:val="20"/>
              </w:rPr>
              <w:t>Environments</w:t>
            </w:r>
          </w:p>
        </w:tc>
        <w:tc>
          <w:tcPr>
            <w:tcW w:type="dxa" w:w="4873"/>
            <w:vAlign w:val="center"/>
          </w:tcPr>
          <w:p>
            <w:pPr>
              <w:spacing w:line="276" w:lineRule="auto" w:before="0" w:after="0"/>
            </w:pPr>
            <w:r/>
            <w:r>
              <w:rPr>
                <w:rFonts w:ascii="Figtree" w:hAnsi="Figtree"/>
                <w:b w:val="0"/>
                <w:i w:val="0"/>
                <w:sz w:val="20"/>
              </w:rPr>
              <w:t>1 Production + 1 Development</w:t>
            </w:r>
          </w:p>
        </w:tc>
      </w:tr>
      <w:tr>
        <w:trPr>
          <w:trHeight w:val="425" w:hRule="atLeast"/>
        </w:trPr>
        <w:tc>
          <w:tcPr>
            <w:tcW w:type="dxa" w:w="4873"/>
            <w:vAlign w:val="center"/>
          </w:tcPr>
          <w:p>
            <w:pPr>
              <w:spacing w:line="276" w:lineRule="auto" w:before="0" w:after="0"/>
            </w:pPr>
            <w:r/>
            <w:r>
              <w:rPr>
                <w:rFonts w:ascii="Figtree" w:hAnsi="Figtree"/>
                <w:b w:val="0"/>
                <w:i w:val="0"/>
                <w:sz w:val="20"/>
              </w:rPr>
              <w:t>Initial corridors</w:t>
            </w:r>
          </w:p>
        </w:tc>
        <w:tc>
          <w:tcPr>
            <w:tcW w:type="dxa" w:w="4873"/>
            <w:vAlign w:val="center"/>
          </w:tcPr>
          <w:p>
            <w:pPr>
              <w:spacing w:line="276" w:lineRule="auto" w:before="0" w:after="0"/>
            </w:pPr>
            <w:r/>
            <w:r>
              <w:rPr>
                <w:rFonts w:ascii="Figtree" w:hAnsi="Figtree"/>
                <w:b w:val="0"/>
                <w:i w:val="0"/>
                <w:sz w:val="20"/>
              </w:rPr>
              <w:t>SGD primary; additional corridors through configuration (no additional license cost)</w:t>
            </w:r>
          </w:p>
        </w:tc>
      </w:tr>
      <w:tr>
        <w:trPr>
          <w:trHeight w:val="425" w:hRule="atLeast"/>
        </w:trPr>
        <w:tc>
          <w:tcPr>
            <w:tcW w:type="dxa" w:w="4873"/>
            <w:vAlign w:val="center"/>
          </w:tcPr>
          <w:p>
            <w:pPr>
              <w:spacing w:line="276" w:lineRule="auto" w:before="0" w:after="0"/>
            </w:pPr>
            <w:r/>
            <w:r>
              <w:rPr>
                <w:rFonts w:ascii="Figtree" w:hAnsi="Figtree"/>
                <w:b w:val="0"/>
                <w:i w:val="0"/>
                <w:sz w:val="20"/>
              </w:rPr>
              <w:t>Integration scope</w:t>
            </w:r>
          </w:p>
        </w:tc>
        <w:tc>
          <w:tcPr>
            <w:tcW w:type="dxa" w:w="4873"/>
            <w:vAlign w:val="center"/>
          </w:tcPr>
          <w:p>
            <w:pPr>
              <w:spacing w:line="276" w:lineRule="auto" w:before="0" w:after="0"/>
            </w:pPr>
            <w:r/>
            <w:r>
              <w:rPr>
                <w:rFonts w:ascii="Figtree" w:hAnsi="Figtree"/>
                <w:b w:val="0"/>
                <w:i w:val="0"/>
                <w:sz w:val="20"/>
              </w:rPr>
              <w:t>GrabPay wallet, merchant settlement, GL, treasury, KYC provider, observability</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Enterprise (24/7/365)</w:t>
            </w:r>
          </w:p>
        </w:tc>
      </w:tr>
      <w:tr>
        <w:trPr>
          <w:trHeight w:val="425" w:hRule="atLeast"/>
        </w:trPr>
        <w:tc>
          <w:tcPr>
            <w:tcW w:type="dxa" w:w="4873"/>
            <w:vAlign w:val="center"/>
          </w:tcPr>
          <w:p>
            <w:pPr>
              <w:spacing w:line="276" w:lineRule="auto" w:before="0" w:after="0"/>
            </w:pPr>
            <w:r/>
            <w:r>
              <w:rPr>
                <w:rFonts w:ascii="Figtree" w:hAnsi="Figtree"/>
                <w:b w:val="0"/>
                <w:i w:val="0"/>
                <w:sz w:val="20"/>
              </w:rPr>
              <w:t>Timeline</w:t>
            </w:r>
          </w:p>
        </w:tc>
        <w:tc>
          <w:tcPr>
            <w:tcW w:type="dxa" w:w="4873"/>
            <w:vAlign w:val="center"/>
          </w:tcPr>
          <w:p>
            <w:pPr>
              <w:spacing w:line="276" w:lineRule="auto" w:before="0" w:after="0"/>
            </w:pPr>
            <w:r/>
            <w:r>
              <w:rPr>
                <w:rFonts w:ascii="Figtree" w:hAnsi="Figtree"/>
                <w:b w:val="0"/>
                <w:i w:val="0"/>
                <w:sz w:val="20"/>
              </w:rPr>
              <w:t>Standard 19-week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Regulatory scope</w:t>
            </w:r>
          </w:p>
        </w:tc>
        <w:tc>
          <w:tcPr>
            <w:tcW w:type="dxa" w:w="4873"/>
            <w:vAlign w:val="center"/>
          </w:tcPr>
          <w:p>
            <w:pPr>
              <w:spacing w:line="276" w:lineRule="auto" w:before="0" w:after="0"/>
            </w:pPr>
            <w:r/>
            <w:r>
              <w:rPr>
                <w:rFonts w:ascii="Figtree" w:hAnsi="Figtree"/>
                <w:b w:val="0"/>
                <w:i w:val="0"/>
                <w:sz w:val="20"/>
              </w:rPr>
              <w:t>MAS PSA / TRM (Singapore primary)</w:t>
            </w:r>
          </w:p>
        </w:tc>
      </w:tr>
    </w:tbl>
    <w:p>
      <w:pPr>
        <w:spacing w:before="0" w:after="0" w:line="120" w:lineRule="exact"/>
      </w:pPr>
    </w:p>
    <w:p>
      <w:pPr>
        <w:pStyle w:val="H3"/>
        <w:numPr>
          <w:ilvl w:val="2"/>
          <w:numId w:val="1"/>
        </w:numPr>
      </w:pPr>
      <w:r>
        <w:t>Exclusions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79"/>
        <w:gridCol w:w="5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Excluded Item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Custom compliance modules</w:t>
            </w:r>
          </w:p>
        </w:tc>
        <w:tc>
          <w:tcPr>
            <w:tcW w:type="dxa" w:w="4873"/>
            <w:vAlign w:val="center"/>
          </w:tcPr>
          <w:p>
            <w:pPr>
              <w:spacing w:line="276" w:lineRule="auto" w:before="0" w:after="0"/>
            </w:pPr>
            <w:r/>
            <w:r>
              <w:rPr>
                <w:rFonts w:ascii="Figtree" w:hAnsi="Figtree"/>
                <w:b w:val="0"/>
                <w:i w:val="0"/>
                <w:sz w:val="20"/>
              </w:rPr>
              <w:t>Modules outside the 18-module catalog require additional scoping</w:t>
            </w:r>
          </w:p>
        </w:tc>
      </w:tr>
      <w:tr>
        <w:trPr>
          <w:trHeight w:val="425" w:hRule="atLeast"/>
        </w:trPr>
        <w:tc>
          <w:tcPr>
            <w:tcW w:type="dxa" w:w="4873"/>
            <w:vAlign w:val="center"/>
          </w:tcPr>
          <w:p>
            <w:pPr>
              <w:spacing w:line="276" w:lineRule="auto" w:before="0" w:after="0"/>
            </w:pPr>
            <w:r/>
            <w:r>
              <w:rPr>
                <w:rFonts w:ascii="Figtree" w:hAnsi="Figtree"/>
                <w:b w:val="0"/>
                <w:i w:val="0"/>
                <w:sz w:val="20"/>
              </w:rPr>
              <w:t>Custom smart contract development</w:t>
            </w:r>
          </w:p>
        </w:tc>
        <w:tc>
          <w:tcPr>
            <w:tcW w:type="dxa" w:w="4873"/>
            <w:vAlign w:val="center"/>
          </w:tcPr>
          <w:p>
            <w:pPr>
              <w:spacing w:line="276" w:lineRule="auto" w:before="0" w:after="0"/>
            </w:pPr>
            <w:r/>
            <w:r>
              <w:rPr>
                <w:rFonts w:ascii="Figtree" w:hAnsi="Figtree"/>
                <w:b w:val="0"/>
                <w:i w:val="0"/>
                <w:sz w:val="20"/>
              </w:rPr>
              <w:t>All contracts are standard DALP; no custom code</w:t>
            </w:r>
          </w:p>
        </w:tc>
      </w:tr>
      <w:tr>
        <w:trPr>
          <w:trHeight w:val="425" w:hRule="atLeast"/>
        </w:trPr>
        <w:tc>
          <w:tcPr>
            <w:tcW w:type="dxa" w:w="4873"/>
            <w:vAlign w:val="center"/>
          </w:tcPr>
          <w:p>
            <w:pPr>
              <w:spacing w:line="276" w:lineRule="auto" w:before="0" w:after="0"/>
            </w:pPr>
            <w:r/>
            <w:r>
              <w:rPr>
                <w:rFonts w:ascii="Figtree" w:hAnsi="Figtree"/>
                <w:b w:val="0"/>
                <w:i w:val="0"/>
                <w:sz w:val="20"/>
              </w:rPr>
              <w:t>Third-party fees</w:t>
            </w:r>
          </w:p>
        </w:tc>
        <w:tc>
          <w:tcPr>
            <w:tcW w:type="dxa" w:w="4873"/>
            <w:vAlign w:val="center"/>
          </w:tcPr>
          <w:p>
            <w:pPr>
              <w:spacing w:line="276" w:lineRule="auto" w:before="0" w:after="0"/>
            </w:pPr>
            <w:r/>
            <w:r>
              <w:rPr>
                <w:rFonts w:ascii="Figtree" w:hAnsi="Figtree"/>
                <w:b w:val="0"/>
                <w:i w:val="0"/>
                <w:sz w:val="20"/>
              </w:rPr>
              <w:t>Custody, KYC/eKYC, sanctions screening — direct client contracts</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w:t>
            </w:r>
          </w:p>
        </w:tc>
        <w:tc>
          <w:tcPr>
            <w:tcW w:type="dxa" w:w="4873"/>
            <w:vAlign w:val="center"/>
          </w:tcPr>
          <w:p>
            <w:pPr>
              <w:spacing w:line="276" w:lineRule="auto" w:before="0" w:after="0"/>
            </w:pPr>
            <w:r/>
            <w:r>
              <w:rPr>
                <w:rFonts w:ascii="Figtree" w:hAnsi="Figtree"/>
                <w:b w:val="0"/>
                <w:i w:val="0"/>
                <w:sz w:val="20"/>
              </w:rPr>
              <w:t>Pass-through at AWS cost</w:t>
            </w:r>
          </w:p>
        </w:tc>
      </w:tr>
      <w:tr>
        <w:trPr>
          <w:trHeight w:val="425" w:hRule="atLeast"/>
        </w:trPr>
        <w:tc>
          <w:tcPr>
            <w:tcW w:type="dxa" w:w="4873"/>
            <w:vAlign w:val="center"/>
          </w:tcPr>
          <w:p>
            <w:pPr>
              <w:spacing w:line="276" w:lineRule="auto" w:before="0" w:after="0"/>
            </w:pPr>
            <w:r/>
            <w:r>
              <w:rPr>
                <w:rFonts w:ascii="Figtree" w:hAnsi="Figtree"/>
                <w:b w:val="0"/>
                <w:i w:val="0"/>
                <w:sz w:val="20"/>
              </w:rPr>
              <w:t>Legal and regulatory advisory</w:t>
            </w:r>
          </w:p>
        </w:tc>
        <w:tc>
          <w:tcPr>
            <w:tcW w:type="dxa" w:w="4873"/>
            <w:vAlign w:val="center"/>
          </w:tcPr>
          <w:p>
            <w:pPr>
              <w:spacing w:line="276" w:lineRule="auto" w:before="0" w:after="0"/>
            </w:pPr>
            <w:r/>
            <w:r>
              <w:rPr>
                <w:rFonts w:ascii="Figtree" w:hAnsi="Figtree"/>
                <w:b w:val="0"/>
                <w:i w:val="0"/>
                <w:sz w:val="20"/>
              </w:rPr>
              <w:t>Technical documentation provided; legal advice is client responsibility</w:t>
            </w:r>
          </w:p>
        </w:tc>
      </w:tr>
      <w:tr>
        <w:trPr>
          <w:trHeight w:val="425" w:hRule="atLeast"/>
        </w:trPr>
        <w:tc>
          <w:tcPr>
            <w:tcW w:type="dxa" w:w="4873"/>
            <w:vAlign w:val="center"/>
          </w:tcPr>
          <w:p>
            <w:pPr>
              <w:spacing w:line="276" w:lineRule="auto" w:before="0" w:after="0"/>
            </w:pPr>
            <w:r/>
            <w:r>
              <w:rPr>
                <w:rFonts w:ascii="Figtree" w:hAnsi="Figtree"/>
                <w:b w:val="0"/>
                <w:i w:val="0"/>
                <w:sz w:val="20"/>
              </w:rPr>
              <w:t>Additional production environments</w:t>
            </w:r>
          </w:p>
        </w:tc>
        <w:tc>
          <w:tcPr>
            <w:tcW w:type="dxa" w:w="4873"/>
            <w:vAlign w:val="center"/>
          </w:tcPr>
          <w:p>
            <w:pPr>
              <w:spacing w:line="276" w:lineRule="auto" w:before="0" w:after="0"/>
            </w:pPr>
            <w:r/>
            <w:r>
              <w:rPr>
                <w:rFonts w:ascii="Figtree" w:hAnsi="Figtree"/>
                <w:b w:val="0"/>
                <w:i w:val="0"/>
                <w:sz w:val="20"/>
              </w:rPr>
              <w:t>Each additional production environment priced at €300,000/year</w:t>
            </w:r>
          </w:p>
        </w:tc>
      </w:tr>
    </w:tbl>
    <w:p>
      <w:pPr>
        <w:spacing w:before="0" w:after="0" w:line="120" w:lineRule="exact"/>
      </w:pPr>
    </w:p>
    <w:p>
      <w:r>
        <w:br w:type="page"/>
      </w:r>
    </w:p>
    <w:p>
      <w:pPr>
        <w:pStyle w:val="H2"/>
        <w:numPr>
          <w:ilvl w:val="1"/>
          <w:numId w:val="1"/>
        </w:numPr>
      </w:pPr>
      <w:r>
        <w:t>Proposal Validity and Next Steps</w:t>
      </w:r>
    </w:p>
    <w:p>
      <w:pPr>
        <w:pStyle w:val="H3"/>
        <w:numPr>
          <w:ilvl w:val="2"/>
          <w:numId w:val="1"/>
        </w:numPr>
      </w:pPr>
      <w:r>
        <w:t>Validity</w:t>
      </w:r>
    </w:p>
    <w:p>
      <w:r>
        <w:rPr>
          <w:rFonts w:ascii="Figtree" w:hAnsi="Figtree"/>
          <w:b w:val="0"/>
          <w:i w:val="0"/>
          <w:sz w:val="22"/>
        </w:rPr>
        <w:t>This commercial proposal is valid for 60 days (until 20 May 2026). License pricing is fixed at the rates stated. Implementation fees subject to formal scoping confirmation.</w:t>
      </w:r>
    </w:p>
    <w:p>
      <w:pPr>
        <w:pStyle w:val="H3"/>
        <w:numPr>
          <w:ilvl w:val="2"/>
          <w:numId w:val="1"/>
        </w:numPr>
      </w:pPr>
      <w:r>
        <w:t>Recommended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24"/>
        <w:gridCol w:w="2373"/>
        <w:gridCol w:w="237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r>
      <w:tr>
        <w:trPr>
          <w:trHeight w:val="425" w:hRule="atLeast"/>
        </w:trPr>
        <w:tc>
          <w:tcPr>
            <w:tcW w:type="dxa" w:w="3249"/>
            <w:vAlign w:val="center"/>
          </w:tcPr>
          <w:p>
            <w:pPr>
              <w:spacing w:line="276" w:lineRule="auto" w:before="0" w:after="0"/>
            </w:pPr>
            <w:r/>
            <w:r>
              <w:rPr>
                <w:rFonts w:ascii="Figtree" w:hAnsi="Figtree"/>
                <w:b w:val="0"/>
                <w:i w:val="0"/>
                <w:sz w:val="20"/>
              </w:rPr>
              <w:t>1. Evaluation questions and clarifications</w:t>
            </w:r>
          </w:p>
        </w:tc>
        <w:tc>
          <w:tcPr>
            <w:tcW w:type="dxa" w:w="3249"/>
            <w:vAlign w:val="center"/>
          </w:tcPr>
          <w:p>
            <w:pPr>
              <w:spacing w:line="276" w:lineRule="auto" w:before="0" w:after="0"/>
            </w:pPr>
            <w:r/>
            <w:r>
              <w:rPr>
                <w:rFonts w:ascii="Figtree" w:hAnsi="Figtree"/>
                <w:b w:val="0"/>
                <w:i w:val="0"/>
                <w:sz w:val="20"/>
              </w:rPr>
              <w:t>Grab Financial to SettleMint</w:t>
            </w:r>
          </w:p>
        </w:tc>
        <w:tc>
          <w:tcPr>
            <w:tcW w:type="dxa" w:w="3249"/>
            <w:vAlign w:val="center"/>
          </w:tcPr>
          <w:p>
            <w:pPr>
              <w:spacing w:line="276" w:lineRule="auto" w:before="0" w:after="0"/>
            </w:pPr>
            <w:r/>
            <w:r>
              <w:rPr>
                <w:rFonts w:ascii="Figtree" w:hAnsi="Figtree"/>
                <w:b w:val="0"/>
                <w:i w:val="0"/>
                <w:sz w:val="20"/>
              </w:rPr>
              <w:t>Within 2 weeks</w:t>
            </w:r>
          </w:p>
        </w:tc>
      </w:tr>
      <w:tr>
        <w:trPr>
          <w:trHeight w:val="425" w:hRule="atLeast"/>
        </w:trPr>
        <w:tc>
          <w:tcPr>
            <w:tcW w:type="dxa" w:w="3249"/>
            <w:vAlign w:val="center"/>
          </w:tcPr>
          <w:p>
            <w:pPr>
              <w:spacing w:line="276" w:lineRule="auto" w:before="0" w:after="0"/>
            </w:pPr>
            <w:r/>
            <w:r>
              <w:rPr>
                <w:rFonts w:ascii="Figtree" w:hAnsi="Figtree"/>
                <w:b w:val="0"/>
                <w:i w:val="0"/>
                <w:sz w:val="20"/>
              </w:rPr>
              <w:t>2. Reference calls (under NDA)</w:t>
            </w:r>
          </w:p>
        </w:tc>
        <w:tc>
          <w:tcPr>
            <w:tcW w:type="dxa" w:w="3249"/>
            <w:vAlign w:val="center"/>
          </w:tcPr>
          <w:p>
            <w:pPr>
              <w:spacing w:line="276" w:lineRule="auto" w:before="0" w:after="0"/>
            </w:pPr>
            <w:r/>
            <w:r>
              <w:rPr>
                <w:rFonts w:ascii="Figtree" w:hAnsi="Figtree"/>
                <w:b w:val="0"/>
                <w:i w:val="0"/>
                <w:sz w:val="20"/>
              </w:rPr>
              <w:t>SettleMint to arrange</w:t>
            </w:r>
          </w:p>
        </w:tc>
        <w:tc>
          <w:tcPr>
            <w:tcW w:type="dxa" w:w="3249"/>
            <w:vAlign w:val="center"/>
          </w:tcPr>
          <w:p>
            <w:pPr>
              <w:spacing w:line="276" w:lineRule="auto" w:before="0" w:after="0"/>
            </w:pPr>
            <w:r/>
            <w:r>
              <w:rPr>
                <w:rFonts w:ascii="Figtree" w:hAnsi="Figtree"/>
                <w:b w:val="0"/>
                <w:i w:val="0"/>
                <w:sz w:val="20"/>
              </w:rPr>
              <w:t>Upon request</w:t>
            </w:r>
          </w:p>
        </w:tc>
      </w:tr>
      <w:tr>
        <w:trPr>
          <w:trHeight w:val="425" w:hRule="atLeast"/>
        </w:trPr>
        <w:tc>
          <w:tcPr>
            <w:tcW w:type="dxa" w:w="3249"/>
            <w:vAlign w:val="center"/>
          </w:tcPr>
          <w:p>
            <w:pPr>
              <w:spacing w:line="276" w:lineRule="auto" w:before="0" w:after="0"/>
            </w:pPr>
            <w:r/>
            <w:r>
              <w:rPr>
                <w:rFonts w:ascii="Figtree" w:hAnsi="Figtree"/>
                <w:b w:val="0"/>
                <w:i w:val="0"/>
                <w:sz w:val="20"/>
              </w:rPr>
              <w:t>3. Commercial scoping call</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4. Technical deep-dive / GrabPay integration review</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5. Legal review of Master Services Agreement</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4-6</w:t>
            </w:r>
          </w:p>
        </w:tc>
      </w:tr>
      <w:tr>
        <w:trPr>
          <w:trHeight w:val="425" w:hRule="atLeast"/>
        </w:trPr>
        <w:tc>
          <w:tcPr>
            <w:tcW w:type="dxa" w:w="3249"/>
            <w:vAlign w:val="center"/>
          </w:tcPr>
          <w:p>
            <w:pPr>
              <w:spacing w:line="276" w:lineRule="auto" w:before="0" w:after="0"/>
            </w:pPr>
            <w:r/>
            <w:r>
              <w:rPr>
                <w:rFonts w:ascii="Figtree" w:hAnsi="Figtree"/>
                <w:b w:val="0"/>
                <w:i w:val="0"/>
                <w:sz w:val="20"/>
              </w:rPr>
              <w:t>6. Contract execution and Year 1 payment</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Upon agreement</w:t>
            </w:r>
          </w:p>
        </w:tc>
      </w:tr>
      <w:tr>
        <w:trPr>
          <w:trHeight w:val="425" w:hRule="atLeast"/>
        </w:trPr>
        <w:tc>
          <w:tcPr>
            <w:tcW w:type="dxa" w:w="3249"/>
            <w:vAlign w:val="center"/>
          </w:tcPr>
          <w:p>
            <w:pPr>
              <w:spacing w:line="276" w:lineRule="auto" w:before="0" w:after="0"/>
            </w:pPr>
            <w:r/>
            <w:r>
              <w:rPr>
                <w:rFonts w:ascii="Figtree" w:hAnsi="Figtree"/>
                <w:b w:val="0"/>
                <w:i w:val="0"/>
                <w:sz w:val="20"/>
              </w:rPr>
              <w:t>7. Implementation kickoff</w:t>
            </w:r>
          </w:p>
        </w:tc>
        <w:tc>
          <w:tcPr>
            <w:tcW w:type="dxa" w:w="3249"/>
            <w:vAlign w:val="center"/>
          </w:tcPr>
          <w:p>
            <w:pPr>
              <w:spacing w:line="276" w:lineRule="auto" w:before="0" w:after="0"/>
            </w:pPr>
            <w:r/>
            <w:r>
              <w:rPr>
                <w:rFonts w:ascii="Figtree" w:hAnsi="Figtree"/>
                <w:b w:val="0"/>
                <w:i w:val="0"/>
                <w:sz w:val="20"/>
              </w:rPr>
              <w:t>Joint</w:t>
            </w:r>
          </w:p>
        </w:tc>
        <w:tc>
          <w:tcPr>
            <w:tcW w:type="dxa" w:w="3249"/>
            <w:vAlign w:val="center"/>
          </w:tcPr>
          <w:p>
            <w:pPr>
              <w:spacing w:line="276" w:lineRule="auto" w:before="0" w:after="0"/>
            </w:pPr>
            <w:r/>
            <w:r>
              <w:rPr>
                <w:rFonts w:ascii="Figtree" w:hAnsi="Figtree"/>
                <w:b w:val="0"/>
                <w:i w:val="0"/>
                <w:sz w:val="20"/>
              </w:rPr>
              <w:t>Following contract execution</w:t>
            </w:r>
          </w:p>
        </w:tc>
      </w:tr>
    </w:tbl>
    <w:p>
      <w:pPr>
        <w:spacing w:before="0" w:after="0" w:line="120" w:lineRule="exact"/>
      </w:pPr>
    </w:p>
    <w:p>
      <w:r>
        <w:br w:type="page"/>
      </w:r>
    </w:p>
    <w:p>
      <w:r>
        <w:rPr>
          <w:rFonts w:ascii="Figtree" w:hAnsi="Figtree"/>
          <w:b w:val="0"/>
          <w:i/>
          <w:sz w:val="22"/>
        </w:rPr>
        <w:t>SettleMint | Confidential | Version 1.0 | 21 March 2026</w:t>
      </w:r>
    </w:p>
    <w:p>
      <w:r>
        <w:rPr>
          <w:rFonts w:ascii="Figtree" w:hAnsi="Figtree"/>
          <w:b w:val="0"/>
          <w:i/>
          <w:sz w:val="22"/>
        </w:rPr>
        <w:t>All prices exclude applicable taxes and VAT. Annual, upfront payment terms apply to all license fees.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