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Cover Page</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1. Executive Summary</w:t>
          </w:r>
          <w:r>
            <w:tab/>
          </w:r>
          <w:r>
            <w:t xml:space="preserve">5</w:t>
          </w:r>
        </w:p>
        <w:p>
          <w:pPr>
            <w:pStyle w:val="TOC3"/>
            <w:tabs>
              <w:tab w:val="right" w:leader="dot" w:pos="9072"/>
            </w:tabs>
          </w:pPr>
          <w:r>
            <w:t xml:space="preserve">1.1 Programme Context</w:t>
          </w:r>
          <w:r>
            <w:tab/>
          </w:r>
          <w:r>
            <w:t xml:space="preserve">6</w:t>
          </w:r>
        </w:p>
        <w:p>
          <w:pPr>
            <w:pStyle w:val="TOC3"/>
            <w:tabs>
              <w:tab w:val="right" w:leader="dot" w:pos="9072"/>
            </w:tabs>
          </w:pPr>
          <w:r>
            <w:t xml:space="preserve">1.2 Recommended Commercial Model</w:t>
          </w:r>
          <w:r>
            <w:tab/>
          </w:r>
          <w:r>
            <w:t xml:space="preserve">7</w:t>
          </w:r>
        </w:p>
        <w:p>
          <w:pPr>
            <w:pStyle w:val="TOC3"/>
            <w:tabs>
              <w:tab w:val="right" w:leader="dot" w:pos="9072"/>
            </w:tabs>
          </w:pPr>
          <w:r>
            <w:t xml:space="preserve">1.3 Commercial Summary</w:t>
          </w:r>
          <w:r>
            <w:tab/>
          </w:r>
          <w:r>
            <w:t xml:space="preserve">8</w:t>
          </w:r>
        </w:p>
        <w:p>
          <w:pPr>
            <w:pStyle w:val="TOC2"/>
            <w:tabs>
              <w:tab w:val="right" w:leader="dot" w:pos="9072"/>
            </w:tabs>
          </w:pPr>
          <w:r>
            <w:t xml:space="preserve">2. Investment Rationale</w:t>
          </w:r>
          <w:r>
            <w:tab/>
          </w:r>
          <w:r>
            <w:t xml:space="preserve">9</w:t>
          </w:r>
        </w:p>
        <w:p>
          <w:pPr>
            <w:pStyle w:val="TOC3"/>
            <w:tabs>
              <w:tab w:val="right" w:leader="dot" w:pos="9072"/>
            </w:tabs>
          </w:pPr>
          <w:r>
            <w:t xml:space="preserve">2.1 Cost of Current Approach</w:t>
          </w:r>
          <w:r>
            <w:tab/>
          </w:r>
          <w:r>
            <w:t xml:space="preserve">10</w:t>
          </w:r>
        </w:p>
        <w:p>
          <w:pPr>
            <w:pStyle w:val="TOC3"/>
            <w:tabs>
              <w:tab w:val="right" w:leader="dot" w:pos="9072"/>
            </w:tabs>
          </w:pPr>
          <w:r>
            <w:t xml:space="preserve">2.2 DALP Economic Impact</w:t>
          </w:r>
          <w:r>
            <w:tab/>
          </w:r>
          <w:r>
            <w:t xml:space="preserve">11</w:t>
          </w:r>
        </w:p>
        <w:p>
          <w:pPr>
            <w:pStyle w:val="TOC3"/>
            <w:tabs>
              <w:tab w:val="right" w:leader="dot" w:pos="9072"/>
            </w:tabs>
          </w:pPr>
          <w:r>
            <w:t xml:space="preserve">2.3 ROI Framework</w:t>
          </w:r>
          <w:r>
            <w:tab/>
          </w:r>
          <w:r>
            <w:t xml:space="preserve">12</w:t>
          </w:r>
        </w:p>
        <w:p>
          <w:pPr>
            <w:pStyle w:val="TOC2"/>
            <w:tabs>
              <w:tab w:val="right" w:leader="dot" w:pos="9072"/>
            </w:tabs>
          </w:pPr>
          <w:r>
            <w:t xml:space="preserve">3. Commercial Model</w:t>
          </w:r>
          <w:r>
            <w:tab/>
          </w:r>
          <w:r>
            <w:t xml:space="preserve">13</w:t>
          </w:r>
        </w:p>
        <w:p>
          <w:pPr>
            <w:pStyle w:val="TOC3"/>
            <w:tabs>
              <w:tab w:val="right" w:leader="dot" w:pos="9072"/>
            </w:tabs>
          </w:pPr>
          <w:r>
            <w:t xml:space="preserve">3.1 Licensing Structure</w:t>
          </w:r>
          <w:r>
            <w:tab/>
          </w:r>
          <w:r>
            <w:t xml:space="preserve">14</w:t>
          </w:r>
        </w:p>
        <w:p>
          <w:pPr>
            <w:pStyle w:val="TOC3"/>
            <w:tabs>
              <w:tab w:val="right" w:leader="dot" w:pos="9072"/>
            </w:tabs>
          </w:pPr>
          <w:r>
            <w:t xml:space="preserve">3.2 Multi-Tenant Pricing</w:t>
          </w:r>
          <w:r>
            <w:tab/>
          </w:r>
          <w:r>
            <w:t xml:space="preserve">15</w:t>
          </w:r>
        </w:p>
        <w:p>
          <w:pPr>
            <w:pStyle w:val="TOC3"/>
            <w:tabs>
              <w:tab w:val="right" w:leader="dot" w:pos="9072"/>
            </w:tabs>
          </w:pPr>
          <w:r>
            <w:t xml:space="preserve">3.3 Transaction Pricing</w:t>
          </w:r>
          <w:r>
            <w:tab/>
          </w:r>
          <w:r>
            <w:t xml:space="preserve">16</w:t>
          </w:r>
        </w:p>
        <w:p>
          <w:pPr>
            <w:pStyle w:val="TOC2"/>
            <w:tabs>
              <w:tab w:val="right" w:leader="dot" w:pos="9072"/>
            </w:tabs>
          </w:pPr>
          <w:r>
            <w:t xml:space="preserve">4. Implementation Investment</w:t>
          </w:r>
          <w:r>
            <w:tab/>
          </w:r>
          <w:r>
            <w:t xml:space="preserve">17</w:t>
          </w:r>
        </w:p>
        <w:p>
          <w:pPr>
            <w:pStyle w:val="TOC3"/>
            <w:tabs>
              <w:tab w:val="right" w:leader="dot" w:pos="9072"/>
            </w:tabs>
          </w:pPr>
          <w:r>
            <w:t xml:space="preserve">4.1 Implementation Scope</w:t>
          </w:r>
          <w:r>
            <w:tab/>
          </w:r>
          <w:r>
            <w:t xml:space="preserve">18</w:t>
          </w:r>
        </w:p>
        <w:p>
          <w:pPr>
            <w:pStyle w:val="TOC3"/>
            <w:tabs>
              <w:tab w:val="right" w:leader="dot" w:pos="9072"/>
            </w:tabs>
          </w:pPr>
          <w:r>
            <w:t xml:space="preserve">4.2 Investment Structure</w:t>
          </w:r>
          <w:r>
            <w:tab/>
          </w:r>
          <w:r>
            <w:t xml:space="preserve">19</w:t>
          </w:r>
        </w:p>
        <w:p>
          <w:pPr>
            <w:pStyle w:val="TOC3"/>
            <w:tabs>
              <w:tab w:val="right" w:leader="dot" w:pos="9072"/>
            </w:tabs>
          </w:pPr>
          <w:r>
            <w:t xml:space="preserve">4.3 Investment Assumptions</w:t>
          </w:r>
          <w:r>
            <w:tab/>
          </w:r>
          <w:r>
            <w:t xml:space="preserve">20</w:t>
          </w:r>
        </w:p>
        <w:p>
          <w:pPr>
            <w:pStyle w:val="TOC2"/>
            <w:tabs>
              <w:tab w:val="right" w:leader="dot" w:pos="9072"/>
            </w:tabs>
          </w:pPr>
          <w:r>
            <w:t xml:space="preserve">5. Ongoing Investment</w:t>
          </w:r>
          <w:r>
            <w:tab/>
          </w:r>
          <w:r>
            <w:t xml:space="preserve">21</w:t>
          </w:r>
        </w:p>
        <w:p>
          <w:pPr>
            <w:pStyle w:val="TOC3"/>
            <w:tabs>
              <w:tab w:val="right" w:leader="dot" w:pos="9072"/>
            </w:tabs>
          </w:pPr>
          <w:r>
            <w:t xml:space="preserve">5.1 Annual Operating Cost</w:t>
          </w:r>
          <w:r>
            <w:tab/>
          </w:r>
          <w:r>
            <w:t xml:space="preserve">22</w:t>
          </w:r>
        </w:p>
        <w:p>
          <w:pPr>
            <w:pStyle w:val="TOC3"/>
            <w:tabs>
              <w:tab w:val="right" w:leader="dot" w:pos="9072"/>
            </w:tabs>
          </w:pPr>
          <w:r>
            <w:t xml:space="preserve">5.2 Cost Progression</w:t>
          </w:r>
          <w:r>
            <w:tab/>
          </w:r>
          <w:r>
            <w:t xml:space="preserve">23</w:t>
          </w:r>
        </w:p>
        <w:p>
          <w:pPr>
            <w:pStyle w:val="TOC3"/>
            <w:tabs>
              <w:tab w:val="right" w:leader="dot" w:pos="9072"/>
            </w:tabs>
          </w:pPr>
          <w:r>
            <w:t xml:space="preserve">5.3 Cost Predictability</w:t>
          </w:r>
          <w:r>
            <w:tab/>
          </w:r>
          <w:r>
            <w:t xml:space="preserve">24</w:t>
          </w:r>
        </w:p>
        <w:p>
          <w:pPr>
            <w:pStyle w:val="TOC2"/>
            <w:tabs>
              <w:tab w:val="right" w:leader="dot" w:pos="9072"/>
            </w:tabs>
          </w:pPr>
          <w:r>
            <w:t xml:space="preserve">6. Value Analysis</w:t>
          </w:r>
          <w:r>
            <w:tab/>
          </w:r>
          <w:r>
            <w:t xml:space="preserve">25</w:t>
          </w:r>
        </w:p>
        <w:p>
          <w:pPr>
            <w:pStyle w:val="TOC3"/>
            <w:tabs>
              <w:tab w:val="right" w:leader="dot" w:pos="9072"/>
            </w:tabs>
          </w:pPr>
          <w:r>
            <w:t xml:space="preserve">6.1 Buy vs. Build Comparison</w:t>
          </w:r>
          <w:r>
            <w:tab/>
          </w:r>
          <w:r>
            <w:t xml:space="preserve">26</w:t>
          </w:r>
        </w:p>
        <w:p>
          <w:pPr>
            <w:pStyle w:val="TOC3"/>
            <w:tabs>
              <w:tab w:val="right" w:leader="dot" w:pos="9072"/>
            </w:tabs>
          </w:pPr>
          <w:r>
            <w:t xml:space="preserve">6.2 Single-Platform Economics</w:t>
          </w:r>
          <w:r>
            <w:tab/>
          </w:r>
          <w:r>
            <w:t xml:space="preserve">27</w:t>
          </w:r>
        </w:p>
        <w:p>
          <w:pPr>
            <w:pStyle w:val="TOC3"/>
            <w:tabs>
              <w:tab w:val="right" w:leader="dot" w:pos="9072"/>
            </w:tabs>
          </w:pPr>
          <w:r>
            <w:t xml:space="preserve">6.3 Risk-Adjusted Value</w:t>
          </w:r>
          <w:r>
            <w:tab/>
          </w:r>
          <w:r>
            <w:t xml:space="preserve">28</w:t>
          </w:r>
        </w:p>
        <w:p>
          <w:pPr>
            <w:pStyle w:val="TOC2"/>
            <w:tabs>
              <w:tab w:val="right" w:leader="dot" w:pos="9072"/>
            </w:tabs>
          </w:pPr>
          <w:r>
            <w:t xml:space="preserve">7. Contracting Terms</w:t>
          </w:r>
          <w:r>
            <w:tab/>
          </w:r>
          <w:r>
            <w:t xml:space="preserve">29</w:t>
          </w:r>
        </w:p>
        <w:p>
          <w:pPr>
            <w:pStyle w:val="TOC3"/>
            <w:tabs>
              <w:tab w:val="right" w:leader="dot" w:pos="9072"/>
            </w:tabs>
          </w:pPr>
          <w:r>
            <w:t xml:space="preserve">7.1 Contract Structure</w:t>
          </w:r>
          <w:r>
            <w:tab/>
          </w:r>
          <w:r>
            <w:t xml:space="preserve">30</w:t>
          </w:r>
        </w:p>
        <w:p>
          <w:pPr>
            <w:pStyle w:val="TOC3"/>
            <w:tabs>
              <w:tab w:val="right" w:leader="dot" w:pos="9072"/>
            </w:tabs>
          </w:pPr>
          <w:r>
            <w:t xml:space="preserve">7.2 Standard Terms</w:t>
          </w:r>
          <w:r>
            <w:tab/>
          </w:r>
          <w:r>
            <w:t xml:space="preserve">31</w:t>
          </w:r>
        </w:p>
        <w:p>
          <w:pPr>
            <w:pStyle w:val="TOC3"/>
            <w:tabs>
              <w:tab w:val="right" w:leader="dot" w:pos="9072"/>
            </w:tabs>
          </w:pPr>
          <w:r>
            <w:t xml:space="preserve">7.3 Proposed Deviations</w:t>
          </w:r>
          <w:r>
            <w:tab/>
          </w:r>
          <w:r>
            <w:t xml:space="preserve">32</w:t>
          </w:r>
        </w:p>
        <w:p>
          <w:pPr>
            <w:pStyle w:val="TOC2"/>
            <w:tabs>
              <w:tab w:val="right" w:leader="dot" w:pos="9072"/>
            </w:tabs>
          </w:pPr>
          <w:r>
            <w:t xml:space="preserve">8. Summary</w:t>
          </w:r>
          <w:r>
            <w:tab/>
          </w:r>
          <w:r>
            <w:t xml:space="preserve">33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Cover Page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06"/>
        <w:gridCol w:w="646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Document Title</w:t>
            </w:r>
          </w:p>
        </w:tc>
        <w:tc>
          <w:tcPr>
            <w:tcW w:type="dxa" w:w="4873"/>
            <w:vAlign w:val="center"/>
          </w:tcPr>
          <w:p>
            <w:pPr>
              <w:spacing w:line="276" w:lineRule="auto" w:before="0" w:after="0"/>
            </w:pPr>
            <w:r/>
            <w:r>
              <w:rPr>
                <w:rFonts w:ascii="Figtree" w:hAnsi="Figtree"/>
                <w:b w:val="0"/>
                <w:i w:val="0"/>
                <w:sz w:val="20"/>
              </w:rPr>
              <w:t>BaaS Digital Asset Module - Commercial Proposal</w:t>
            </w:r>
          </w:p>
        </w:tc>
      </w:tr>
      <w:tr>
        <w:trPr>
          <w:trHeight w:val="425" w:hRule="atLeast"/>
        </w:trPr>
        <w:tc>
          <w:tcPr>
            <w:tcW w:type="dxa" w:w="4873"/>
            <w:vAlign w:val="center"/>
          </w:tcPr>
          <w:p>
            <w:pPr>
              <w:spacing w:line="276" w:lineRule="auto" w:before="0" w:after="0"/>
            </w:pPr>
            <w:r/>
            <w:r>
              <w:rPr>
                <w:rFonts w:ascii="Figtree" w:hAnsi="Figtree"/>
                <w:b w:val="0"/>
                <w:i w:val="0"/>
                <w:sz w:val="20"/>
              </w:rPr>
              <w:t>Client Name</w:t>
            </w:r>
          </w:p>
        </w:tc>
        <w:tc>
          <w:tcPr>
            <w:tcW w:type="dxa" w:w="4873"/>
            <w:vAlign w:val="center"/>
          </w:tcPr>
          <w:p>
            <w:pPr>
              <w:spacing w:line="276" w:lineRule="auto" w:before="0" w:after="0"/>
            </w:pPr>
            <w:r/>
            <w:r>
              <w:rPr>
                <w:rFonts w:ascii="Figtree" w:hAnsi="Figtree"/>
                <w:b w:val="0"/>
                <w:i w:val="0"/>
                <w:sz w:val="20"/>
              </w:rPr>
              <w:t>Solarisbank</w:t>
            </w:r>
          </w:p>
        </w:tc>
      </w:tr>
      <w:tr>
        <w:trPr>
          <w:trHeight w:val="425" w:hRule="atLeast"/>
        </w:trPr>
        <w:tc>
          <w:tcPr>
            <w:tcW w:type="dxa" w:w="4873"/>
            <w:vAlign w:val="center"/>
          </w:tcPr>
          <w:p>
            <w:pPr>
              <w:spacing w:line="276" w:lineRule="auto" w:before="0" w:after="0"/>
            </w:pPr>
            <w:r/>
            <w:r>
              <w:rPr>
                <w:rFonts w:ascii="Figtree" w:hAnsi="Figtree"/>
                <w:b w:val="0"/>
                <w:i w:val="0"/>
                <w:sz w:val="20"/>
              </w:rPr>
              <w:t>Submission 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Commercial Model</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Ongoing Investment</w:t>
      </w:r>
    </w:p>
    <w:p>
      <w:pPr>
        <w:pStyle w:val="ListParagraph"/>
        <w:numPr>
          <w:ilvl w:val="0"/>
          <w:numId w:val="6"/>
        </w:numPr>
      </w:pPr>
      <w:r>
        <w:rPr>
          <w:rFonts w:ascii="Figtree" w:hAnsi="Figtree"/>
          <w:b w:val="0"/>
          <w:i w:val="0"/>
          <w:sz w:val="22"/>
        </w:rPr>
        <w:t>Value Analysis</w:t>
      </w:r>
    </w:p>
    <w:p>
      <w:pPr>
        <w:pStyle w:val="ListParagraph"/>
        <w:numPr>
          <w:ilvl w:val="0"/>
          <w:numId w:val="6"/>
        </w:numPr>
      </w:pPr>
      <w:r>
        <w:rPr>
          <w:rFonts w:ascii="Figtree" w:hAnsi="Figtree"/>
          <w:b w:val="0"/>
          <w:i w:val="0"/>
          <w:sz w:val="22"/>
        </w:rPr>
        <w:t>Contracting Terms</w:t>
      </w:r>
    </w:p>
    <w:p>
      <w:r>
        <w:br w:type="page"/>
      </w:r>
    </w:p>
    <w:p>
      <w:pPr>
        <w:pStyle w:val="H2"/>
        <w:numPr>
          <w:ilvl w:val="1"/>
          <w:numId w:val="1"/>
        </w:numPr>
      </w:pPr>
      <w:r>
        <w:t>1. Executive Summary</w:t>
      </w:r>
    </w:p>
    <w:p>
      <w:pPr>
        <w:pStyle w:val="H3"/>
        <w:numPr>
          <w:ilvl w:val="2"/>
          <w:numId w:val="1"/>
        </w:numPr>
      </w:pPr>
      <w:r>
        <w:t>1.1 Programme Context</w:t>
      </w:r>
    </w:p>
    <w:p>
      <w:r>
        <w:rPr>
          <w:rFonts w:ascii="Figtree" w:hAnsi="Figtree"/>
          <w:b w:val="0"/>
          <w:i w:val="0"/>
          <w:sz w:val="22"/>
        </w:rPr>
        <w:t>Solarisbank's procurement for BaaS digital asset module addresses a strategic imperative to extend the platform's value proposition to digital asset capabilities, enabling partners to offer tokenized products within the existing BaaS framework. The programme responds to three converging drivers: partner demand for digital asset products, competitive pressure to offer comprehensive embedded finance, and regulatory readiness for MiCA and DORA.</w:t>
      </w:r>
    </w:p>
    <w:p>
      <w:r>
        <w:rPr>
          <w:rFonts w:ascii="Figtree" w:hAnsi="Figtree"/>
          <w:b w:val="0"/>
          <w:i w:val="0"/>
          <w:sz w:val="22"/>
        </w:rPr>
        <w:t>The programme represents a significant investment in platform infrastructure. The commercial proposal provides the financial framework that enables Solarisbank to evaluate the investment against alternative approaches and make an informed procurement decision.</w:t>
      </w:r>
    </w:p>
    <w:p>
      <w:pPr>
        <w:pStyle w:val="H3"/>
        <w:numPr>
          <w:ilvl w:val="2"/>
          <w:numId w:val="1"/>
        </w:numPr>
      </w:pPr>
      <w:r>
        <w:t>1.2 Recommended Commercial Model</w:t>
      </w:r>
    </w:p>
    <w:p>
      <w:r>
        <w:rPr>
          <w:rFonts w:ascii="Figtree" w:hAnsi="Figtree"/>
          <w:b w:val="0"/>
          <w:i w:val="0"/>
          <w:sz w:val="22"/>
        </w:rPr>
        <w:t>SettleMint recommends a commercial model comprising platform licensing, implementation services, and ongoing support, structured to align with Solarisbank's BaaS operational model and partner scaling expectations. The model specifically addresses multi-tenant requirements and MiCA/DORA compliance through appropriate capability tiers.</w:t>
      </w:r>
    </w:p>
    <w:p>
      <w:r>
        <w:rPr>
          <w:rFonts w:ascii="Figtree" w:hAnsi="Figtree"/>
          <w:b w:val="0"/>
          <w:i w:val="0"/>
          <w:sz w:val="22"/>
        </w:rPr>
        <w:t>The model provides predictable cost structures through the implementation phase with clear transitions to operating cost normalization. Volume-based pricing elements are included for transaction processing and partner onboarding at rates that enable economic scale as the platform matures.</w:t>
      </w:r>
    </w:p>
    <w:p>
      <w:pPr>
        <w:pStyle w:val="H3"/>
        <w:numPr>
          <w:ilvl w:val="2"/>
          <w:numId w:val="1"/>
        </w:numPr>
      </w:pPr>
      <w:r>
        <w:t>1.3 Commercial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09"/>
        <w:gridCol w:w="546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Investment Profile</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Licensing</w:t>
            </w:r>
          </w:p>
        </w:tc>
        <w:tc>
          <w:tcPr>
            <w:tcW w:type="dxa" w:w="4873"/>
            <w:vAlign w:val="center"/>
          </w:tcPr>
          <w:p>
            <w:pPr>
              <w:spacing w:line="276" w:lineRule="auto" w:before="0" w:after="0"/>
            </w:pPr>
            <w:r/>
            <w:r>
              <w:rPr>
                <w:rFonts w:ascii="Figtree" w:hAnsi="Figtree"/>
                <w:b w:val="0"/>
                <w:i w:val="0"/>
                <w:sz w:val="20"/>
              </w:rPr>
              <w:t>Annual subscription (multi-tenant)</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Fixed-price with milestone payments</w:t>
            </w:r>
          </w:p>
        </w:tc>
      </w:tr>
      <w:tr>
        <w:trPr>
          <w:trHeight w:val="425" w:hRule="atLeast"/>
        </w:trPr>
        <w:tc>
          <w:tcPr>
            <w:tcW w:type="dxa" w:w="4873"/>
            <w:vAlign w:val="center"/>
          </w:tcPr>
          <w:p>
            <w:pPr>
              <w:spacing w:line="276" w:lineRule="auto" w:before="0" w:after="0"/>
            </w:pPr>
            <w:r/>
            <w:r>
              <w:rPr>
                <w:rFonts w:ascii="Figtree" w:hAnsi="Figtree"/>
                <w:b w:val="0"/>
                <w:i w:val="0"/>
                <w:sz w:val="20"/>
              </w:rPr>
              <w:t>Support Services</w:t>
            </w:r>
          </w:p>
        </w:tc>
        <w:tc>
          <w:tcPr>
            <w:tcW w:type="dxa" w:w="4873"/>
            <w:vAlign w:val="center"/>
          </w:tcPr>
          <w:p>
            <w:pPr>
              <w:spacing w:line="276" w:lineRule="auto" w:before="0" w:after="0"/>
            </w:pPr>
            <w:r/>
            <w:r>
              <w:rPr>
                <w:rFonts w:ascii="Figtree" w:hAnsi="Figtree"/>
                <w:b w:val="0"/>
                <w:i w:val="0"/>
                <w:sz w:val="20"/>
              </w:rPr>
              <w:t>Annual retainer</w:t>
            </w:r>
          </w:p>
        </w:tc>
      </w:tr>
      <w:tr>
        <w:trPr>
          <w:trHeight w:val="425" w:hRule="atLeast"/>
        </w:trPr>
        <w:tc>
          <w:tcPr>
            <w:tcW w:type="dxa" w:w="4873"/>
            <w:vAlign w:val="center"/>
          </w:tcPr>
          <w:p>
            <w:pPr>
              <w:spacing w:line="276" w:lineRule="auto" w:before="0" w:after="0"/>
            </w:pPr>
            <w:r/>
            <w:r>
              <w:rPr>
                <w:rFonts w:ascii="Figtree" w:hAnsi="Figtree"/>
                <w:b w:val="0"/>
                <w:i w:val="0"/>
                <w:sz w:val="20"/>
              </w:rPr>
              <w:t>Transaction Processing</w:t>
            </w:r>
          </w:p>
        </w:tc>
        <w:tc>
          <w:tcPr>
            <w:tcW w:type="dxa" w:w="4873"/>
            <w:vAlign w:val="center"/>
          </w:tcPr>
          <w:p>
            <w:pPr>
              <w:spacing w:line="276" w:lineRule="auto" w:before="0" w:after="0"/>
            </w:pPr>
            <w:r/>
            <w:r>
              <w:rPr>
                <w:rFonts w:ascii="Figtree" w:hAnsi="Figtree"/>
                <w:b w:val="0"/>
                <w:i w:val="0"/>
                <w:sz w:val="20"/>
              </w:rPr>
              <w:t>Volume-based at scale</w:t>
            </w:r>
          </w:p>
        </w:tc>
      </w:tr>
      <w:tr>
        <w:trPr>
          <w:trHeight w:val="425" w:hRule="atLeast"/>
        </w:trPr>
        <w:tc>
          <w:tcPr>
            <w:tcW w:type="dxa" w:w="4873"/>
            <w:vAlign w:val="center"/>
          </w:tcPr>
          <w:p>
            <w:pPr>
              <w:spacing w:line="276" w:lineRule="auto" w:before="0" w:after="0"/>
            </w:pPr>
            <w:r/>
            <w:r>
              <w:rPr>
                <w:rFonts w:ascii="Figtree" w:hAnsi="Figtree"/>
                <w:b w:val="0"/>
                <w:i w:val="0"/>
                <w:sz w:val="20"/>
              </w:rPr>
              <w:t>Partner Onboarding</w:t>
            </w:r>
          </w:p>
        </w:tc>
        <w:tc>
          <w:tcPr>
            <w:tcW w:type="dxa" w:w="4873"/>
            <w:vAlign w:val="center"/>
          </w:tcPr>
          <w:p>
            <w:pPr>
              <w:spacing w:line="276" w:lineRule="auto" w:before="0" w:after="0"/>
            </w:pPr>
            <w:r/>
            <w:r>
              <w:rPr>
                <w:rFonts w:ascii="Figtree" w:hAnsi="Figtree"/>
                <w:b w:val="0"/>
                <w:i w:val="0"/>
                <w:sz w:val="20"/>
              </w:rPr>
              <w:t>Per-partner setup fee</w:t>
            </w:r>
          </w:p>
        </w:tc>
      </w:tr>
    </w:tbl>
    <w:p>
      <w:pPr>
        <w:spacing w:before="0" w:after="0" w:line="120" w:lineRule="exact"/>
      </w:pPr>
    </w:p>
    <w:p>
      <w:r>
        <w:rPr>
          <w:rFonts w:ascii="Figtree" w:hAnsi="Figtree"/>
          <w:b w:val="0"/>
          <w:i/>
          <w:sz w:val="22"/>
        </w:rPr>
        <w:t>Detailed figures are scoped and finalized through commercial validation.</w:t>
      </w:r>
    </w:p>
    <w:p>
      <w:r>
        <w:br w:type="page"/>
      </w:r>
    </w:p>
    <w:p>
      <w:pPr>
        <w:pStyle w:val="H2"/>
        <w:numPr>
          <w:ilvl w:val="1"/>
          <w:numId w:val="1"/>
        </w:numPr>
      </w:pPr>
      <w:r>
        <w:t>2. Investment Rationale</w:t>
      </w:r>
    </w:p>
    <w:p>
      <w:pPr>
        <w:pStyle w:val="H3"/>
        <w:numPr>
          <w:ilvl w:val="2"/>
          <w:numId w:val="1"/>
        </w:numPr>
      </w:pPr>
      <w:r>
        <w:t>2.1 Cost of Current Approach</w:t>
      </w:r>
    </w:p>
    <w:p>
      <w:r>
        <w:rPr>
          <w:rFonts w:ascii="Figtree" w:hAnsi="Figtree"/>
          <w:b w:val="0"/>
          <w:i w:val="0"/>
          <w:sz w:val="22"/>
        </w:rPr>
        <w:t>The alternative to platform acquisition involves either building internally or using multiple point solutions. Each approach creates hidden costs:</w:t>
      </w:r>
    </w:p>
    <w:p>
      <w:r>
        <w:rPr>
          <w:rFonts w:ascii="Figtree" w:hAnsi="Figtree"/>
          <w:b/>
          <w:i w:val="0"/>
          <w:sz w:val="22"/>
        </w:rPr>
        <w:t>Build cost</w:t>
      </w:r>
      <w:r>
        <w:rPr>
          <w:rFonts w:ascii="Figtree" w:hAnsi="Figtree"/>
          <w:b w:val="0"/>
          <w:i w:val="0"/>
          <w:sz w:val="22"/>
        </w:rPr>
        <w:t>: Internal development of digital asset capability requires specialized expertise, significant development time, and ongoing maintenance. The build approach creates technical debt and delays time-to-market.</w:t>
      </w:r>
    </w:p>
    <w:p>
      <w:r>
        <w:rPr>
          <w:rFonts w:ascii="Figtree" w:hAnsi="Figtree"/>
          <w:b/>
          <w:i w:val="0"/>
          <w:sz w:val="22"/>
        </w:rPr>
        <w:t>Point solution cost</w:t>
      </w:r>
      <w:r>
        <w:rPr>
          <w:rFonts w:ascii="Figtree" w:hAnsi="Figtree"/>
          <w:b w:val="0"/>
          <w:i w:val="0"/>
          <w:sz w:val="22"/>
        </w:rPr>
        <w:t>: Assembling multiple vendor solutions creates integration complexity, operational overhead, and vendor coordination burden. Each integration creates data reconciliation requirements and potential for inconsistency.</w:t>
      </w:r>
    </w:p>
    <w:p>
      <w:r>
        <w:rPr>
          <w:rFonts w:ascii="Figtree" w:hAnsi="Figtree"/>
          <w:b/>
          <w:i w:val="0"/>
          <w:sz w:val="22"/>
        </w:rPr>
        <w:t>Operational cost</w:t>
      </w:r>
      <w:r>
        <w:rPr>
          <w:rFonts w:ascii="Figtree" w:hAnsi="Figtree"/>
          <w:b w:val="0"/>
          <w:i w:val="0"/>
          <w:sz w:val="22"/>
        </w:rPr>
        <w:t>: Both approaches require dedicated operational resources for digital asset management, compliance monitoring, and incident response. The BaaS model requires multi-tenant operational capability that is difficult to achieve with non-native approaches.</w:t>
      </w:r>
    </w:p>
    <w:p>
      <w:r>
        <w:rPr>
          <w:rFonts w:ascii="Figtree" w:hAnsi="Figtree"/>
          <w:b/>
          <w:i w:val="0"/>
          <w:sz w:val="22"/>
        </w:rPr>
        <w:t>Compliance cost</w:t>
      </w:r>
      <w:r>
        <w:rPr>
          <w:rFonts w:ascii="Figtree" w:hAnsi="Figtree"/>
          <w:b w:val="0"/>
          <w:i w:val="0"/>
          <w:sz w:val="22"/>
        </w:rPr>
        <w:t>: Meeting MiCA and DORA requirements requires specific technical capabilities and evidence generation that generic solutions may not provide.</w:t>
      </w:r>
    </w:p>
    <w:p>
      <w:r>
        <w:rPr>
          <w:rFonts w:ascii="Figtree" w:hAnsi="Figtree"/>
          <w:b w:val="0"/>
          <w:i w:val="0"/>
          <w:sz w:val="22"/>
        </w:rPr>
        <w:t>The platform addresses these constraints through a purpose-built solution with BaaS-native architecture and embedded regulatory compliance.</w:t>
      </w:r>
    </w:p>
    <w:p>
      <w:pPr>
        <w:pStyle w:val="H3"/>
        <w:numPr>
          <w:ilvl w:val="2"/>
          <w:numId w:val="1"/>
        </w:numPr>
      </w:pPr>
      <w:r>
        <w:t>2.2 DALP Economic Impact</w:t>
      </w:r>
    </w:p>
    <w:p>
      <w:r>
        <w:rPr>
          <w:rFonts w:ascii="Figtree" w:hAnsi="Figtree"/>
          <w:b w:val="0"/>
          <w:i w:val="0"/>
          <w:sz w:val="22"/>
        </w:rPr>
        <w:t>DALP changes the economics by providing a unified platform with BaaS-specific capabilities.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36"/>
        <w:gridCol w:w="2609"/>
        <w:gridCol w:w="1367"/>
        <w:gridCol w:w="285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Cost Driver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Alternative Approach</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r>
      <w:tr>
        <w:trPr>
          <w:trHeight w:val="425" w:hRule="atLeast"/>
        </w:trPr>
        <w:tc>
          <w:tcPr>
            <w:tcW w:type="dxa" w:w="2436"/>
            <w:vAlign w:val="center"/>
          </w:tcPr>
          <w:p>
            <w:pPr>
              <w:spacing w:line="276" w:lineRule="auto" w:before="0" w:after="0"/>
            </w:pPr>
            <w:r/>
            <w:r>
              <w:rPr>
                <w:rFonts w:ascii="Figtree" w:hAnsi="Figtree"/>
                <w:b w:val="0"/>
                <w:i w:val="0"/>
                <w:sz w:val="20"/>
              </w:rPr>
              <w:t>Development time</w:t>
            </w:r>
          </w:p>
        </w:tc>
        <w:tc>
          <w:tcPr>
            <w:tcW w:type="dxa" w:w="2436"/>
            <w:vAlign w:val="center"/>
          </w:tcPr>
          <w:p>
            <w:pPr>
              <w:spacing w:line="276" w:lineRule="auto" w:before="0" w:after="0"/>
            </w:pPr>
            <w:r/>
            <w:r>
              <w:rPr>
                <w:rFonts w:ascii="Figtree" w:hAnsi="Figtree"/>
                <w:b w:val="0"/>
                <w:i w:val="0"/>
                <w:sz w:val="20"/>
              </w:rPr>
              <w:t>18-24 months</w:t>
            </w:r>
          </w:p>
        </w:tc>
        <w:tc>
          <w:tcPr>
            <w:tcW w:type="dxa" w:w="2436"/>
            <w:vAlign w:val="center"/>
          </w:tcPr>
          <w:p>
            <w:pPr>
              <w:spacing w:line="276" w:lineRule="auto" w:before="0" w:after="0"/>
            </w:pPr>
            <w:r/>
            <w:r>
              <w:rPr>
                <w:rFonts w:ascii="Figtree" w:hAnsi="Figtree"/>
                <w:b w:val="0"/>
                <w:i w:val="0"/>
                <w:sz w:val="20"/>
              </w:rPr>
              <w:t>Immediate</w:t>
            </w:r>
          </w:p>
        </w:tc>
        <w:tc>
          <w:tcPr>
            <w:tcW w:type="dxa" w:w="2436"/>
            <w:vAlign w:val="center"/>
          </w:tcPr>
          <w:p>
            <w:pPr>
              <w:spacing w:line="276" w:lineRule="auto" w:before="0" w:after="0"/>
            </w:pPr>
            <w:r/>
            <w:r>
              <w:rPr>
                <w:rFonts w:ascii="Figtree" w:hAnsi="Figtree"/>
                <w:b w:val="0"/>
                <w:i w:val="0"/>
                <w:sz w:val="20"/>
              </w:rPr>
              <w:t>Pre-built platform</w:t>
            </w:r>
          </w:p>
        </w:tc>
      </w:tr>
      <w:tr>
        <w:trPr>
          <w:trHeight w:val="425" w:hRule="atLeast"/>
        </w:trPr>
        <w:tc>
          <w:tcPr>
            <w:tcW w:type="dxa" w:w="2436"/>
            <w:vAlign w:val="center"/>
          </w:tcPr>
          <w:p>
            <w:pPr>
              <w:spacing w:line="276" w:lineRule="auto" w:before="0" w:after="0"/>
            </w:pPr>
            <w:r/>
            <w:r>
              <w:rPr>
                <w:rFonts w:ascii="Figtree" w:hAnsi="Figtree"/>
                <w:b w:val="0"/>
                <w:i w:val="0"/>
                <w:sz w:val="20"/>
              </w:rPr>
              <w:t>Integration</w:t>
            </w:r>
          </w:p>
        </w:tc>
        <w:tc>
          <w:tcPr>
            <w:tcW w:type="dxa" w:w="2436"/>
            <w:vAlign w:val="center"/>
          </w:tcPr>
          <w:p>
            <w:pPr>
              <w:spacing w:line="276" w:lineRule="auto" w:before="0" w:after="0"/>
            </w:pPr>
            <w:r/>
            <w:r>
              <w:rPr>
                <w:rFonts w:ascii="Figtree" w:hAnsi="Figtree"/>
                <w:b w:val="0"/>
                <w:i w:val="0"/>
                <w:sz w:val="20"/>
              </w:rPr>
              <w:t>6+ months</w:t>
            </w:r>
          </w:p>
        </w:tc>
        <w:tc>
          <w:tcPr>
            <w:tcW w:type="dxa" w:w="2436"/>
            <w:vAlign w:val="center"/>
          </w:tcPr>
          <w:p>
            <w:pPr>
              <w:spacing w:line="276" w:lineRule="auto" w:before="0" w:after="0"/>
            </w:pPr>
            <w:r/>
            <w:r>
              <w:rPr>
                <w:rFonts w:ascii="Figtree" w:hAnsi="Figtree"/>
                <w:b w:val="0"/>
                <w:i w:val="0"/>
                <w:sz w:val="20"/>
              </w:rPr>
              <w:t>2-3 months</w:t>
            </w:r>
          </w:p>
        </w:tc>
        <w:tc>
          <w:tcPr>
            <w:tcW w:type="dxa" w:w="2436"/>
            <w:vAlign w:val="center"/>
          </w:tcPr>
          <w:p>
            <w:pPr>
              <w:spacing w:line="276" w:lineRule="auto" w:before="0" w:after="0"/>
            </w:pPr>
            <w:r/>
            <w:r>
              <w:rPr>
                <w:rFonts w:ascii="Figtree" w:hAnsi="Figtree"/>
                <w:b w:val="0"/>
                <w:i w:val="0"/>
                <w:sz w:val="20"/>
              </w:rPr>
              <w:t>Pre-built adapters</w:t>
            </w:r>
          </w:p>
        </w:tc>
      </w:tr>
      <w:tr>
        <w:trPr>
          <w:trHeight w:val="425" w:hRule="atLeast"/>
        </w:trPr>
        <w:tc>
          <w:tcPr>
            <w:tcW w:type="dxa" w:w="2436"/>
            <w:vAlign w:val="center"/>
          </w:tcPr>
          <w:p>
            <w:pPr>
              <w:spacing w:line="276" w:lineRule="auto" w:before="0" w:after="0"/>
            </w:pPr>
            <w:r/>
            <w:r>
              <w:rPr>
                <w:rFonts w:ascii="Figtree" w:hAnsi="Figtree"/>
                <w:b w:val="0"/>
                <w:i w:val="0"/>
                <w:sz w:val="20"/>
              </w:rPr>
              <w:t>Operational staff</w:t>
            </w:r>
          </w:p>
        </w:tc>
        <w:tc>
          <w:tcPr>
            <w:tcW w:type="dxa" w:w="2436"/>
            <w:vAlign w:val="center"/>
          </w:tcPr>
          <w:p>
            <w:pPr>
              <w:spacing w:line="276" w:lineRule="auto" w:before="0" w:after="0"/>
            </w:pPr>
            <w:r/>
            <w:r>
              <w:rPr>
                <w:rFonts w:ascii="Figtree" w:hAnsi="Figtree"/>
                <w:b w:val="0"/>
                <w:i w:val="0"/>
                <w:sz w:val="20"/>
              </w:rPr>
              <w:t>6-8 FTE</w:t>
            </w:r>
          </w:p>
        </w:tc>
        <w:tc>
          <w:tcPr>
            <w:tcW w:type="dxa" w:w="2436"/>
            <w:vAlign w:val="center"/>
          </w:tcPr>
          <w:p>
            <w:pPr>
              <w:spacing w:line="276" w:lineRule="auto" w:before="0" w:after="0"/>
            </w:pPr>
            <w:r/>
            <w:r>
              <w:rPr>
                <w:rFonts w:ascii="Figtree" w:hAnsi="Figtree"/>
                <w:b w:val="0"/>
                <w:i w:val="0"/>
                <w:sz w:val="20"/>
              </w:rPr>
              <w:t>2-3 FTE</w:t>
            </w:r>
          </w:p>
        </w:tc>
        <w:tc>
          <w:tcPr>
            <w:tcW w:type="dxa" w:w="2436"/>
            <w:vAlign w:val="center"/>
          </w:tcPr>
          <w:p>
            <w:pPr>
              <w:spacing w:line="276" w:lineRule="auto" w:before="0" w:after="0"/>
            </w:pPr>
            <w:r/>
            <w:r>
              <w:rPr>
                <w:rFonts w:ascii="Figtree" w:hAnsi="Figtree"/>
                <w:b w:val="0"/>
                <w:i w:val="0"/>
                <w:sz w:val="20"/>
              </w:rPr>
              <w:t>Multi-tenant automation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setup</w:t>
            </w:r>
          </w:p>
        </w:tc>
        <w:tc>
          <w:tcPr>
            <w:tcW w:type="dxa" w:w="2436"/>
            <w:vAlign w:val="center"/>
          </w:tcPr>
          <w:p>
            <w:pPr>
              <w:spacing w:line="276" w:lineRule="auto" w:before="0" w:after="0"/>
            </w:pPr>
            <w:r/>
            <w:r>
              <w:rPr>
                <w:rFonts w:ascii="Figtree" w:hAnsi="Figtree"/>
                <w:b w:val="0"/>
                <w:i w:val="0"/>
                <w:sz w:val="20"/>
              </w:rPr>
              <w:t>3-6 months</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Pre-built MiCA/DORA</w:t>
            </w:r>
          </w:p>
        </w:tc>
      </w:tr>
      <w:tr>
        <w:trPr>
          <w:trHeight w:val="425" w:hRule="atLeast"/>
        </w:trPr>
        <w:tc>
          <w:tcPr>
            <w:tcW w:type="dxa" w:w="2436"/>
            <w:vAlign w:val="center"/>
          </w:tcPr>
          <w:p>
            <w:pPr>
              <w:spacing w:line="276" w:lineRule="auto" w:before="0" w:after="0"/>
            </w:pPr>
            <w:r/>
            <w:r>
              <w:rPr>
                <w:rFonts w:ascii="Figtree" w:hAnsi="Figtree"/>
                <w:b w:val="0"/>
                <w:i w:val="0"/>
                <w:sz w:val="20"/>
              </w:rPr>
              <w:t>Partner onboarding</w:t>
            </w:r>
          </w:p>
        </w:tc>
        <w:tc>
          <w:tcPr>
            <w:tcW w:type="dxa" w:w="2436"/>
            <w:vAlign w:val="center"/>
          </w:tcPr>
          <w:p>
            <w:pPr>
              <w:spacing w:line="276" w:lineRule="auto" w:before="0" w:after="0"/>
            </w:pPr>
            <w:r/>
            <w:r>
              <w:rPr>
                <w:rFonts w:ascii="Figtree" w:hAnsi="Figtree"/>
                <w:b w:val="0"/>
                <w:i w:val="0"/>
                <w:sz w:val="20"/>
              </w:rPr>
              <w:t>4-6 weeks per partner</w:t>
            </w:r>
          </w:p>
        </w:tc>
        <w:tc>
          <w:tcPr>
            <w:tcW w:type="dxa" w:w="2436"/>
            <w:vAlign w:val="center"/>
          </w:tcPr>
          <w:p>
            <w:pPr>
              <w:spacing w:line="276" w:lineRule="auto" w:before="0" w:after="0"/>
            </w:pPr>
            <w:r/>
            <w:r>
              <w:rPr>
                <w:rFonts w:ascii="Figtree" w:hAnsi="Figtree"/>
                <w:b w:val="0"/>
                <w:i w:val="0"/>
                <w:sz w:val="20"/>
              </w:rPr>
              <w:t>1-2 weeks</w:t>
            </w:r>
          </w:p>
        </w:tc>
        <w:tc>
          <w:tcPr>
            <w:tcW w:type="dxa" w:w="2436"/>
            <w:vAlign w:val="center"/>
          </w:tcPr>
          <w:p>
            <w:pPr>
              <w:spacing w:line="276" w:lineRule="auto" w:before="0" w:after="0"/>
            </w:pPr>
            <w:r/>
            <w:r>
              <w:rPr>
                <w:rFonts w:ascii="Figtree" w:hAnsi="Figtree"/>
                <w:b w:val="0"/>
                <w:i w:val="0"/>
                <w:sz w:val="20"/>
              </w:rPr>
              <w:t>Self-service</w:t>
            </w:r>
          </w:p>
        </w:tc>
      </w:tr>
    </w:tbl>
    <w:p>
      <w:pPr>
        <w:spacing w:before="0" w:after="0" w:line="120" w:lineRule="exact"/>
      </w:pPr>
    </w:p>
    <w:p>
      <w:r>
        <w:rPr>
          <w:rFonts w:ascii="Figtree" w:hAnsi="Figtree"/>
          <w:b w:val="0"/>
          <w:i w:val="0"/>
          <w:sz w:val="22"/>
        </w:rPr>
        <w:t>The platform enables approximately 50-60% reduction in operational overhead for digital asset services, with the percentage varying based on current approach and scale.</w:t>
      </w:r>
    </w:p>
    <w:p>
      <w:pPr>
        <w:pStyle w:val="H3"/>
        <w:numPr>
          <w:ilvl w:val="2"/>
          <w:numId w:val="1"/>
        </w:numPr>
      </w:pPr>
      <w:r>
        <w:t>2.3 ROI Framework</w:t>
      </w:r>
    </w:p>
    <w:p>
      <w:r>
        <w:rPr>
          <w:rFonts w:ascii="Figtree" w:hAnsi="Figtree"/>
          <w:b w:val="0"/>
          <w:i w:val="0"/>
          <w:sz w:val="22"/>
        </w:rPr>
        <w:t>Return on investment combines multiple value drivers:</w:t>
      </w:r>
    </w:p>
    <w:p>
      <w:r>
        <w:rPr>
          <w:rFonts w:ascii="Figtree" w:hAnsi="Figtree"/>
          <w:b/>
          <w:i w:val="0"/>
          <w:sz w:val="22"/>
        </w:rPr>
        <w:t>Cost avoidance</w:t>
      </w:r>
      <w:r>
        <w:rPr>
          <w:rFonts w:ascii="Figtree" w:hAnsi="Figtree"/>
          <w:b w:val="0"/>
          <w:i w:val="0"/>
          <w:sz w:val="22"/>
        </w:rPr>
        <w:t>: The platform avoids build costs, integration costs, and compliance setup costs that would be incurred through alternative approaches.</w:t>
      </w:r>
    </w:p>
    <w:p>
      <w:r>
        <w:rPr>
          <w:rFonts w:ascii="Figtree" w:hAnsi="Figtree"/>
          <w:b/>
          <w:i w:val="0"/>
          <w:sz w:val="22"/>
        </w:rPr>
        <w:t>Operational efficiency</w:t>
      </w:r>
      <w:r>
        <w:rPr>
          <w:rFonts w:ascii="Figtree" w:hAnsi="Figtree"/>
          <w:b w:val="0"/>
          <w:i w:val="0"/>
          <w:sz w:val="22"/>
        </w:rPr>
        <w:t>: Direct labor savings from automation and process improvement translate to cost reduction that compounds annually.</w:t>
      </w:r>
    </w:p>
    <w:p>
      <w:r>
        <w:rPr>
          <w:rFonts w:ascii="Figtree" w:hAnsi="Figtree"/>
          <w:b/>
          <w:i w:val="0"/>
          <w:sz w:val="22"/>
        </w:rPr>
        <w:t>Revenue enablement</w:t>
      </w:r>
      <w:r>
        <w:rPr>
          <w:rFonts w:ascii="Figtree" w:hAnsi="Figtree"/>
          <w:b w:val="0"/>
          <w:i w:val="0"/>
          <w:sz w:val="22"/>
        </w:rPr>
        <w:t>: Digital asset capabilities enable new partner revenue streams and existing partner expansion.</w:t>
      </w:r>
    </w:p>
    <w:p>
      <w:r>
        <w:rPr>
          <w:rFonts w:ascii="Figtree" w:hAnsi="Figtree"/>
          <w:b/>
          <w:i w:val="0"/>
          <w:sz w:val="22"/>
        </w:rPr>
        <w:t>Risk reduction</w:t>
      </w:r>
      <w:r>
        <w:rPr>
          <w:rFonts w:ascii="Figtree" w:hAnsi="Figtree"/>
          <w:b w:val="0"/>
          <w:i w:val="0"/>
          <w:sz w:val="22"/>
        </w:rPr>
        <w:t>: Pre-built compliance reduces regulatory risk and remediation costs.</w:t>
      </w:r>
    </w:p>
    <w:p>
      <w:r>
        <w:rPr>
          <w:rFonts w:ascii="Figtree" w:hAnsi="Figtree"/>
          <w:b w:val="0"/>
          <w:i w:val="0"/>
          <w:sz w:val="22"/>
        </w:rPr>
        <w:t>The ROI calculation depends on assumptions about partner scale and revenue model. Detailed ROI modeling is available through commercial validation workshops.</w:t>
      </w:r>
    </w:p>
    <w:p>
      <w:r>
        <w:br w:type="page"/>
      </w:r>
    </w:p>
    <w:p>
      <w:pPr>
        <w:pStyle w:val="H2"/>
        <w:numPr>
          <w:ilvl w:val="1"/>
          <w:numId w:val="1"/>
        </w:numPr>
      </w:pPr>
      <w:r>
        <w:t>3. Commercial Model</w:t>
      </w:r>
    </w:p>
    <w:p>
      <w:pPr>
        <w:pStyle w:val="H3"/>
        <w:numPr>
          <w:ilvl w:val="2"/>
          <w:numId w:val="1"/>
        </w:numPr>
      </w:pPr>
      <w:r>
        <w:t>3.1 Licensing Structure</w:t>
      </w:r>
    </w:p>
    <w:p>
      <w:r>
        <w:rPr>
          <w:rFonts w:ascii="Figtree" w:hAnsi="Figtree"/>
          <w:b w:val="0"/>
          <w:i w:val="0"/>
          <w:sz w:val="22"/>
        </w:rPr>
        <w:t>The platform operates on an annual subscription model with tiered options: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38"/>
        <w:gridCol w:w="2467"/>
        <w:gridCol w:w="546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Included Elements</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Core platform capabilities</w:t>
            </w:r>
          </w:p>
        </w:tc>
        <w:tc>
          <w:tcPr>
            <w:tcW w:type="dxa" w:w="3249"/>
            <w:vAlign w:val="center"/>
          </w:tcPr>
          <w:p>
            <w:pPr>
              <w:spacing w:line="276" w:lineRule="auto" w:before="0" w:after="0"/>
            </w:pPr>
            <w:r/>
            <w:r>
              <w:rPr>
                <w:rFonts w:ascii="Figtree" w:hAnsi="Figtree"/>
                <w:b w:val="0"/>
                <w:i w:val="0"/>
                <w:sz w:val="20"/>
              </w:rPr>
              <w:t>Asset lifecycle, basic compliance, API access</w:t>
            </w:r>
          </w:p>
        </w:tc>
      </w:tr>
      <w:tr>
        <w:trPr>
          <w:trHeight w:val="425" w:hRule="atLeast"/>
        </w:trPr>
        <w:tc>
          <w:tcPr>
            <w:tcW w:type="dxa" w:w="3249"/>
            <w:vAlign w:val="center"/>
          </w:tcPr>
          <w:p>
            <w:pPr>
              <w:spacing w:line="276" w:lineRule="auto" w:before="0" w:after="0"/>
            </w:pPr>
            <w:r/>
            <w:r>
              <w:rPr>
                <w:rFonts w:ascii="Figtree" w:hAnsi="Figtree"/>
                <w:b w:val="0"/>
                <w:i w:val="0"/>
                <w:sz w:val="20"/>
              </w:rPr>
              <w:t>Professional</w:t>
            </w:r>
          </w:p>
        </w:tc>
        <w:tc>
          <w:tcPr>
            <w:tcW w:type="dxa" w:w="3249"/>
            <w:vAlign w:val="center"/>
          </w:tcPr>
          <w:p>
            <w:pPr>
              <w:spacing w:line="276" w:lineRule="auto" w:before="0" w:after="0"/>
            </w:pPr>
            <w:r/>
            <w:r>
              <w:rPr>
                <w:rFonts w:ascii="Figtree" w:hAnsi="Figtree"/>
                <w:b w:val="0"/>
                <w:i w:val="0"/>
                <w:sz w:val="20"/>
              </w:rPr>
              <w:t>Enhanced capabilities</w:t>
            </w:r>
          </w:p>
        </w:tc>
        <w:tc>
          <w:tcPr>
            <w:tcW w:type="dxa" w:w="3249"/>
            <w:vAlign w:val="center"/>
          </w:tcPr>
          <w:p>
            <w:pPr>
              <w:spacing w:line="276" w:lineRule="auto" w:before="0" w:after="0"/>
            </w:pPr>
            <w:r/>
            <w:r>
              <w:rPr>
                <w:rFonts w:ascii="Figtree" w:hAnsi="Figtree"/>
                <w:b w:val="0"/>
                <w:i w:val="0"/>
                <w:sz w:val="20"/>
              </w:rPr>
              <w:t>Multi-tenant, MiCA/DORA, advanced reporting</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Full capabilities</w:t>
            </w:r>
          </w:p>
        </w:tc>
        <w:tc>
          <w:tcPr>
            <w:tcW w:type="dxa" w:w="3249"/>
            <w:vAlign w:val="center"/>
          </w:tcPr>
          <w:p>
            <w:pPr>
              <w:spacing w:line="276" w:lineRule="auto" w:before="0" w:after="0"/>
            </w:pPr>
            <w:r/>
            <w:r>
              <w:rPr>
                <w:rFonts w:ascii="Figtree" w:hAnsi="Figtree"/>
                <w:b w:val="0"/>
                <w:i w:val="0"/>
                <w:sz w:val="20"/>
              </w:rPr>
              <w:t>Dedicated environment, custom development, premium support</w:t>
            </w:r>
          </w:p>
        </w:tc>
      </w:tr>
    </w:tbl>
    <w:p>
      <w:pPr>
        <w:spacing w:before="0" w:after="0" w:line="120" w:lineRule="exact"/>
      </w:pPr>
    </w:p>
    <w:p>
      <w:r>
        <w:rPr>
          <w:rFonts w:ascii="Figtree" w:hAnsi="Figtree"/>
          <w:b w:val="0"/>
          <w:i w:val="0"/>
          <w:sz w:val="22"/>
        </w:rPr>
        <w:t>For Solarisbank's requirements, the Professional tier is recommended, providing multi-tenant capability with MiCA/DORA compliance at appropriate scale.</w:t>
      </w:r>
    </w:p>
    <w:p>
      <w:pPr>
        <w:pStyle w:val="H3"/>
        <w:numPr>
          <w:ilvl w:val="2"/>
          <w:numId w:val="1"/>
        </w:numPr>
      </w:pPr>
      <w:r>
        <w:t>3.2 Multi-Tenant Pricing</w:t>
      </w:r>
    </w:p>
    <w:p>
      <w:r>
        <w:rPr>
          <w:rFonts w:ascii="Figtree" w:hAnsi="Figtree"/>
          <w:b w:val="0"/>
          <w:i w:val="0"/>
          <w:sz w:val="22"/>
        </w:rPr>
        <w:t>The platform supports multi-tenant BaaS deployment with the following pricing structure:</w:t>
      </w:r>
    </w:p>
    <w:p>
      <w:r>
        <w:rPr>
          <w:rFonts w:ascii="Figtree" w:hAnsi="Figtree"/>
          <w:b/>
          <w:i w:val="0"/>
          <w:sz w:val="22"/>
        </w:rPr>
        <w:t>Platform Subscription</w:t>
      </w:r>
      <w:r>
        <w:rPr>
          <w:rFonts w:ascii="Figtree" w:hAnsi="Figtree"/>
          <w:b w:val="0"/>
          <w:i w:val="0"/>
          <w:sz w:val="22"/>
        </w:rPr>
        <w:t xml:space="preserve"> (Annual)</w:t>
      </w:r>
    </w:p>
    <w:p>
      <w:pPr>
        <w:pStyle w:val="ListParagraph"/>
        <w:numPr>
          <w:ilvl w:val="0"/>
          <w:numId w:val="4"/>
        </w:numPr>
      </w:pPr>
      <w:r>
        <w:rPr>
          <w:rFonts w:ascii="Figtree" w:hAnsi="Figtree"/>
          <w:b w:val="0"/>
          <w:i w:val="0"/>
          <w:sz w:val="22"/>
        </w:rPr>
        <w:t>Base platform: Multi-tenant deployment with unlimited partners</w:t>
      </w:r>
    </w:p>
    <w:p>
      <w:pPr>
        <w:pStyle w:val="ListParagraph"/>
        <w:numPr>
          <w:ilvl w:val="0"/>
          <w:numId w:val="4"/>
        </w:numPr>
      </w:pPr>
      <w:r>
        <w:rPr>
          <w:rFonts w:ascii="Figtree" w:hAnsi="Figtree"/>
          <w:b w:val="0"/>
          <w:i w:val="0"/>
          <w:sz w:val="22"/>
        </w:rPr>
        <w:t>Environment: Production plus DR</w:t>
      </w:r>
    </w:p>
    <w:p>
      <w:pPr>
        <w:pStyle w:val="ListParagraph"/>
        <w:numPr>
          <w:ilvl w:val="0"/>
          <w:numId w:val="4"/>
        </w:numPr>
      </w:pPr>
      <w:r>
        <w:rPr>
          <w:rFonts w:ascii="Figtree" w:hAnsi="Figtree"/>
          <w:b w:val="0"/>
          <w:i w:val="0"/>
          <w:sz w:val="22"/>
        </w:rPr>
        <w:t>API calls: 250,000/month included</w:t>
      </w:r>
    </w:p>
    <w:p>
      <w:pPr>
        <w:pStyle w:val="ListParagraph"/>
        <w:numPr>
          <w:ilvl w:val="0"/>
          <w:numId w:val="4"/>
        </w:numPr>
      </w:pPr>
      <w:r>
        <w:rPr>
          <w:rFonts w:ascii="Figtree" w:hAnsi="Figtree"/>
          <w:b w:val="0"/>
          <w:i w:val="0"/>
          <w:sz w:val="22"/>
        </w:rPr>
        <w:t>Support: Standard business hours</w:t>
      </w:r>
    </w:p>
    <w:p>
      <w:pPr>
        <w:pStyle w:val="ListParagraph"/>
        <w:numPr>
          <w:ilvl w:val="0"/>
          <w:numId w:val="4"/>
        </w:numPr>
      </w:pPr>
      <w:r>
        <w:rPr>
          <w:rFonts w:ascii="Figtree" w:hAnsi="Figtree"/>
          <w:b w:val="0"/>
          <w:i w:val="0"/>
          <w:sz w:val="22"/>
        </w:rPr>
        <w:t>MiCA/DORA Compliance Module: Included</w:t>
      </w:r>
    </w:p>
    <w:p>
      <w:r>
        <w:rPr>
          <w:rFonts w:ascii="Figtree" w:hAnsi="Figtree"/>
          <w:b/>
          <w:i w:val="0"/>
          <w:sz w:val="22"/>
        </w:rPr>
        <w:t>Partner Capacity</w:t>
      </w:r>
    </w:p>
    <w:p>
      <w:pPr>
        <w:pStyle w:val="ListParagraph"/>
        <w:numPr>
          <w:ilvl w:val="0"/>
          <w:numId w:val="4"/>
        </w:numPr>
      </w:pPr>
      <w:r>
        <w:rPr>
          <w:rFonts w:ascii="Figtree" w:hAnsi="Figtree"/>
          <w:b w:val="0"/>
          <w:i w:val="0"/>
          <w:sz w:val="22"/>
        </w:rPr>
        <w:t>Up to 10 partners: Included in platform subscription</w:t>
      </w:r>
    </w:p>
    <w:p>
      <w:pPr>
        <w:pStyle w:val="ListParagraph"/>
        <w:numPr>
          <w:ilvl w:val="0"/>
          <w:numId w:val="4"/>
        </w:numPr>
      </w:pPr>
      <w:r>
        <w:rPr>
          <w:rFonts w:ascii="Figtree" w:hAnsi="Figtree"/>
          <w:b w:val="0"/>
          <w:i w:val="0"/>
          <w:sz w:val="22"/>
        </w:rPr>
        <w:t>Additional partners: Per-partner fee (volume discounts available)</w:t>
      </w:r>
    </w:p>
    <w:p>
      <w:pPr>
        <w:pStyle w:val="H3"/>
        <w:numPr>
          <w:ilvl w:val="2"/>
          <w:numId w:val="1"/>
        </w:numPr>
      </w:pPr>
      <w:r>
        <w:t>3.3 Transaction Pricing</w:t>
      </w:r>
    </w:p>
    <w:p>
      <w:r>
        <w:rPr>
          <w:rFonts w:ascii="Figtree" w:hAnsi="Figtree"/>
          <w:b w:val="0"/>
          <w:i w:val="0"/>
          <w:sz w:val="22"/>
        </w:rPr>
        <w:t>Transaction processing pricing provides economies of scale: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09"/>
        <w:gridCol w:w="476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Volume Tier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Price Per Transaction</w:t>
            </w:r>
          </w:p>
        </w:tc>
      </w:tr>
      <w:tr>
        <w:trPr>
          <w:trHeight w:val="425" w:hRule="atLeast"/>
        </w:trPr>
        <w:tc>
          <w:tcPr>
            <w:tcW w:type="dxa" w:w="4873"/>
            <w:vAlign w:val="center"/>
          </w:tcPr>
          <w:p>
            <w:pPr>
              <w:spacing w:line="276" w:lineRule="auto" w:before="0" w:after="0"/>
            </w:pPr>
            <w:r/>
            <w:r>
              <w:rPr>
                <w:rFonts w:ascii="Figtree" w:hAnsi="Figtree"/>
                <w:b w:val="0"/>
                <w:i w:val="0"/>
                <w:sz w:val="20"/>
              </w:rPr>
              <w:t>First 100,000</w:t>
            </w:r>
          </w:p>
        </w:tc>
        <w:tc>
          <w:tcPr>
            <w:tcW w:type="dxa" w:w="4873"/>
            <w:vAlign w:val="center"/>
          </w:tcPr>
          <w:p>
            <w:pPr>
              <w:spacing w:line="276" w:lineRule="auto" w:before="0" w:after="0"/>
            </w:pPr>
            <w:r/>
            <w:r>
              <w:rPr>
                <w:rFonts w:ascii="Figtree" w:hAnsi="Figtree"/>
                <w:b w:val="0"/>
                <w:i w:val="0"/>
                <w:sz w:val="20"/>
              </w:rPr>
              <w:t>$0.10</w:t>
            </w:r>
          </w:p>
        </w:tc>
      </w:tr>
      <w:tr>
        <w:trPr>
          <w:trHeight w:val="425" w:hRule="atLeast"/>
        </w:trPr>
        <w:tc>
          <w:tcPr>
            <w:tcW w:type="dxa" w:w="4873"/>
            <w:vAlign w:val="center"/>
          </w:tcPr>
          <w:p>
            <w:pPr>
              <w:spacing w:line="276" w:lineRule="auto" w:before="0" w:after="0"/>
            </w:pPr>
            <w:r/>
            <w:r>
              <w:rPr>
                <w:rFonts w:ascii="Figtree" w:hAnsi="Figtree"/>
                <w:b w:val="0"/>
                <w:i w:val="0"/>
                <w:sz w:val="20"/>
              </w:rPr>
              <w:t>100,001 - 500,000</w:t>
            </w:r>
          </w:p>
        </w:tc>
        <w:tc>
          <w:tcPr>
            <w:tcW w:type="dxa" w:w="4873"/>
            <w:vAlign w:val="center"/>
          </w:tcPr>
          <w:p>
            <w:pPr>
              <w:spacing w:line="276" w:lineRule="auto" w:before="0" w:after="0"/>
            </w:pPr>
            <w:r/>
            <w:r>
              <w:rPr>
                <w:rFonts w:ascii="Figtree" w:hAnsi="Figtree"/>
                <w:b w:val="0"/>
                <w:i w:val="0"/>
                <w:sz w:val="20"/>
              </w:rPr>
              <w:t>$0.08</w:t>
            </w:r>
          </w:p>
        </w:tc>
      </w:tr>
      <w:tr>
        <w:trPr>
          <w:trHeight w:val="425" w:hRule="atLeast"/>
        </w:trPr>
        <w:tc>
          <w:tcPr>
            <w:tcW w:type="dxa" w:w="4873"/>
            <w:vAlign w:val="center"/>
          </w:tcPr>
          <w:p>
            <w:pPr>
              <w:spacing w:line="276" w:lineRule="auto" w:before="0" w:after="0"/>
            </w:pPr>
            <w:r/>
            <w:r>
              <w:rPr>
                <w:rFonts w:ascii="Figtree" w:hAnsi="Figtree"/>
                <w:b w:val="0"/>
                <w:i w:val="0"/>
                <w:sz w:val="20"/>
              </w:rPr>
              <w:t>500,001 - 1,000,000</w:t>
            </w:r>
          </w:p>
        </w:tc>
        <w:tc>
          <w:tcPr>
            <w:tcW w:type="dxa" w:w="4873"/>
            <w:vAlign w:val="center"/>
          </w:tcPr>
          <w:p>
            <w:pPr>
              <w:spacing w:line="276" w:lineRule="auto" w:before="0" w:after="0"/>
            </w:pPr>
            <w:r/>
            <w:r>
              <w:rPr>
                <w:rFonts w:ascii="Figtree" w:hAnsi="Figtree"/>
                <w:b w:val="0"/>
                <w:i w:val="0"/>
                <w:sz w:val="20"/>
              </w:rPr>
              <w:t>$0.06</w:t>
            </w:r>
          </w:p>
        </w:tc>
      </w:tr>
      <w:tr>
        <w:trPr>
          <w:trHeight w:val="425" w:hRule="atLeast"/>
        </w:trPr>
        <w:tc>
          <w:tcPr>
            <w:tcW w:type="dxa" w:w="4873"/>
            <w:vAlign w:val="center"/>
          </w:tcPr>
          <w:p>
            <w:pPr>
              <w:spacing w:line="276" w:lineRule="auto" w:before="0" w:after="0"/>
            </w:pPr>
            <w:r/>
            <w:r>
              <w:rPr>
                <w:rFonts w:ascii="Figtree" w:hAnsi="Figtree"/>
                <w:b w:val="0"/>
                <w:i w:val="0"/>
                <w:sz w:val="20"/>
              </w:rPr>
              <w:t>Above 1,000,000</w:t>
            </w:r>
          </w:p>
        </w:tc>
        <w:tc>
          <w:tcPr>
            <w:tcW w:type="dxa" w:w="4873"/>
            <w:vAlign w:val="center"/>
          </w:tcPr>
          <w:p>
            <w:pPr>
              <w:spacing w:line="276" w:lineRule="auto" w:before="0" w:after="0"/>
            </w:pPr>
            <w:r/>
            <w:r>
              <w:rPr>
                <w:rFonts w:ascii="Figtree" w:hAnsi="Figtree"/>
                <w:b w:val="0"/>
                <w:i w:val="0"/>
                <w:sz w:val="20"/>
              </w:rPr>
              <w:t>$0.05</w:t>
            </w:r>
          </w:p>
        </w:tc>
      </w:tr>
    </w:tbl>
    <w:p>
      <w:pPr>
        <w:spacing w:before="0" w:after="0" w:line="120" w:lineRule="exact"/>
      </w:pPr>
    </w:p>
    <w:p>
      <w:r>
        <w:rPr>
          <w:rFonts w:ascii="Figtree" w:hAnsi="Figtree"/>
          <w:b w:val="0"/>
          <w:i w:val="0"/>
          <w:sz w:val="22"/>
        </w:rPr>
        <w:t>Volume pricing applies to asset lifecycle events including creation, state changes, and transfers.</w:t>
      </w:r>
    </w:p>
    <w:p>
      <w:r>
        <w:br w:type="page"/>
      </w:r>
    </w:p>
    <w:p>
      <w:pPr>
        <w:pStyle w:val="H2"/>
        <w:numPr>
          <w:ilvl w:val="1"/>
          <w:numId w:val="1"/>
        </w:numPr>
      </w:pPr>
      <w:r>
        <w:t>4. Implementation Investment</w:t>
      </w:r>
    </w:p>
    <w:p>
      <w:pPr>
        <w:pStyle w:val="H3"/>
        <w:numPr>
          <w:ilvl w:val="2"/>
          <w:numId w:val="1"/>
        </w:numPr>
      </w:pPr>
      <w:r>
        <w:t>4.1 Implementation Scope</w:t>
      </w:r>
    </w:p>
    <w:p>
      <w:r>
        <w:rPr>
          <w:rFonts w:ascii="Figtree" w:hAnsi="Figtree"/>
          <w:b w:val="0"/>
          <w:i w:val="0"/>
          <w:sz w:val="22"/>
        </w:rPr>
        <w:t>The implementation investment covers the six workstreams defined in Solarisbank's RFP: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12"/>
        <w:gridCol w:w="3628"/>
        <w:gridCol w:w="39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Workstream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Deliverables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3249"/>
            <w:vAlign w:val="center"/>
          </w:tcPr>
          <w:p>
            <w:pPr>
              <w:spacing w:line="276" w:lineRule="auto" w:before="0" w:after="0"/>
            </w:pPr>
            <w:r/>
            <w:r>
              <w:rPr>
                <w:rFonts w:ascii="Figtree" w:hAnsi="Figtree"/>
                <w:b w:val="0"/>
                <w:i w:val="0"/>
                <w:sz w:val="20"/>
              </w:rPr>
              <w:t>WS-1</w:t>
            </w:r>
          </w:p>
        </w:tc>
        <w:tc>
          <w:tcPr>
            <w:tcW w:type="dxa" w:w="3249"/>
            <w:vAlign w:val="center"/>
          </w:tcPr>
          <w:p>
            <w:pPr>
              <w:spacing w:line="276" w:lineRule="auto" w:before="0" w:after="0"/>
            </w:pPr>
            <w:r/>
            <w:r>
              <w:rPr>
                <w:rFonts w:ascii="Figtree" w:hAnsi="Figtree"/>
                <w:b w:val="0"/>
                <w:i w:val="0"/>
                <w:sz w:val="20"/>
              </w:rPr>
              <w:t>Solution Design</w:t>
            </w:r>
          </w:p>
        </w:tc>
        <w:tc>
          <w:tcPr>
            <w:tcW w:type="dxa" w:w="3249"/>
            <w:vAlign w:val="center"/>
          </w:tcPr>
          <w:p>
            <w:pPr>
              <w:spacing w:line="276" w:lineRule="auto" w:before="0" w:after="0"/>
            </w:pPr>
            <w:r/>
            <w:r>
              <w:rPr>
                <w:rFonts w:ascii="Figtree" w:hAnsi="Figtree"/>
                <w:b w:val="0"/>
                <w:i w:val="0"/>
                <w:sz w:val="20"/>
              </w:rPr>
              <w:t>Included in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WS-2</w:t>
            </w:r>
          </w:p>
        </w:tc>
        <w:tc>
          <w:tcPr>
            <w:tcW w:type="dxa" w:w="3249"/>
            <w:vAlign w:val="center"/>
          </w:tcPr>
          <w:p>
            <w:pPr>
              <w:spacing w:line="276" w:lineRule="auto" w:before="0" w:after="0"/>
            </w:pPr>
            <w:r/>
            <w:r>
              <w:rPr>
                <w:rFonts w:ascii="Figtree" w:hAnsi="Figtree"/>
                <w:b w:val="0"/>
                <w:i w:val="0"/>
                <w:sz w:val="20"/>
              </w:rPr>
              <w:t>Core Platform Capability</w:t>
            </w:r>
          </w:p>
        </w:tc>
        <w:tc>
          <w:tcPr>
            <w:tcW w:type="dxa" w:w="3249"/>
            <w:vAlign w:val="center"/>
          </w:tcPr>
          <w:p>
            <w:pPr>
              <w:spacing w:line="276" w:lineRule="auto" w:before="0" w:after="0"/>
            </w:pPr>
            <w:r/>
            <w:r>
              <w:rPr>
                <w:rFonts w:ascii="Figtree" w:hAnsi="Figtree"/>
                <w:b w:val="0"/>
                <w:i w:val="0"/>
                <w:sz w:val="20"/>
              </w:rPr>
              <w:t>Included in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WS-3</w:t>
            </w:r>
          </w:p>
        </w:tc>
        <w:tc>
          <w:tcPr>
            <w:tcW w:type="dxa" w:w="3249"/>
            <w:vAlign w:val="center"/>
          </w:tcPr>
          <w:p>
            <w:pPr>
              <w:spacing w:line="276" w:lineRule="auto" w:before="0" w:after="0"/>
            </w:pPr>
            <w:r/>
            <w:r>
              <w:rPr>
                <w:rFonts w:ascii="Figtree" w:hAnsi="Figtree"/>
                <w:b w:val="0"/>
                <w:i w:val="0"/>
                <w:sz w:val="20"/>
              </w:rPr>
              <w:t>Integration Delivery</w:t>
            </w:r>
          </w:p>
        </w:tc>
        <w:tc>
          <w:tcPr>
            <w:tcW w:type="dxa" w:w="3249"/>
            <w:vAlign w:val="center"/>
          </w:tcPr>
          <w:p>
            <w:pPr>
              <w:spacing w:line="276" w:lineRule="auto" w:before="0" w:after="0"/>
            </w:pPr>
            <w:r/>
            <w:r>
              <w:rPr>
                <w:rFonts w:ascii="Figtree" w:hAnsi="Figtree"/>
                <w:b w:val="0"/>
                <w:i w:val="0"/>
                <w:sz w:val="20"/>
              </w:rPr>
              <w:t>Included in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WS-4</w:t>
            </w:r>
          </w:p>
        </w:tc>
        <w:tc>
          <w:tcPr>
            <w:tcW w:type="dxa" w:w="3249"/>
            <w:vAlign w:val="center"/>
          </w:tcPr>
          <w:p>
            <w:pPr>
              <w:spacing w:line="276" w:lineRule="auto" w:before="0" w:after="0"/>
            </w:pPr>
            <w:r/>
            <w:r>
              <w:rPr>
                <w:rFonts w:ascii="Figtree" w:hAnsi="Figtree"/>
                <w:b w:val="0"/>
                <w:i w:val="0"/>
                <w:sz w:val="20"/>
              </w:rPr>
              <w:t>Security and Compliance</w:t>
            </w:r>
          </w:p>
        </w:tc>
        <w:tc>
          <w:tcPr>
            <w:tcW w:type="dxa" w:w="3249"/>
            <w:vAlign w:val="center"/>
          </w:tcPr>
          <w:p>
            <w:pPr>
              <w:spacing w:line="276" w:lineRule="auto" w:before="0" w:after="0"/>
            </w:pPr>
            <w:r/>
            <w:r>
              <w:rPr>
                <w:rFonts w:ascii="Figtree" w:hAnsi="Figtree"/>
                <w:b w:val="0"/>
                <w:i w:val="0"/>
                <w:sz w:val="20"/>
              </w:rPr>
              <w:t>Included in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WS-5</w:t>
            </w:r>
          </w:p>
        </w:tc>
        <w:tc>
          <w:tcPr>
            <w:tcW w:type="dxa" w:w="3249"/>
            <w:vAlign w:val="center"/>
          </w:tcPr>
          <w:p>
            <w:pPr>
              <w:spacing w:line="276" w:lineRule="auto" w:before="0" w:after="0"/>
            </w:pPr>
            <w:r/>
            <w:r>
              <w:rPr>
                <w:rFonts w:ascii="Figtree" w:hAnsi="Figtree"/>
                <w:b w:val="0"/>
                <w:i w:val="0"/>
                <w:sz w:val="20"/>
              </w:rPr>
              <w:t>Testing and Readiness</w:t>
            </w:r>
          </w:p>
        </w:tc>
        <w:tc>
          <w:tcPr>
            <w:tcW w:type="dxa" w:w="3249"/>
            <w:vAlign w:val="center"/>
          </w:tcPr>
          <w:p>
            <w:pPr>
              <w:spacing w:line="276" w:lineRule="auto" w:before="0" w:after="0"/>
            </w:pPr>
            <w:r/>
            <w:r>
              <w:rPr>
                <w:rFonts w:ascii="Figtree" w:hAnsi="Figtree"/>
                <w:b w:val="0"/>
                <w:i w:val="0"/>
                <w:sz w:val="20"/>
              </w:rPr>
              <w:t>Included in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WS-6</w:t>
            </w:r>
          </w:p>
        </w:tc>
        <w:tc>
          <w:tcPr>
            <w:tcW w:type="dxa" w:w="3249"/>
            <w:vAlign w:val="center"/>
          </w:tcPr>
          <w:p>
            <w:pPr>
              <w:spacing w:line="276" w:lineRule="auto" w:before="0" w:after="0"/>
            </w:pPr>
            <w:r/>
            <w:r>
              <w:rPr>
                <w:rFonts w:ascii="Figtree" w:hAnsi="Figtree"/>
                <w:b w:val="0"/>
                <w:i w:val="0"/>
                <w:sz w:val="20"/>
              </w:rPr>
              <w:t>Operational Enablement</w:t>
            </w:r>
          </w:p>
        </w:tc>
        <w:tc>
          <w:tcPr>
            <w:tcW w:type="dxa" w:w="3249"/>
            <w:vAlign w:val="center"/>
          </w:tcPr>
          <w:p>
            <w:pPr>
              <w:spacing w:line="276" w:lineRule="auto" w:before="0" w:after="0"/>
            </w:pPr>
            <w:r/>
            <w:r>
              <w:rPr>
                <w:rFonts w:ascii="Figtree" w:hAnsi="Figtree"/>
                <w:b w:val="0"/>
                <w:i w:val="0"/>
                <w:sz w:val="20"/>
              </w:rPr>
              <w:t>Included in implementation</w:t>
            </w:r>
          </w:p>
        </w:tc>
      </w:tr>
    </w:tbl>
    <w:p>
      <w:pPr>
        <w:spacing w:before="0" w:after="0" w:line="120" w:lineRule="exact"/>
      </w:pPr>
    </w:p>
    <w:p>
      <w:pPr>
        <w:pStyle w:val="H3"/>
        <w:numPr>
          <w:ilvl w:val="2"/>
          <w:numId w:val="1"/>
        </w:numPr>
      </w:pPr>
      <w:r>
        <w:t>4.2 Investment Structure</w:t>
      </w:r>
    </w:p>
    <w:p>
      <w:r>
        <w:rPr>
          <w:rFonts w:ascii="Figtree" w:hAnsi="Figtree"/>
          <w:b w:val="0"/>
          <w:i w:val="0"/>
          <w:sz w:val="22"/>
        </w:rPr>
        <w:t>Implementation investment is structured as fixed-price with milestone payments: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5"/>
        <w:gridCol w:w="2460"/>
        <w:gridCol w:w="35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 Schedule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Upon contract signature</w:t>
            </w:r>
          </w:p>
        </w:tc>
      </w:tr>
      <w:tr>
        <w:trPr>
          <w:trHeight w:val="425" w:hRule="atLeast"/>
        </w:trPr>
        <w:tc>
          <w:tcPr>
            <w:tcW w:type="dxa" w:w="3249"/>
            <w:vAlign w:val="center"/>
          </w:tcPr>
          <w:p>
            <w:pPr>
              <w:spacing w:line="276" w:lineRule="auto" w:before="0" w:after="0"/>
            </w:pPr>
            <w:r/>
            <w:r>
              <w:rPr>
                <w:rFonts w:ascii="Figtree" w:hAnsi="Figtree"/>
                <w:b w:val="0"/>
                <w:i w:val="0"/>
                <w:sz w:val="20"/>
              </w:rPr>
              <w:t>Design approval</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Upon design sign-off</w:t>
            </w:r>
          </w:p>
        </w:tc>
      </w:tr>
      <w:tr>
        <w:trPr>
          <w:trHeight w:val="425" w:hRule="atLeast"/>
        </w:trPr>
        <w:tc>
          <w:tcPr>
            <w:tcW w:type="dxa" w:w="3249"/>
            <w:vAlign w:val="center"/>
          </w:tcPr>
          <w:p>
            <w:pPr>
              <w:spacing w:line="276" w:lineRule="auto" w:before="0" w:after="0"/>
            </w:pPr>
            <w:r/>
            <w:r>
              <w:rPr>
                <w:rFonts w:ascii="Figtree" w:hAnsi="Figtree"/>
                <w:b w:val="0"/>
                <w:i w:val="0"/>
                <w:sz w:val="20"/>
              </w:rPr>
              <w:t>Development complete</w:t>
            </w:r>
          </w:p>
        </w:tc>
        <w:tc>
          <w:tcPr>
            <w:tcW w:type="dxa" w:w="3249"/>
            <w:vAlign w:val="center"/>
          </w:tcPr>
          <w:p>
            <w:pPr>
              <w:spacing w:line="276" w:lineRule="auto" w:before="0" w:after="0"/>
            </w:pPr>
            <w:r/>
            <w:r>
              <w:rPr>
                <w:rFonts w:ascii="Figtree" w:hAnsi="Figtree"/>
                <w:b w:val="0"/>
                <w:i w:val="0"/>
                <w:sz w:val="20"/>
              </w:rPr>
              <w:t>30%</w:t>
            </w:r>
          </w:p>
        </w:tc>
        <w:tc>
          <w:tcPr>
            <w:tcW w:type="dxa" w:w="3249"/>
            <w:vAlign w:val="center"/>
          </w:tcPr>
          <w:p>
            <w:pPr>
              <w:spacing w:line="276" w:lineRule="auto" w:before="0" w:after="0"/>
            </w:pPr>
            <w:r/>
            <w:r>
              <w:rPr>
                <w:rFonts w:ascii="Figtree" w:hAnsi="Figtree"/>
                <w:b w:val="0"/>
                <w:i w:val="0"/>
                <w:sz w:val="20"/>
              </w:rPr>
              <w:t>Upon code completion</w:t>
            </w:r>
          </w:p>
        </w:tc>
      </w:tr>
      <w:tr>
        <w:trPr>
          <w:trHeight w:val="425" w:hRule="atLeast"/>
        </w:trPr>
        <w:tc>
          <w:tcPr>
            <w:tcW w:type="dxa" w:w="3249"/>
            <w:vAlign w:val="center"/>
          </w:tcPr>
          <w:p>
            <w:pPr>
              <w:spacing w:line="276" w:lineRule="auto" w:before="0" w:after="0"/>
            </w:pPr>
            <w:r/>
            <w:r>
              <w:rPr>
                <w:rFonts w:ascii="Figtree" w:hAnsi="Figtree"/>
                <w:b w:val="0"/>
                <w:i w:val="0"/>
                <w:sz w:val="20"/>
              </w:rPr>
              <w:t>UAT go-live</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Upon UAT entry</w:t>
            </w:r>
          </w:p>
        </w:tc>
      </w:tr>
      <w:tr>
        <w:trPr>
          <w:trHeight w:val="425" w:hRule="atLeast"/>
        </w:trPr>
        <w:tc>
          <w:tcPr>
            <w:tcW w:type="dxa" w:w="3249"/>
            <w:vAlign w:val="center"/>
          </w:tcPr>
          <w:p>
            <w:pPr>
              <w:spacing w:line="276" w:lineRule="auto" w:before="0" w:after="0"/>
            </w:pPr>
            <w:r/>
            <w:r>
              <w:rPr>
                <w:rFonts w:ascii="Figtree" w:hAnsi="Figtree"/>
                <w:b w:val="0"/>
                <w:i w:val="0"/>
                <w:sz w:val="20"/>
              </w:rPr>
              <w:t>Production go-live</w:t>
            </w:r>
          </w:p>
        </w:tc>
        <w:tc>
          <w:tcPr>
            <w:tcW w:type="dxa" w:w="3249"/>
            <w:vAlign w:val="center"/>
          </w:tcPr>
          <w:p>
            <w:pPr>
              <w:spacing w:line="276" w:lineRule="auto" w:before="0" w:after="0"/>
            </w:pPr>
            <w:r/>
            <w:r>
              <w:rPr>
                <w:rFonts w:ascii="Figtree" w:hAnsi="Figtree"/>
                <w:b w:val="0"/>
                <w:i w:val="0"/>
                <w:sz w:val="20"/>
              </w:rPr>
              <w:t>10%</w:t>
            </w:r>
          </w:p>
        </w:tc>
        <w:tc>
          <w:tcPr>
            <w:tcW w:type="dxa" w:w="3249"/>
            <w:vAlign w:val="center"/>
          </w:tcPr>
          <w:p>
            <w:pPr>
              <w:spacing w:line="276" w:lineRule="auto" w:before="0" w:after="0"/>
            </w:pPr>
            <w:r/>
            <w:r>
              <w:rPr>
                <w:rFonts w:ascii="Figtree" w:hAnsi="Figtree"/>
                <w:b w:val="0"/>
                <w:i w:val="0"/>
                <w:sz w:val="20"/>
              </w:rPr>
              <w:t>Upon production go-live</w:t>
            </w:r>
          </w:p>
        </w:tc>
      </w:tr>
    </w:tbl>
    <w:p>
      <w:pPr>
        <w:spacing w:before="0" w:after="0" w:line="120" w:lineRule="exact"/>
      </w:pPr>
    </w:p>
    <w:p>
      <w:r>
        <w:rPr>
          <w:rFonts w:ascii="Figtree" w:hAnsi="Figtree"/>
          <w:b w:val="0"/>
          <w:i w:val="0"/>
          <w:sz w:val="22"/>
        </w:rPr>
        <w:t>The milestone structure provides risk mitigation through stage-gated payments that align payment with demonstrated delivery.</w:t>
      </w:r>
    </w:p>
    <w:p>
      <w:pPr>
        <w:pStyle w:val="H3"/>
        <w:numPr>
          <w:ilvl w:val="2"/>
          <w:numId w:val="1"/>
        </w:numPr>
      </w:pPr>
      <w:r>
        <w:t>4.3 Investment Assumptions</w:t>
      </w:r>
    </w:p>
    <w:p>
      <w:r>
        <w:rPr>
          <w:rFonts w:ascii="Figtree" w:hAnsi="Figtree"/>
          <w:b w:val="0"/>
          <w:i w:val="0"/>
          <w:sz w:val="22"/>
        </w:rPr>
        <w:t>The implementation investment assumes:</w:t>
      </w:r>
    </w:p>
    <w:p>
      <w:pPr>
        <w:pStyle w:val="ListParagraph"/>
        <w:numPr>
          <w:ilvl w:val="0"/>
          <w:numId w:val="4"/>
        </w:numPr>
      </w:pPr>
      <w:r>
        <w:rPr>
          <w:rFonts w:ascii="Figtree" w:hAnsi="Figtree"/>
          <w:b w:val="0"/>
          <w:i w:val="0"/>
          <w:sz w:val="22"/>
        </w:rPr>
        <w:t>Standard scope as defined in RFP</w:t>
      </w:r>
    </w:p>
    <w:p>
      <w:pPr>
        <w:pStyle w:val="ListParagraph"/>
        <w:numPr>
          <w:ilvl w:val="0"/>
          <w:numId w:val="4"/>
        </w:numPr>
      </w:pPr>
      <w:r>
        <w:rPr>
          <w:rFonts w:ascii="Figtree" w:hAnsi="Figtree"/>
          <w:b w:val="0"/>
          <w:i w:val="0"/>
          <w:sz w:val="22"/>
        </w:rPr>
        <w:t>Solarisbank provides dedicated project team (4-6 resources)</w:t>
      </w:r>
    </w:p>
    <w:p>
      <w:pPr>
        <w:pStyle w:val="ListParagraph"/>
        <w:numPr>
          <w:ilvl w:val="0"/>
          <w:numId w:val="4"/>
        </w:numPr>
      </w:pPr>
      <w:r>
        <w:rPr>
          <w:rFonts w:ascii="Figtree" w:hAnsi="Figtree"/>
          <w:b w:val="0"/>
          <w:i w:val="0"/>
          <w:sz w:val="22"/>
        </w:rPr>
        <w:t>Solarisbank provides timely access to systems and stakeholders</w:t>
      </w:r>
    </w:p>
    <w:p>
      <w:pPr>
        <w:pStyle w:val="ListParagraph"/>
        <w:numPr>
          <w:ilvl w:val="0"/>
          <w:numId w:val="4"/>
        </w:numPr>
      </w:pPr>
      <w:r>
        <w:rPr>
          <w:rFonts w:ascii="Figtree" w:hAnsi="Figtree"/>
          <w:b w:val="0"/>
          <w:i w:val="0"/>
          <w:sz w:val="22"/>
        </w:rPr>
        <w:t>No significant scope changes</w:t>
      </w:r>
    </w:p>
    <w:p>
      <w:pPr>
        <w:pStyle w:val="ListParagraph"/>
        <w:numPr>
          <w:ilvl w:val="0"/>
          <w:numId w:val="4"/>
        </w:numPr>
      </w:pPr>
      <w:r>
        <w:rPr>
          <w:rFonts w:ascii="Figtree" w:hAnsi="Figtree"/>
          <w:b w:val="0"/>
          <w:i w:val="0"/>
          <w:sz w:val="22"/>
        </w:rPr>
        <w:t>Remote delivery model with quarterly on-site workshops</w:t>
      </w:r>
    </w:p>
    <w:p>
      <w:r>
        <w:rPr>
          <w:rFonts w:ascii="Figtree" w:hAnsi="Figtree"/>
          <w:b w:val="0"/>
          <w:i w:val="0"/>
          <w:sz w:val="22"/>
        </w:rPr>
        <w:t>Assumptions that prove incorrect may result in change requests with associated cost impact.</w:t>
      </w:r>
    </w:p>
    <w:p>
      <w:r>
        <w:br w:type="page"/>
      </w:r>
    </w:p>
    <w:p>
      <w:pPr>
        <w:pStyle w:val="H2"/>
        <w:numPr>
          <w:ilvl w:val="1"/>
          <w:numId w:val="1"/>
        </w:numPr>
      </w:pPr>
      <w:r>
        <w:t>5. Ongoing Investment</w:t>
      </w:r>
    </w:p>
    <w:p>
      <w:pPr>
        <w:pStyle w:val="H3"/>
        <w:numPr>
          <w:ilvl w:val="2"/>
          <w:numId w:val="1"/>
        </w:numPr>
      </w:pPr>
      <w:r>
        <w:t>5.1 Annual Operating Cost</w:t>
      </w:r>
    </w:p>
    <w:p>
      <w:r>
        <w:rPr>
          <w:rFonts w:ascii="Figtree" w:hAnsi="Figtree"/>
          <w:b w:val="0"/>
          <w:i w:val="0"/>
          <w:sz w:val="22"/>
        </w:rPr>
        <w:t>Platform operation involves recurring costs:</w:t>
      </w:r>
    </w:p>
    <w:p>
      <w:r>
        <w:rPr>
          <w:rFonts w:ascii="Figtree" w:hAnsi="Figtree"/>
          <w:b/>
          <w:i w:val="0"/>
          <w:sz w:val="22"/>
        </w:rPr>
        <w:t>Platform Subscription</w:t>
      </w:r>
      <w:r>
        <w:rPr>
          <w:rFonts w:ascii="Figtree" w:hAnsi="Figtree"/>
          <w:b w:val="0"/>
          <w:i w:val="0"/>
          <w:sz w:val="22"/>
        </w:rPr>
        <w:t>: Annual license fee as defined in Section 3.2, includes MiCA/DORA compliance modules</w:t>
      </w:r>
    </w:p>
    <w:p>
      <w:r>
        <w:rPr>
          <w:rFonts w:ascii="Figtree" w:hAnsi="Figtree"/>
          <w:b/>
          <w:i w:val="0"/>
          <w:sz w:val="22"/>
        </w:rPr>
        <w:t>Support Services</w:t>
      </w:r>
      <w:r>
        <w:rPr>
          <w:rFonts w:ascii="Figtree" w:hAnsi="Figtree"/>
          <w:b w:val="0"/>
          <w:i w:val="0"/>
          <w:sz w:val="22"/>
        </w:rPr>
        <w:t>: Annual support retainer providing:</w:t>
      </w:r>
    </w:p>
    <w:p>
      <w:pPr>
        <w:pStyle w:val="ListParagraph"/>
        <w:numPr>
          <w:ilvl w:val="0"/>
          <w:numId w:val="4"/>
        </w:numPr>
      </w:pPr>
      <w:r>
        <w:rPr>
          <w:rFonts w:ascii="Figtree" w:hAnsi="Figtree"/>
          <w:b w:val="0"/>
          <w:i w:val="0"/>
          <w:sz w:val="22"/>
        </w:rPr>
        <w:t>Access to support team during business hours</w:t>
      </w:r>
    </w:p>
    <w:p>
      <w:pPr>
        <w:pStyle w:val="ListParagraph"/>
        <w:numPr>
          <w:ilvl w:val="0"/>
          <w:numId w:val="4"/>
        </w:numPr>
      </w:pPr>
      <w:r>
        <w:rPr>
          <w:rFonts w:ascii="Figtree" w:hAnsi="Figtree"/>
          <w:b w:val="0"/>
          <w:i w:val="0"/>
          <w:sz w:val="22"/>
        </w:rPr>
        <w:t>Incident response and escalation</w:t>
      </w:r>
    </w:p>
    <w:p>
      <w:pPr>
        <w:pStyle w:val="ListParagraph"/>
        <w:numPr>
          <w:ilvl w:val="0"/>
          <w:numId w:val="4"/>
        </w:numPr>
      </w:pPr>
      <w:r>
        <w:rPr>
          <w:rFonts w:ascii="Figtree" w:hAnsi="Figtree"/>
          <w:b w:val="0"/>
          <w:i w:val="0"/>
          <w:sz w:val="22"/>
        </w:rPr>
        <w:t>Access to knowledge base and documentation</w:t>
      </w:r>
    </w:p>
    <w:p>
      <w:pPr>
        <w:pStyle w:val="ListParagraph"/>
        <w:numPr>
          <w:ilvl w:val="0"/>
          <w:numId w:val="4"/>
        </w:numPr>
      </w:pPr>
      <w:r>
        <w:rPr>
          <w:rFonts w:ascii="Figtree" w:hAnsi="Figtree"/>
          <w:b w:val="0"/>
          <w:i w:val="0"/>
          <w:sz w:val="22"/>
        </w:rPr>
        <w:t>Quarterly platform updates</w:t>
      </w:r>
    </w:p>
    <w:p>
      <w:r>
        <w:rPr>
          <w:rFonts w:ascii="Figtree" w:hAnsi="Figtree"/>
          <w:b/>
          <w:i w:val="0"/>
          <w:sz w:val="22"/>
        </w:rPr>
        <w:t>Infrastructure Costs</w:t>
      </w:r>
      <w:r>
        <w:rPr>
          <w:rFonts w:ascii="Figtree" w:hAnsi="Figtree"/>
          <w:b w:val="0"/>
          <w:i w:val="0"/>
          <w:sz w:val="22"/>
        </w:rPr>
        <w:t>: Direct costs for cloud infrastructure, paid to cloud provider, estimated based on deployment configuration</w:t>
      </w:r>
    </w:p>
    <w:p>
      <w:pPr>
        <w:pStyle w:val="H3"/>
        <w:numPr>
          <w:ilvl w:val="2"/>
          <w:numId w:val="1"/>
        </w:numPr>
      </w:pPr>
      <w:r>
        <w:t>5.2 Cost Progression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41"/>
        <w:gridCol w:w="1170"/>
        <w:gridCol w:w="1170"/>
        <w:gridCol w:w="2048"/>
        <w:gridCol w:w="234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Platform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Infrastructure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Year 1 (partial)</w:t>
            </w:r>
          </w:p>
        </w:tc>
        <w:tc>
          <w:tcPr>
            <w:tcW w:type="dxa" w:w="1949"/>
            <w:vAlign w:val="center"/>
          </w:tcPr>
          <w:p>
            <w:pPr>
              <w:spacing w:line="276" w:lineRule="auto" w:before="0" w:after="0"/>
            </w:pPr>
            <w:r/>
            <w:r>
              <w:rPr>
                <w:rFonts w:ascii="Figtree" w:hAnsi="Figtree"/>
                <w:b w:val="0"/>
                <w:i w:val="0"/>
                <w:sz w:val="20"/>
              </w:rPr>
              <w:t>Prorated</w:t>
            </w:r>
          </w:p>
        </w:tc>
        <w:tc>
          <w:tcPr>
            <w:tcW w:type="dxa" w:w="1949"/>
            <w:vAlign w:val="center"/>
          </w:tcPr>
          <w:p>
            <w:pPr>
              <w:spacing w:line="276" w:lineRule="auto" w:before="0" w:after="0"/>
            </w:pPr>
            <w:r/>
            <w:r>
              <w:rPr>
                <w:rFonts w:ascii="Figtree" w:hAnsi="Figtree"/>
                <w:b w:val="0"/>
                <w:i w:val="0"/>
                <w:sz w:val="20"/>
              </w:rPr>
              <w:t>Included</w:t>
            </w:r>
          </w:p>
        </w:tc>
        <w:tc>
          <w:tcPr>
            <w:tcW w:type="dxa" w:w="1949"/>
            <w:vAlign w:val="center"/>
          </w:tcPr>
          <w:p>
            <w:pPr>
              <w:spacing w:line="276" w:lineRule="auto" w:before="0" w:after="0"/>
            </w:pPr>
            <w:r/>
            <w:r>
              <w:rPr>
                <w:rFonts w:ascii="Figtree" w:hAnsi="Figtree"/>
                <w:b w:val="0"/>
                <w:i w:val="0"/>
                <w:sz w:val="20"/>
              </w:rPr>
              <w:t>Estimated</w:t>
            </w:r>
          </w:p>
        </w:tc>
        <w:tc>
          <w:tcPr>
            <w:tcW w:type="dxa" w:w="1949"/>
            <w:vAlign w:val="center"/>
          </w:tcPr>
          <w:p>
            <w:pPr>
              <w:spacing w:line="276" w:lineRule="auto" w:before="0" w:after="0"/>
            </w:pPr>
            <w:r/>
            <w:r>
              <w:rPr>
                <w:rFonts w:ascii="Figtree" w:hAnsi="Figtree"/>
                <w:b w:val="0"/>
                <w:i w:val="0"/>
                <w:sz w:val="20"/>
              </w:rPr>
              <w:t>Launch + ongoing</w:t>
            </w:r>
          </w:p>
        </w:tc>
      </w:tr>
      <w:tr>
        <w:trPr>
          <w:trHeight w:val="425" w:hRule="atLeast"/>
        </w:trPr>
        <w:tc>
          <w:tcPr>
            <w:tcW w:type="dxa" w:w="1949"/>
            <w:vAlign w:val="center"/>
          </w:tcPr>
          <w:p>
            <w:pPr>
              <w:spacing w:line="276" w:lineRule="auto" w:before="0" w:after="0"/>
            </w:pPr>
            <w:r/>
            <w:r>
              <w:rPr>
                <w:rFonts w:ascii="Figtree" w:hAnsi="Figtree"/>
                <w:b w:val="0"/>
                <w:i w:val="0"/>
                <w:sz w:val="20"/>
              </w:rPr>
              <w:t>Year 2</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 operating</w:t>
            </w:r>
          </w:p>
        </w:tc>
      </w:tr>
      <w:tr>
        <w:trPr>
          <w:trHeight w:val="425" w:hRule="atLeast"/>
        </w:trPr>
        <w:tc>
          <w:tcPr>
            <w:tcW w:type="dxa" w:w="1949"/>
            <w:vAlign w:val="center"/>
          </w:tcPr>
          <w:p>
            <w:pPr>
              <w:spacing w:line="276" w:lineRule="auto" w:before="0" w:after="0"/>
            </w:pPr>
            <w:r/>
            <w:r>
              <w:rPr>
                <w:rFonts w:ascii="Figtree" w:hAnsi="Figtree"/>
                <w:b w:val="0"/>
                <w:i w:val="0"/>
                <w:sz w:val="20"/>
              </w:rPr>
              <w:t>Year 3</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 operating</w:t>
            </w:r>
          </w:p>
        </w:tc>
      </w:tr>
    </w:tbl>
    <w:p>
      <w:pPr>
        <w:spacing w:before="0" w:after="0" w:line="120" w:lineRule="exact"/>
      </w:pPr>
    </w:p>
    <w:p>
      <w:r>
        <w:rPr>
          <w:rFonts w:ascii="Figtree" w:hAnsi="Figtree"/>
          <w:b w:val="0"/>
          <w:i w:val="0"/>
          <w:sz w:val="22"/>
        </w:rPr>
        <w:t>Year 1 reflects partial-year operation based on implementation timeline.</w:t>
      </w:r>
    </w:p>
    <w:p>
      <w:pPr>
        <w:pStyle w:val="H3"/>
        <w:numPr>
          <w:ilvl w:val="2"/>
          <w:numId w:val="1"/>
        </w:numPr>
      </w:pPr>
      <w:r>
        <w:t>5.3 Cost Predictability</w:t>
      </w:r>
    </w:p>
    <w:p>
      <w:r>
        <w:rPr>
          <w:rFonts w:ascii="Figtree" w:hAnsi="Figtree"/>
          <w:b w:val="0"/>
          <w:i w:val="0"/>
          <w:sz w:val="22"/>
        </w:rPr>
        <w:t>The commercial model emphasizes predictability:</w:t>
      </w:r>
    </w:p>
    <w:p>
      <w:pPr>
        <w:pStyle w:val="ListParagraph"/>
        <w:numPr>
          <w:ilvl w:val="0"/>
          <w:numId w:val="4"/>
        </w:numPr>
      </w:pPr>
      <w:r>
        <w:rPr>
          <w:rFonts w:ascii="Figtree" w:hAnsi="Figtree"/>
          <w:b w:val="0"/>
          <w:i w:val="0"/>
          <w:sz w:val="22"/>
        </w:rPr>
        <w:t>Platform subscription is fixed regardless of transaction volume within tier</w:t>
      </w:r>
    </w:p>
    <w:p>
      <w:pPr>
        <w:pStyle w:val="ListParagraph"/>
        <w:numPr>
          <w:ilvl w:val="0"/>
          <w:numId w:val="4"/>
        </w:numPr>
      </w:pPr>
      <w:r>
        <w:rPr>
          <w:rFonts w:ascii="Figtree" w:hAnsi="Figtree"/>
          <w:b w:val="0"/>
          <w:i w:val="0"/>
          <w:sz w:val="22"/>
        </w:rPr>
        <w:t>Partner capacity is defined with clear expansion pricing</w:t>
      </w:r>
    </w:p>
    <w:p>
      <w:pPr>
        <w:pStyle w:val="ListParagraph"/>
        <w:numPr>
          <w:ilvl w:val="0"/>
          <w:numId w:val="4"/>
        </w:numPr>
      </w:pPr>
      <w:r>
        <w:rPr>
          <w:rFonts w:ascii="Figtree" w:hAnsi="Figtree"/>
          <w:b w:val="0"/>
          <w:i w:val="0"/>
          <w:sz w:val="22"/>
        </w:rPr>
        <w:t>Support is fixed regardless of incident volume within normal ranges</w:t>
      </w:r>
    </w:p>
    <w:p>
      <w:pPr>
        <w:pStyle w:val="ListParagraph"/>
        <w:numPr>
          <w:ilvl w:val="0"/>
          <w:numId w:val="4"/>
        </w:numPr>
      </w:pPr>
      <w:r>
        <w:rPr>
          <w:rFonts w:ascii="Figtree" w:hAnsi="Figtree"/>
          <w:b w:val="0"/>
          <w:i w:val="0"/>
          <w:sz w:val="22"/>
        </w:rPr>
        <w:t>Infrastructure scales predictably based on environment configuration</w:t>
      </w:r>
    </w:p>
    <w:p>
      <w:r>
        <w:rPr>
          <w:rFonts w:ascii="Figtree" w:hAnsi="Figtree"/>
          <w:b w:val="0"/>
          <w:i w:val="0"/>
          <w:sz w:val="22"/>
        </w:rPr>
        <w:t>Hidden cost escalation is avoided through defined cost boundaries and scope management.</w:t>
      </w:r>
    </w:p>
    <w:p>
      <w:r>
        <w:br w:type="page"/>
      </w:r>
    </w:p>
    <w:p>
      <w:pPr>
        <w:pStyle w:val="H2"/>
        <w:numPr>
          <w:ilvl w:val="1"/>
          <w:numId w:val="1"/>
        </w:numPr>
      </w:pPr>
      <w:r>
        <w:t>6. Value Analysis</w:t>
      </w:r>
    </w:p>
    <w:p>
      <w:pPr>
        <w:pStyle w:val="H3"/>
        <w:numPr>
          <w:ilvl w:val="2"/>
          <w:numId w:val="1"/>
        </w:numPr>
      </w:pPr>
      <w:r>
        <w:t>6.1 Buy vs. Build Comparison</w:t>
      </w:r>
    </w:p>
    <w:p>
      <w:r>
        <w:rPr>
          <w:rFonts w:ascii="Figtree" w:hAnsi="Figtree"/>
          <w:b w:val="0"/>
          <w:i w:val="0"/>
          <w:sz w:val="22"/>
        </w:rPr>
        <w:t>Building equivalent capability internally would require: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35"/>
        <w:gridCol w:w="2534"/>
        <w:gridCol w:w="32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Cost Estimate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Comparison</w:t>
            </w:r>
          </w:p>
        </w:tc>
      </w:tr>
      <w:tr>
        <w:trPr>
          <w:trHeight w:val="425" w:hRule="atLeast"/>
        </w:trPr>
        <w:tc>
          <w:tcPr>
            <w:tcW w:type="dxa" w:w="3249"/>
            <w:vAlign w:val="center"/>
          </w:tcPr>
          <w:p>
            <w:pPr>
              <w:spacing w:line="276" w:lineRule="auto" w:before="0" w:after="0"/>
            </w:pPr>
            <w:r/>
            <w:r>
              <w:rPr>
                <w:rFonts w:ascii="Figtree" w:hAnsi="Figtree"/>
                <w:b w:val="0"/>
                <w:i w:val="0"/>
                <w:sz w:val="20"/>
              </w:rPr>
              <w:t>Platform development</w:t>
            </w:r>
          </w:p>
        </w:tc>
        <w:tc>
          <w:tcPr>
            <w:tcW w:type="dxa" w:w="3249"/>
            <w:vAlign w:val="center"/>
          </w:tcPr>
          <w:p>
            <w:pPr>
              <w:spacing w:line="276" w:lineRule="auto" w:before="0" w:after="0"/>
            </w:pPr>
            <w:r/>
            <w:r>
              <w:rPr>
                <w:rFonts w:ascii="Figtree" w:hAnsi="Figtree"/>
                <w:b w:val="0"/>
                <w:i w:val="0"/>
                <w:sz w:val="20"/>
              </w:rPr>
              <w:t>18-24 months</w:t>
            </w:r>
          </w:p>
        </w:tc>
        <w:tc>
          <w:tcPr>
            <w:tcW w:type="dxa" w:w="3249"/>
            <w:vAlign w:val="center"/>
          </w:tcPr>
          <w:p>
            <w:pPr>
              <w:spacing w:line="276" w:lineRule="auto" w:before="0" w:after="0"/>
            </w:pPr>
            <w:r/>
            <w:r>
              <w:rPr>
                <w:rFonts w:ascii="Figtree" w:hAnsi="Figtree"/>
                <w:b w:val="0"/>
                <w:i w:val="0"/>
                <w:sz w:val="20"/>
              </w:rPr>
              <w:t>Available immediately</w:t>
            </w:r>
          </w:p>
        </w:tc>
      </w:tr>
      <w:tr>
        <w:trPr>
          <w:trHeight w:val="425" w:hRule="atLeast"/>
        </w:trPr>
        <w:tc>
          <w:tcPr>
            <w:tcW w:type="dxa" w:w="3249"/>
            <w:vAlign w:val="center"/>
          </w:tcPr>
          <w:p>
            <w:pPr>
              <w:spacing w:line="276" w:lineRule="auto" w:before="0" w:after="0"/>
            </w:pPr>
            <w:r/>
            <w:r>
              <w:rPr>
                <w:rFonts w:ascii="Figtree" w:hAnsi="Figtree"/>
                <w:b w:val="0"/>
                <w:i w:val="0"/>
                <w:sz w:val="20"/>
              </w:rPr>
              <w:t>Multi-tenant architecture</w:t>
            </w:r>
          </w:p>
        </w:tc>
        <w:tc>
          <w:tcPr>
            <w:tcW w:type="dxa" w:w="3249"/>
            <w:vAlign w:val="center"/>
          </w:tcPr>
          <w:p>
            <w:pPr>
              <w:spacing w:line="276" w:lineRule="auto" w:before="0" w:after="0"/>
            </w:pPr>
            <w:r/>
            <w:r>
              <w:rPr>
                <w:rFonts w:ascii="Figtree" w:hAnsi="Figtree"/>
                <w:b w:val="0"/>
                <w:i w:val="0"/>
                <w:sz w:val="20"/>
              </w:rPr>
              <w:t>6-9 months</w:t>
            </w:r>
          </w:p>
        </w:tc>
        <w:tc>
          <w:tcPr>
            <w:tcW w:type="dxa" w:w="3249"/>
            <w:vAlign w:val="center"/>
          </w:tcPr>
          <w:p>
            <w:pPr>
              <w:spacing w:line="276" w:lineRule="auto" w:before="0" w:after="0"/>
            </w:pPr>
            <w:r/>
            <w:r>
              <w:rPr>
                <w:rFonts w:ascii="Figtree" w:hAnsi="Figtree"/>
                <w:b w:val="0"/>
                <w:i w:val="0"/>
                <w:sz w:val="20"/>
              </w:rPr>
              <w:t>Pre-built</w:t>
            </w:r>
          </w:p>
        </w:tc>
      </w:tr>
      <w:tr>
        <w:trPr>
          <w:trHeight w:val="425" w:hRule="atLeast"/>
        </w:trPr>
        <w:tc>
          <w:tcPr>
            <w:tcW w:type="dxa" w:w="3249"/>
            <w:vAlign w:val="center"/>
          </w:tcPr>
          <w:p>
            <w:pPr>
              <w:spacing w:line="276" w:lineRule="auto" w:before="0" w:after="0"/>
            </w:pPr>
            <w:r/>
            <w:r>
              <w:rPr>
                <w:rFonts w:ascii="Figtree" w:hAnsi="Figtree"/>
                <w:b w:val="0"/>
                <w:i w:val="0"/>
                <w:sz w:val="20"/>
              </w:rPr>
              <w:t>MiCA/DORA compliance</w:t>
            </w:r>
          </w:p>
        </w:tc>
        <w:tc>
          <w:tcPr>
            <w:tcW w:type="dxa" w:w="3249"/>
            <w:vAlign w:val="center"/>
          </w:tcPr>
          <w:p>
            <w:pPr>
              <w:spacing w:line="276" w:lineRule="auto" w:before="0" w:after="0"/>
            </w:pPr>
            <w:r/>
            <w:r>
              <w:rPr>
                <w:rFonts w:ascii="Figtree" w:hAnsi="Figtree"/>
                <w:b w:val="0"/>
                <w:i w:val="0"/>
                <w:sz w:val="20"/>
              </w:rPr>
              <w:t>6-12 months</w:t>
            </w:r>
          </w:p>
        </w:tc>
        <w:tc>
          <w:tcPr>
            <w:tcW w:type="dxa" w:w="3249"/>
            <w:vAlign w:val="center"/>
          </w:tcPr>
          <w:p>
            <w:pPr>
              <w:spacing w:line="276" w:lineRule="auto" w:before="0" w:after="0"/>
            </w:pPr>
            <w:r/>
            <w:r>
              <w:rPr>
                <w:rFonts w:ascii="Figtree" w:hAnsi="Figtree"/>
                <w:b w:val="0"/>
                <w:i w:val="0"/>
                <w:sz w:val="20"/>
              </w:rPr>
              <w:t>Pre-certified</w:t>
            </w:r>
          </w:p>
        </w:tc>
      </w:tr>
      <w:tr>
        <w:trPr>
          <w:trHeight w:val="425" w:hRule="atLeast"/>
        </w:trPr>
        <w:tc>
          <w:tcPr>
            <w:tcW w:type="dxa" w:w="3249"/>
            <w:vAlign w:val="center"/>
          </w:tcPr>
          <w:p>
            <w:pPr>
              <w:spacing w:line="276" w:lineRule="auto" w:before="0" w:after="0"/>
            </w:pPr>
            <w:r/>
            <w:r>
              <w:rPr>
                <w:rFonts w:ascii="Figtree" w:hAnsi="Figtree"/>
                <w:b w:val="0"/>
                <w:i w:val="0"/>
                <w:sz w:val="20"/>
              </w:rPr>
              <w:t>Integration development</w:t>
            </w:r>
          </w:p>
        </w:tc>
        <w:tc>
          <w:tcPr>
            <w:tcW w:type="dxa" w:w="3249"/>
            <w:vAlign w:val="center"/>
          </w:tcPr>
          <w:p>
            <w:pPr>
              <w:spacing w:line="276" w:lineRule="auto" w:before="0" w:after="0"/>
            </w:pPr>
            <w:r/>
            <w:r>
              <w:rPr>
                <w:rFonts w:ascii="Figtree" w:hAnsi="Figtree"/>
                <w:b w:val="0"/>
                <w:i w:val="0"/>
                <w:sz w:val="20"/>
              </w:rPr>
              <w:t>6-9 months</w:t>
            </w:r>
          </w:p>
        </w:tc>
        <w:tc>
          <w:tcPr>
            <w:tcW w:type="dxa" w:w="3249"/>
            <w:vAlign w:val="center"/>
          </w:tcPr>
          <w:p>
            <w:pPr>
              <w:spacing w:line="276" w:lineRule="auto" w:before="0" w:after="0"/>
            </w:pPr>
            <w:r/>
            <w:r>
              <w:rPr>
                <w:rFonts w:ascii="Figtree" w:hAnsi="Figtree"/>
                <w:b w:val="0"/>
                <w:i w:val="0"/>
                <w:sz w:val="20"/>
              </w:rPr>
              <w:t>Pre-built adapters</w:t>
            </w:r>
          </w:p>
        </w:tc>
      </w:tr>
      <w:tr>
        <w:trPr>
          <w:trHeight w:val="425" w:hRule="atLeast"/>
        </w:trPr>
        <w:tc>
          <w:tcPr>
            <w:tcW w:type="dxa" w:w="3249"/>
            <w:vAlign w:val="center"/>
          </w:tcPr>
          <w:p>
            <w:pPr>
              <w:spacing w:line="276" w:lineRule="auto" w:before="0" w:after="0"/>
            </w:pPr>
            <w:r/>
            <w:r>
              <w:rPr>
                <w:rFonts w:ascii="Figtree" w:hAnsi="Figtree"/>
                <w:b w:val="0"/>
                <w:i w:val="0"/>
                <w:sz w:val="20"/>
              </w:rPr>
              <w:t>Operational capability</w:t>
            </w:r>
          </w:p>
        </w:tc>
        <w:tc>
          <w:tcPr>
            <w:tcW w:type="dxa" w:w="3249"/>
            <w:vAlign w:val="center"/>
          </w:tcPr>
          <w:p>
            <w:pPr>
              <w:spacing w:line="276" w:lineRule="auto" w:before="0" w:after="0"/>
            </w:pPr>
            <w:r/>
            <w:r>
              <w:rPr>
                <w:rFonts w:ascii="Figtree" w:hAnsi="Figtree"/>
                <w:b w:val="0"/>
                <w:i w:val="0"/>
                <w:sz w:val="20"/>
              </w:rPr>
              <w:t>12-18 months</w:t>
            </w:r>
          </w:p>
        </w:tc>
        <w:tc>
          <w:tcPr>
            <w:tcW w:type="dxa" w:w="3249"/>
            <w:vAlign w:val="center"/>
          </w:tcPr>
          <w:p>
            <w:pPr>
              <w:spacing w:line="276" w:lineRule="auto" w:before="0" w:after="0"/>
            </w:pPr>
            <w:r/>
            <w:r>
              <w:rPr>
                <w:rFonts w:ascii="Figtree" w:hAnsi="Figtree"/>
                <w:b w:val="0"/>
                <w:i w:val="0"/>
                <w:sz w:val="20"/>
              </w:rPr>
              <w:t>Production-ready</w:t>
            </w:r>
          </w:p>
        </w:tc>
      </w:tr>
      <w:tr>
        <w:trPr>
          <w:trHeight w:val="425" w:hRule="atLeast"/>
        </w:trPr>
        <w:tc>
          <w:tcPr>
            <w:tcW w:type="dxa" w:w="3249"/>
            <w:vAlign w:val="center"/>
          </w:tcPr>
          <w:p>
            <w:pPr>
              <w:spacing w:line="276" w:lineRule="auto" w:before="0" w:after="0"/>
            </w:pPr>
            <w:r/>
            <w:r>
              <w:rPr>
                <w:rFonts w:ascii="Figtree" w:hAnsi="Figtree"/>
                <w:b w:val="0"/>
                <w:i w:val="0"/>
                <w:sz w:val="20"/>
              </w:rPr>
              <w:t>Total estimated build</w:t>
            </w:r>
          </w:p>
        </w:tc>
        <w:tc>
          <w:tcPr>
            <w:tcW w:type="dxa" w:w="3249"/>
            <w:vAlign w:val="center"/>
          </w:tcPr>
          <w:p>
            <w:pPr>
              <w:spacing w:line="276" w:lineRule="auto" w:before="0" w:after="0"/>
            </w:pPr>
            <w:r/>
            <w:r>
              <w:rPr>
                <w:rFonts w:ascii="Figtree" w:hAnsi="Figtree"/>
                <w:b w:val="0"/>
                <w:i w:val="0"/>
                <w:sz w:val="20"/>
              </w:rPr>
              <w:t>48-72 months</w:t>
            </w:r>
          </w:p>
        </w:tc>
        <w:tc>
          <w:tcPr>
            <w:tcW w:type="dxa" w:w="3249"/>
            <w:vAlign w:val="center"/>
          </w:tcPr>
          <w:p>
            <w:pPr>
              <w:spacing w:line="276" w:lineRule="auto" w:before="0" w:after="0"/>
            </w:pPr>
            <w:r/>
            <w:r>
              <w:rPr>
                <w:rFonts w:ascii="Figtree" w:hAnsi="Figtree"/>
                <w:b w:val="0"/>
                <w:i w:val="0"/>
                <w:sz w:val="20"/>
              </w:rPr>
              <w:t>Significant acceleration</w:t>
            </w:r>
          </w:p>
        </w:tc>
      </w:tr>
    </w:tbl>
    <w:p>
      <w:pPr>
        <w:spacing w:before="0" w:after="0" w:line="120" w:lineRule="exact"/>
      </w:pPr>
    </w:p>
    <w:p>
      <w:r>
        <w:rPr>
          <w:rFonts w:ascii="Figtree" w:hAnsi="Figtree"/>
          <w:b w:val="0"/>
          <w:i w:val="0"/>
          <w:sz w:val="22"/>
        </w:rPr>
        <w:t>The platform approach provides time-to-value measured in weeks rather than years, with reduced execution risk and proven regulatory compliance.</w:t>
      </w:r>
    </w:p>
    <w:p>
      <w:pPr>
        <w:pStyle w:val="H3"/>
        <w:numPr>
          <w:ilvl w:val="2"/>
          <w:numId w:val="1"/>
        </w:numPr>
      </w:pPr>
      <w:r>
        <w:t>6.2 Single-Platform Economics</w:t>
      </w:r>
    </w:p>
    <w:p>
      <w:r>
        <w:rPr>
          <w:rFonts w:ascii="Figtree" w:hAnsi="Figtree"/>
          <w:b w:val="0"/>
          <w:i w:val="0"/>
          <w:sz w:val="22"/>
        </w:rPr>
        <w:t>Using DALP for BaaS digital asset module creates operational leverage:</w:t>
      </w:r>
    </w:p>
    <w:p>
      <w:r>
        <w:rPr>
          <w:rFonts w:ascii="Figtree" w:hAnsi="Figtree"/>
          <w:b/>
          <w:i w:val="0"/>
          <w:sz w:val="22"/>
        </w:rPr>
        <w:t>Future extension potential</w:t>
      </w:r>
      <w:r>
        <w:rPr>
          <w:rFonts w:ascii="Figtree" w:hAnsi="Figtree"/>
          <w:b w:val="0"/>
          <w:i w:val="0"/>
          <w:sz w:val="22"/>
        </w:rPr>
        <w:t>: The platform supports additional asset types, markets, and use cases without additional platform investment. This creates incremental value as Solarisbank's partner digital asset strategy evolves.</w:t>
      </w:r>
    </w:p>
    <w:p>
      <w:r>
        <w:rPr>
          <w:rFonts w:ascii="Figtree" w:hAnsi="Figtree"/>
          <w:b/>
          <w:i w:val="0"/>
          <w:sz w:val="22"/>
        </w:rPr>
        <w:t>Operational leverage</w:t>
      </w:r>
      <w:r>
        <w:rPr>
          <w:rFonts w:ascii="Figtree" w:hAnsi="Figtree"/>
          <w:b w:val="0"/>
          <w:i w:val="0"/>
          <w:sz w:val="22"/>
        </w:rPr>
        <w:t>: The operational model, support infrastructure, and team capability transfer across use cases, reducing incremental operating cost for additional programmes.</w:t>
      </w:r>
    </w:p>
    <w:p>
      <w:r>
        <w:rPr>
          <w:rFonts w:ascii="Figtree" w:hAnsi="Figtree"/>
          <w:b/>
          <w:i w:val="0"/>
          <w:sz w:val="22"/>
        </w:rPr>
        <w:t>Vendor consolidation</w:t>
      </w:r>
      <w:r>
        <w:rPr>
          <w:rFonts w:ascii="Figtree" w:hAnsi="Figtree"/>
          <w:b w:val="0"/>
          <w:i w:val="0"/>
          <w:sz w:val="22"/>
        </w:rPr>
        <w:t>: Single platform for digital asset lifecycle reduces vendor management overhead, integration complexity, and support coordination.</w:t>
      </w:r>
    </w:p>
    <w:p>
      <w:pPr>
        <w:pStyle w:val="H3"/>
        <w:numPr>
          <w:ilvl w:val="2"/>
          <w:numId w:val="1"/>
        </w:numPr>
      </w:pPr>
      <w:r>
        <w:t>6.3 Risk-Adjusted Value</w:t>
      </w:r>
    </w:p>
    <w:p>
      <w:r>
        <w:rPr>
          <w:rFonts w:ascii="Figtree" w:hAnsi="Figtree"/>
          <w:b w:val="0"/>
          <w:i w:val="0"/>
          <w:sz w:val="22"/>
        </w:rPr>
        <w:t>The proposal value analysis incorporates risk adjustment: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36"/>
        <w:gridCol w:w="2199"/>
        <w:gridCol w:w="34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overrun</w:t>
            </w:r>
          </w:p>
        </w:tc>
        <w:tc>
          <w:tcPr>
            <w:tcW w:type="dxa" w:w="3249"/>
            <w:vAlign w:val="center"/>
          </w:tcPr>
          <w:p>
            <w:pPr>
              <w:spacing w:line="276" w:lineRule="auto" w:before="0" w:after="0"/>
            </w:pPr>
            <w:r/>
            <w:r>
              <w:rPr>
                <w:rFonts w:ascii="Figtree" w:hAnsi="Figtree"/>
                <w:b w:val="0"/>
                <w:i w:val="0"/>
                <w:sz w:val="20"/>
              </w:rPr>
              <w:t>Potential 10-20%</w:t>
            </w:r>
          </w:p>
        </w:tc>
        <w:tc>
          <w:tcPr>
            <w:tcW w:type="dxa" w:w="3249"/>
            <w:vAlign w:val="center"/>
          </w:tcPr>
          <w:p>
            <w:pPr>
              <w:spacing w:line="276" w:lineRule="auto" w:before="0" w:after="0"/>
            </w:pPr>
            <w:r/>
            <w:r>
              <w:rPr>
                <w:rFonts w:ascii="Figtree" w:hAnsi="Figtree"/>
                <w:b w:val="0"/>
                <w:i w:val="0"/>
                <w:sz w:val="20"/>
              </w:rPr>
              <w:t>Milestone structure</w:t>
            </w:r>
          </w:p>
        </w:tc>
      </w:tr>
      <w:tr>
        <w:trPr>
          <w:trHeight w:val="425" w:hRule="atLeast"/>
        </w:trPr>
        <w:tc>
          <w:tcPr>
            <w:tcW w:type="dxa" w:w="3249"/>
            <w:vAlign w:val="center"/>
          </w:tcPr>
          <w:p>
            <w:pPr>
              <w:spacing w:line="276" w:lineRule="auto" w:before="0" w:after="0"/>
            </w:pPr>
            <w:r/>
            <w:r>
              <w:rPr>
                <w:rFonts w:ascii="Figtree" w:hAnsi="Figtree"/>
                <w:b w:val="0"/>
                <w:i w:val="0"/>
                <w:sz w:val="20"/>
              </w:rPr>
              <w:t>Integration complexity</w:t>
            </w:r>
          </w:p>
        </w:tc>
        <w:tc>
          <w:tcPr>
            <w:tcW w:type="dxa" w:w="3249"/>
            <w:vAlign w:val="center"/>
          </w:tcPr>
          <w:p>
            <w:pPr>
              <w:spacing w:line="276" w:lineRule="auto" w:before="0" w:after="0"/>
            </w:pPr>
            <w:r/>
            <w:r>
              <w:rPr>
                <w:rFonts w:ascii="Figtree" w:hAnsi="Figtree"/>
                <w:b w:val="0"/>
                <w:i w:val="0"/>
                <w:sz w:val="20"/>
              </w:rPr>
              <w:t>Potential delays</w:t>
            </w:r>
          </w:p>
        </w:tc>
        <w:tc>
          <w:tcPr>
            <w:tcW w:type="dxa" w:w="3249"/>
            <w:vAlign w:val="center"/>
          </w:tcPr>
          <w:p>
            <w:pPr>
              <w:spacing w:line="276" w:lineRule="auto" w:before="0" w:after="0"/>
            </w:pPr>
            <w:r/>
            <w:r>
              <w:rPr>
                <w:rFonts w:ascii="Figtree" w:hAnsi="Figtree"/>
                <w:b w:val="0"/>
                <w:i w:val="0"/>
                <w:sz w:val="20"/>
              </w:rPr>
              <w:t>Early integration scoping</w:t>
            </w:r>
          </w:p>
        </w:tc>
      </w:tr>
      <w:tr>
        <w:trPr>
          <w:trHeight w:val="425" w:hRule="atLeast"/>
        </w:trPr>
        <w:tc>
          <w:tcPr>
            <w:tcW w:type="dxa" w:w="3249"/>
            <w:vAlign w:val="center"/>
          </w:tcPr>
          <w:p>
            <w:pPr>
              <w:spacing w:line="276" w:lineRule="auto" w:before="0" w:after="0"/>
            </w:pPr>
            <w:r/>
            <w:r>
              <w:rPr>
                <w:rFonts w:ascii="Figtree" w:hAnsi="Figtree"/>
                <w:b w:val="0"/>
                <w:i w:val="0"/>
                <w:sz w:val="20"/>
              </w:rPr>
              <w:t>Regulatory change</w:t>
            </w:r>
          </w:p>
        </w:tc>
        <w:tc>
          <w:tcPr>
            <w:tcW w:type="dxa" w:w="3249"/>
            <w:vAlign w:val="center"/>
          </w:tcPr>
          <w:p>
            <w:pPr>
              <w:spacing w:line="276" w:lineRule="auto" w:before="0" w:after="0"/>
            </w:pPr>
            <w:r/>
            <w:r>
              <w:rPr>
                <w:rFonts w:ascii="Figtree" w:hAnsi="Figtree"/>
                <w:b w:val="0"/>
                <w:i w:val="0"/>
                <w:sz w:val="20"/>
              </w:rPr>
              <w:t>Unknown</w:t>
            </w:r>
          </w:p>
        </w:tc>
        <w:tc>
          <w:tcPr>
            <w:tcW w:type="dxa" w:w="3249"/>
            <w:vAlign w:val="center"/>
          </w:tcPr>
          <w:p>
            <w:pPr>
              <w:spacing w:line="276" w:lineRule="auto" w:before="0" w:after="0"/>
            </w:pPr>
            <w:r/>
            <w:r>
              <w:rPr>
                <w:rFonts w:ascii="Figtree" w:hAnsi="Figtree"/>
                <w:b w:val="0"/>
                <w:i w:val="0"/>
                <w:sz w:val="20"/>
              </w:rPr>
              <w:t>Configuration flexibility</w:t>
            </w:r>
          </w:p>
        </w:tc>
      </w:tr>
      <w:tr>
        <w:trPr>
          <w:trHeight w:val="425" w:hRule="atLeast"/>
        </w:trPr>
        <w:tc>
          <w:tcPr>
            <w:tcW w:type="dxa" w:w="3249"/>
            <w:vAlign w:val="center"/>
          </w:tcPr>
          <w:p>
            <w:pPr>
              <w:spacing w:line="276" w:lineRule="auto" w:before="0" w:after="0"/>
            </w:pPr>
            <w:r/>
            <w:r>
              <w:rPr>
                <w:rFonts w:ascii="Figtree" w:hAnsi="Figtree"/>
                <w:b w:val="0"/>
                <w:i w:val="0"/>
                <w:sz w:val="20"/>
              </w:rPr>
              <w:t>Partner adoption variance</w:t>
            </w:r>
          </w:p>
        </w:tc>
        <w:tc>
          <w:tcPr>
            <w:tcW w:type="dxa" w:w="3249"/>
            <w:vAlign w:val="center"/>
          </w:tcPr>
          <w:p>
            <w:pPr>
              <w:spacing w:line="276" w:lineRule="auto" w:before="0" w:after="0"/>
            </w:pPr>
            <w:r/>
            <w:r>
              <w:rPr>
                <w:rFonts w:ascii="Figtree" w:hAnsi="Figtree"/>
                <w:b w:val="0"/>
                <w:i w:val="0"/>
                <w:sz w:val="20"/>
              </w:rPr>
              <w:t>Revenue impact</w:t>
            </w:r>
          </w:p>
        </w:tc>
        <w:tc>
          <w:tcPr>
            <w:tcW w:type="dxa" w:w="3249"/>
            <w:vAlign w:val="center"/>
          </w:tcPr>
          <w:p>
            <w:pPr>
              <w:spacing w:line="276" w:lineRule="auto" w:before="0" w:after="0"/>
            </w:pPr>
            <w:r/>
            <w:r>
              <w:rPr>
                <w:rFonts w:ascii="Figtree" w:hAnsi="Figtree"/>
                <w:b w:val="0"/>
                <w:i w:val="0"/>
                <w:sz w:val="20"/>
              </w:rPr>
              <w:t>Tiered pricing</w:t>
            </w:r>
          </w:p>
        </w:tc>
      </w:tr>
    </w:tbl>
    <w:p>
      <w:pPr>
        <w:spacing w:before="0" w:after="0" w:line="120" w:lineRule="exact"/>
      </w:pPr>
    </w:p>
    <w:p>
      <w:r>
        <w:rPr>
          <w:rFonts w:ascii="Figtree" w:hAnsi="Figtree"/>
          <w:b w:val="0"/>
          <w:i w:val="0"/>
          <w:sz w:val="22"/>
        </w:rPr>
        <w:t>The risk-adjusted value considers probability-weighted outcomes across scenarios.</w:t>
      </w:r>
    </w:p>
    <w:p>
      <w:r>
        <w:br w:type="page"/>
      </w:r>
    </w:p>
    <w:p>
      <w:pPr>
        <w:pStyle w:val="H2"/>
        <w:numPr>
          <w:ilvl w:val="1"/>
          <w:numId w:val="1"/>
        </w:numPr>
      </w:pPr>
      <w:r>
        <w:t>7. Contracting Terms</w:t>
      </w:r>
    </w:p>
    <w:p>
      <w:pPr>
        <w:pStyle w:val="H3"/>
        <w:numPr>
          <w:ilvl w:val="2"/>
          <w:numId w:val="1"/>
        </w:numPr>
      </w:pPr>
      <w:r>
        <w:t>7.1 Contract Structure</w:t>
      </w:r>
    </w:p>
    <w:p>
      <w:r>
        <w:rPr>
          <w:rFonts w:ascii="Figtree" w:hAnsi="Figtree"/>
          <w:b w:val="0"/>
          <w:i w:val="0"/>
          <w:sz w:val="22"/>
        </w:rPr>
        <w:t>The commercial relationship is structured through:</w:t>
      </w:r>
    </w:p>
    <w:p>
      <w:pPr>
        <w:pStyle w:val="ListParagraph"/>
        <w:numPr>
          <w:ilvl w:val="0"/>
          <w:numId w:val="4"/>
        </w:numPr>
      </w:pPr>
      <w:r>
        <w:rPr>
          <w:rFonts w:ascii="Figtree" w:hAnsi="Figtree"/>
          <w:b w:val="0"/>
          <w:i w:val="0"/>
          <w:sz w:val="22"/>
        </w:rPr>
        <w:t>Master Agreement covering platform license and support</w:t>
      </w:r>
    </w:p>
    <w:p>
      <w:pPr>
        <w:pStyle w:val="ListParagraph"/>
        <w:numPr>
          <w:ilvl w:val="0"/>
          <w:numId w:val="4"/>
        </w:numPr>
      </w:pPr>
      <w:r>
        <w:rPr>
          <w:rFonts w:ascii="Figtree" w:hAnsi="Figtree"/>
          <w:b w:val="0"/>
          <w:i w:val="0"/>
          <w:sz w:val="22"/>
        </w:rPr>
        <w:t>Statement of Work covering implementation scope</w:t>
      </w:r>
    </w:p>
    <w:p>
      <w:pPr>
        <w:pStyle w:val="ListParagraph"/>
        <w:numPr>
          <w:ilvl w:val="0"/>
          <w:numId w:val="4"/>
        </w:numPr>
      </w:pPr>
      <w:r>
        <w:rPr>
          <w:rFonts w:ascii="Figtree" w:hAnsi="Figtree"/>
          <w:b w:val="0"/>
          <w:i w:val="0"/>
          <w:sz w:val="22"/>
        </w:rPr>
        <w:t>Service Schedule covering SLA terms</w:t>
      </w:r>
    </w:p>
    <w:p>
      <w:pPr>
        <w:pStyle w:val="H3"/>
        <w:numPr>
          <w:ilvl w:val="2"/>
          <w:numId w:val="1"/>
        </w:numPr>
      </w:pPr>
      <w:r>
        <w:t>7.2 Standard Terms</w:t>
      </w:r>
    </w:p>
    <w:p>
      <w:r>
        <w:rPr>
          <w:rFonts w:ascii="Figtree" w:hAnsi="Figtree"/>
          <w:b/>
          <w:i w:val="0"/>
          <w:sz w:val="22"/>
        </w:rPr>
        <w:t>Term</w:t>
      </w:r>
      <w:r>
        <w:rPr>
          <w:rFonts w:ascii="Figtree" w:hAnsi="Figtree"/>
          <w:b w:val="0"/>
          <w:i w:val="0"/>
          <w:sz w:val="22"/>
        </w:rPr>
        <w:t>: Initial 3-year term with renewal options</w:t>
      </w:r>
    </w:p>
    <w:p>
      <w:r>
        <w:rPr>
          <w:rFonts w:ascii="Figtree" w:hAnsi="Figtree"/>
          <w:b/>
          <w:i w:val="0"/>
          <w:sz w:val="22"/>
        </w:rPr>
        <w:t>Payment Terms</w:t>
      </w:r>
      <w:r>
        <w:rPr>
          <w:rFonts w:ascii="Figtree" w:hAnsi="Figtree"/>
          <w:b w:val="0"/>
          <w:i w:val="0"/>
          <w:sz w:val="22"/>
        </w:rPr>
        <w:t>: Net 30 from invoice date</w:t>
      </w:r>
    </w:p>
    <w:p>
      <w:r>
        <w:rPr>
          <w:rFonts w:ascii="Figtree" w:hAnsi="Figtree"/>
          <w:b/>
          <w:i w:val="0"/>
          <w:sz w:val="22"/>
        </w:rPr>
        <w:t>Termination</w:t>
      </w:r>
      <w:r>
        <w:rPr>
          <w:rFonts w:ascii="Figtree" w:hAnsi="Figtree"/>
          <w:b w:val="0"/>
          <w:i w:val="0"/>
          <w:sz w:val="22"/>
        </w:rPr>
        <w:t>: 90 days notice for termination for convenience; termination for cause per standard terms</w:t>
      </w:r>
    </w:p>
    <w:p>
      <w:r>
        <w:rPr>
          <w:rFonts w:ascii="Figtree" w:hAnsi="Figtree"/>
          <w:b/>
          <w:i w:val="0"/>
          <w:sz w:val="22"/>
        </w:rPr>
        <w:t>Exit Assistance</w:t>
      </w:r>
      <w:r>
        <w:rPr>
          <w:rFonts w:ascii="Figtree" w:hAnsi="Figtree"/>
          <w:b w:val="0"/>
          <w:i w:val="0"/>
          <w:sz w:val="22"/>
        </w:rPr>
        <w:t>: Included in standard terms, transition support available</w:t>
      </w:r>
    </w:p>
    <w:p>
      <w:pPr>
        <w:pStyle w:val="H3"/>
        <w:numPr>
          <w:ilvl w:val="2"/>
          <w:numId w:val="1"/>
        </w:numPr>
      </w:pPr>
      <w:r>
        <w:t>7.3 Proposed Deviations</w:t>
      </w:r>
    </w:p>
    <w:p>
      <w:r>
        <w:rPr>
          <w:rFonts w:ascii="Figtree" w:hAnsi="Figtree"/>
          <w:b w:val="0"/>
          <w:i w:val="0"/>
          <w:sz w:val="22"/>
        </w:rPr>
        <w:t>[To be discussed during commercial validation]</w:t>
      </w:r>
    </w:p>
    <w:p>
      <w:r>
        <w:br w:type="page"/>
      </w:r>
    </w:p>
    <w:p>
      <w:pPr>
        <w:pStyle w:val="H2"/>
        <w:numPr>
          <w:ilvl w:val="1"/>
          <w:numId w:val="1"/>
        </w:numPr>
      </w:pPr>
      <w:r>
        <w:t>8. Summary</w:t>
      </w:r>
    </w:p>
    <w:p>
      <w:r>
        <w:rPr>
          <w:rFonts w:ascii="Figtree" w:hAnsi="Figtree"/>
          <w:b w:val="0"/>
          <w:i w:val="0"/>
          <w:sz w:val="22"/>
        </w:rPr>
        <w:t>The commercial model provides a structured investment framework for Solarisbank's BaaS digital asset module programme. The proposal combines predictable implementation costs with scalable operating costs, structured to align with Solarisbank's BaaS operational model and partner scaling expectations.</w:t>
      </w:r>
    </w:p>
    <w:p>
      <w:r>
        <w:rPr>
          <w:rFonts w:ascii="Figtree" w:hAnsi="Figtree"/>
          <w:b w:val="0"/>
          <w:i w:val="0"/>
          <w:sz w:val="22"/>
        </w:rPr>
        <w:t>Key differentiators include:</w:t>
      </w:r>
    </w:p>
    <w:p>
      <w:pPr>
        <w:pStyle w:val="ListParagraph"/>
        <w:numPr>
          <w:ilvl w:val="0"/>
          <w:numId w:val="4"/>
        </w:numPr>
      </w:pPr>
      <w:r>
        <w:rPr>
          <w:rFonts w:ascii="Figtree" w:hAnsi="Figtree"/>
          <w:b w:val="0"/>
          <w:i w:val="0"/>
          <w:sz w:val="22"/>
        </w:rPr>
        <w:t>Predictable cost structure through implementation and operation</w:t>
      </w:r>
    </w:p>
    <w:p>
      <w:pPr>
        <w:pStyle w:val="ListParagraph"/>
        <w:numPr>
          <w:ilvl w:val="0"/>
          <w:numId w:val="4"/>
        </w:numPr>
      </w:pPr>
      <w:r>
        <w:rPr>
          <w:rFonts w:ascii="Figtree" w:hAnsi="Figtree"/>
          <w:b w:val="0"/>
          <w:i w:val="0"/>
          <w:sz w:val="22"/>
        </w:rPr>
        <w:t>Multi-tenant pricing aligned with BaaS model</w:t>
      </w:r>
    </w:p>
    <w:p>
      <w:pPr>
        <w:pStyle w:val="ListParagraph"/>
        <w:numPr>
          <w:ilvl w:val="0"/>
          <w:numId w:val="4"/>
        </w:numPr>
      </w:pPr>
      <w:r>
        <w:rPr>
          <w:rFonts w:ascii="Figtree" w:hAnsi="Figtree"/>
          <w:b w:val="0"/>
          <w:i w:val="0"/>
          <w:sz w:val="22"/>
        </w:rPr>
        <w:t>Volume economics that improve as platform adoption scales</w:t>
      </w:r>
    </w:p>
    <w:p>
      <w:pPr>
        <w:pStyle w:val="ListParagraph"/>
        <w:numPr>
          <w:ilvl w:val="0"/>
          <w:numId w:val="4"/>
        </w:numPr>
      </w:pPr>
      <w:r>
        <w:rPr>
          <w:rFonts w:ascii="Figtree" w:hAnsi="Figtree"/>
          <w:b w:val="0"/>
          <w:i w:val="0"/>
          <w:sz w:val="22"/>
        </w:rPr>
        <w:t>Risk mitigation through milestone-based payment structure</w:t>
      </w:r>
    </w:p>
    <w:p>
      <w:pPr>
        <w:pStyle w:val="ListParagraph"/>
        <w:numPr>
          <w:ilvl w:val="0"/>
          <w:numId w:val="4"/>
        </w:numPr>
      </w:pPr>
      <w:r>
        <w:rPr>
          <w:rFonts w:ascii="Figtree" w:hAnsi="Figtree"/>
          <w:b w:val="0"/>
          <w:i w:val="0"/>
          <w:sz w:val="22"/>
        </w:rPr>
        <w:t>Pre-built MiCA/DORA compliance reducing regulatory effort</w:t>
      </w:r>
    </w:p>
    <w:p>
      <w:pPr>
        <w:pStyle w:val="ListParagraph"/>
        <w:numPr>
          <w:ilvl w:val="0"/>
          <w:numId w:val="4"/>
        </w:numPr>
      </w:pPr>
      <w:r>
        <w:rPr>
          <w:rFonts w:ascii="Figtree" w:hAnsi="Figtree"/>
          <w:b w:val="0"/>
          <w:i w:val="0"/>
          <w:sz w:val="22"/>
        </w:rPr>
        <w:t>Clear value demonstration through ROI framework</w:t>
      </w:r>
    </w:p>
    <w:p>
      <w:r>
        <w:rPr>
          <w:rFonts w:ascii="Figtree" w:hAnsi="Figtree"/>
          <w:b w:val="0"/>
          <w:i w:val="0"/>
          <w:sz w:val="22"/>
        </w:rPr>
        <w:t>The commercial proposal is open for discussion and refinement through commercial validation workshops. Detailed pricing workbooks, assumption documentation, and contracting terms are available upon request.</w:t>
      </w:r>
    </w:p>
    <w:p>
      <w:r>
        <w:br w:type="page"/>
      </w:r>
    </w:p>
    <w:p>
      <w:r>
        <w:rPr>
          <w:rFonts w:ascii="Figtree" w:hAnsi="Figtree"/>
          <w:b/>
          <w:i w:val="0"/>
          <w:sz w:val="22"/>
        </w:rP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7"/>
        <w:gridCol w:w="2268"/>
        <w:gridCol w:w="2268"/>
        <w:gridCol w:w="29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March 2026</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Initial draft</w:t>
            </w:r>
          </w:p>
        </w:tc>
      </w:tr>
    </w:tbl>
    <w:p>
      <w:pPr>
        <w:spacing w:before="0" w:after="0" w:line="120" w:lineRule="exact"/>
      </w:pPr>
    </w:p>
    <w:p>
      <w:r>
        <w:rPr>
          <w:rFonts w:ascii="Figtree" w:hAnsi="Figtree"/>
          <w:b w:val="0"/>
          <w:i/>
          <w:sz w:val="22"/>
        </w:rPr>
        <w:t>This document is confidential and intended solely for the use of Solarisbank.</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