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1"/>
            <w:tabs>
              <w:tab w:val="right" w:leader="dot" w:pos="9072"/>
            </w:tabs>
          </w:pPr>
          <w:r>
            <w:t xml:space="preserve">1. Executive Summary</w:t>
          </w:r>
          <w:r>
            <w:tab/>
          </w:r>
          <w:r>
            <w:t xml:space="preserve">4</w:t>
          </w:r>
        </w:p>
        <w:p>
          <w:pPr>
            <w:pStyle w:val="TOC2"/>
            <w:tabs>
              <w:tab w:val="right" w:leader="dot" w:pos="9072"/>
            </w:tabs>
          </w:pPr>
          <w:r>
            <w:t xml:space="preserve">1.1 Context and Strategic Drivers</w:t>
          </w:r>
          <w:r>
            <w:tab/>
          </w:r>
          <w:r>
            <w:t xml:space="preserve">5</w:t>
          </w:r>
        </w:p>
        <w:p>
          <w:pPr>
            <w:pStyle w:val="TOC2"/>
            <w:tabs>
              <w:tab w:val="right" w:leader="dot" w:pos="9072"/>
            </w:tabs>
          </w:pPr>
          <w:r>
            <w:t xml:space="preserve">1.2 Why This Programme Is Hard</w:t>
          </w:r>
          <w:r>
            <w:tab/>
          </w:r>
          <w:r>
            <w:t xml:space="preserve">6</w:t>
          </w:r>
        </w:p>
        <w:p>
          <w:pPr>
            <w:pStyle w:val="TOC3"/>
            <w:tabs>
              <w:tab w:val="right" w:leader="dot" w:pos="9072"/>
            </w:tabs>
          </w:pPr>
          <w:r>
            <w:t xml:space="preserve">Lifecycle Complexity</w:t>
          </w:r>
          <w:r>
            <w:tab/>
          </w:r>
          <w:r>
            <w:t xml:space="preserve">7</w:t>
          </w:r>
        </w:p>
        <w:p>
          <w:pPr>
            <w:pStyle w:val="TOC3"/>
            <w:tabs>
              <w:tab w:val="right" w:leader="dot" w:pos="9072"/>
            </w:tabs>
          </w:pPr>
          <w:r>
            <w:t xml:space="preserve">Governance and Compliance Burden</w:t>
          </w:r>
          <w:r>
            <w:tab/>
          </w:r>
          <w:r>
            <w:t xml:space="preserve">8</w:t>
          </w:r>
        </w:p>
        <w:p>
          <w:pPr>
            <w:pStyle w:val="TOC3"/>
            <w:tabs>
              <w:tab w:val="right" w:leader="dot" w:pos="9072"/>
            </w:tabs>
          </w:pPr>
          <w:r>
            <w:t xml:space="preserve">Operationalization Gap</w:t>
          </w:r>
          <w:r>
            <w:tab/>
          </w:r>
          <w:r>
            <w:t xml:space="preserve">9</w:t>
          </w:r>
        </w:p>
        <w:p>
          <w:pPr>
            <w:pStyle w:val="TOC3"/>
            <w:tabs>
              <w:tab w:val="right" w:leader="dot" w:pos="9072"/>
            </w:tabs>
          </w:pPr>
          <w:r>
            <w:t xml:space="preserve">Integration Burden</w:t>
          </w:r>
          <w:r>
            <w:tab/>
          </w:r>
          <w:r>
            <w:t xml:space="preserve">10</w:t>
          </w:r>
        </w:p>
        <w:p>
          <w:pPr>
            <w:pStyle w:val="TOC2"/>
            <w:tabs>
              <w:tab w:val="right" w:leader="dot" w:pos="9072"/>
            </w:tabs>
          </w:pPr>
          <w:r>
            <w:t xml:space="preserve">1.3 Proposed Response</w:t>
          </w:r>
          <w:r>
            <w:tab/>
          </w:r>
          <w:r>
            <w:t xml:space="preserve">11</w:t>
          </w:r>
        </w:p>
        <w:p>
          <w:pPr>
            <w:pStyle w:val="TOC3"/>
            <w:tabs>
              <w:tab w:val="right" w:leader="dot" w:pos="9072"/>
            </w:tabs>
          </w:pPr>
          <w:r>
            <w:t xml:space="preserve">Deployment Model</w:t>
          </w:r>
          <w:r>
            <w:tab/>
          </w:r>
          <w:r>
            <w:t xml:space="preserve">12</w:t>
          </w:r>
        </w:p>
        <w:p>
          <w:pPr>
            <w:pStyle w:val="TOC3"/>
            <w:tabs>
              <w:tab w:val="right" w:leader="dot" w:pos="9072"/>
            </w:tabs>
          </w:pPr>
          <w:r>
            <w:t xml:space="preserve">Target Asset Scope</w:t>
          </w:r>
          <w:r>
            <w:tab/>
          </w:r>
          <w:r>
            <w:t xml:space="preserve">13</w:t>
          </w:r>
        </w:p>
        <w:p>
          <w:pPr>
            <w:pStyle w:val="TOC3"/>
            <w:tabs>
              <w:tab w:val="right" w:leader="dot" w:pos="9072"/>
            </w:tabs>
          </w:pPr>
          <w:r>
            <w:t xml:space="preserve">Compliance Approach</w:t>
          </w:r>
          <w:r>
            <w:tab/>
          </w:r>
          <w:r>
            <w:t xml:space="preserve">14</w:t>
          </w:r>
        </w:p>
        <w:p>
          <w:pPr>
            <w:pStyle w:val="TOC3"/>
            <w:tabs>
              <w:tab w:val="right" w:leader="dot" w:pos="9072"/>
            </w:tabs>
          </w:pPr>
          <w:r>
            <w:t xml:space="preserve">Custody Model</w:t>
          </w:r>
          <w:r>
            <w:tab/>
          </w:r>
          <w:r>
            <w:t xml:space="preserve">15</w:t>
          </w:r>
        </w:p>
        <w:p>
          <w:pPr>
            <w:pStyle w:val="TOC3"/>
            <w:tabs>
              <w:tab w:val="right" w:leader="dot" w:pos="9072"/>
            </w:tabs>
          </w:pPr>
          <w:r>
            <w:t xml:space="preserve">Integration Perimeter</w:t>
          </w:r>
          <w:r>
            <w:tab/>
          </w:r>
          <w:r>
            <w:t xml:space="preserve">16</w:t>
          </w:r>
        </w:p>
        <w:p>
          <w:pPr>
            <w:pStyle w:val="TOC3"/>
            <w:tabs>
              <w:tab w:val="right" w:leader="dot" w:pos="9072"/>
            </w:tabs>
          </w:pPr>
          <w:r>
            <w:t xml:space="preserve">Phased Delivery Summary</w:t>
          </w:r>
          <w:r>
            <w:tab/>
          </w:r>
          <w:r>
            <w:t xml:space="preserve">17</w:t>
          </w:r>
        </w:p>
        <w:p>
          <w:pPr>
            <w:pStyle w:val="TOC2"/>
            <w:tabs>
              <w:tab w:val="right" w:leader="dot" w:pos="9072"/>
            </w:tabs>
          </w:pPr>
          <w:r>
            <w:t xml:space="preserve">1.4 Why SettleMint</w:t>
          </w:r>
          <w:r>
            <w:tab/>
          </w:r>
          <w:r>
            <w:t xml:space="preserve">18</w:t>
          </w:r>
        </w:p>
        <w:p>
          <w:pPr>
            <w:pStyle w:val="TOC2"/>
            <w:tabs>
              <w:tab w:val="right" w:leader="dot" w:pos="9072"/>
            </w:tabs>
          </w:pPr>
          <w:r>
            <w:t xml:space="preserve">1.5 Why DALP</w:t>
          </w:r>
          <w:r>
            <w:tab/>
          </w:r>
          <w:r>
            <w:t xml:space="preserve">19</w:t>
          </w:r>
        </w:p>
        <w:p>
          <w:pPr>
            <w:pStyle w:val="TOC2"/>
            <w:tabs>
              <w:tab w:val="right" w:leader="dot" w:pos="9072"/>
            </w:tabs>
          </w:pPr>
          <w:r>
            <w:t xml:space="preserve">1.6 Reference Fit Snapshot</w:t>
          </w:r>
          <w:r>
            <w:tab/>
          </w:r>
          <w:r>
            <w:t xml:space="preserve">20</w:t>
          </w:r>
        </w:p>
        <w:p>
          <w:pPr>
            <w:pStyle w:val="TOC1"/>
            <w:tabs>
              <w:tab w:val="right" w:leader="dot" w:pos="9072"/>
            </w:tabs>
          </w:pPr>
          <w:r>
            <w:t xml:space="preserve">2. About SettleMint</w:t>
          </w:r>
          <w:r>
            <w:tab/>
          </w:r>
          <w:r>
            <w:t xml:space="preserve">21</w:t>
          </w:r>
        </w:p>
        <w:p>
          <w:pPr>
            <w:pStyle w:val="TOC2"/>
            <w:tabs>
              <w:tab w:val="right" w:leader="dot" w:pos="9072"/>
            </w:tabs>
          </w:pPr>
          <w:r>
            <w:t xml:space="preserve">2.1 Company Overview</w:t>
          </w:r>
          <w:r>
            <w:tab/>
          </w:r>
          <w:r>
            <w:t xml:space="preserve">22</w:t>
          </w:r>
        </w:p>
        <w:p>
          <w:pPr>
            <w:pStyle w:val="TOC2"/>
            <w:tabs>
              <w:tab w:val="right" w:leader="dot" w:pos="9072"/>
            </w:tabs>
          </w:pPr>
          <w:r>
            <w:t xml:space="preserve">2.2 History and Market Position</w:t>
          </w:r>
          <w:r>
            <w:tab/>
          </w:r>
          <w:r>
            <w:t xml:space="preserve">23</w:t>
          </w:r>
        </w:p>
        <w:p>
          <w:pPr>
            <w:pStyle w:val="TOC2"/>
            <w:tabs>
              <w:tab w:val="right" w:leader="dot" w:pos="9072"/>
            </w:tabs>
          </w:pPr>
          <w:r>
            <w:t xml:space="preserve">2.3 Production Credentials</w:t>
          </w:r>
          <w:r>
            <w:tab/>
          </w:r>
          <w:r>
            <w:t xml:space="preserve">24</w:t>
          </w:r>
        </w:p>
        <w:p>
          <w:pPr>
            <w:pStyle w:val="TOC2"/>
            <w:tabs>
              <w:tab w:val="right" w:leader="dot" w:pos="9072"/>
            </w:tabs>
          </w:pPr>
          <w:r>
            <w:t xml:space="preserve">2.4 Regulatory Readiness</w:t>
          </w:r>
          <w:r>
            <w:tab/>
          </w:r>
          <w:r>
            <w:t xml:space="preserve">25</w:t>
          </w:r>
        </w:p>
        <w:p>
          <w:pPr>
            <w:pStyle w:val="TOC2"/>
            <w:tabs>
              <w:tab w:val="right" w:leader="dot" w:pos="9072"/>
            </w:tabs>
          </w:pPr>
          <w:r>
            <w:t xml:space="preserve">2.5 Team and Delivery Capability</w:t>
          </w:r>
          <w:r>
            <w:tab/>
          </w:r>
          <w:r>
            <w:t xml:space="preserve">26</w:t>
          </w:r>
        </w:p>
        <w:p>
          <w:pPr>
            <w:pStyle w:val="TOC2"/>
            <w:tabs>
              <w:tab w:val="right" w:leader="dot" w:pos="9072"/>
            </w:tabs>
          </w:pPr>
          <w:r>
            <w:t xml:space="preserve">2.6 Ecosystem and Partnerships</w:t>
          </w:r>
          <w:r>
            <w:tab/>
          </w:r>
          <w:r>
            <w:t xml:space="preserve">27</w:t>
          </w:r>
        </w:p>
        <w:p>
          <w:pPr>
            <w:pStyle w:val="TOC1"/>
            <w:tabs>
              <w:tab w:val="right" w:leader="dot" w:pos="9072"/>
            </w:tabs>
          </w:pPr>
          <w:r>
            <w:t xml:space="preserve">3. About DALP — Digital Asset Lifecycle Platform</w:t>
          </w:r>
          <w:r>
            <w:tab/>
          </w:r>
          <w:r>
            <w:t xml:space="preserve">28</w:t>
          </w:r>
        </w:p>
        <w:p>
          <w:pPr>
            <w:pStyle w:val="TOC2"/>
            <w:tabs>
              <w:tab w:val="right" w:leader="dot" w:pos="9072"/>
            </w:tabs>
          </w:pPr>
          <w:r>
            <w:t xml:space="preserve">3.1 Platform Overview</w:t>
          </w:r>
          <w:r>
            <w:tab/>
          </w:r>
          <w:r>
            <w:t xml:space="preserve">29</w:t>
          </w:r>
        </w:p>
        <w:p>
          <w:pPr>
            <w:pStyle w:val="TOC2"/>
            <w:tabs>
              <w:tab w:val="right" w:leader="dot" w:pos="9072"/>
            </w:tabs>
          </w:pPr>
          <w:r>
            <w:t xml:space="preserve">3.2 Core Lifecycle Pillars</w:t>
          </w:r>
          <w:r>
            <w:tab/>
          </w:r>
          <w:r>
            <w:t xml:space="preserve">30</w:t>
          </w:r>
        </w:p>
        <w:p>
          <w:pPr>
            <w:pStyle w:val="TOC3"/>
            <w:tabs>
              <w:tab w:val="right" w:leader="dot" w:pos="9072"/>
            </w:tabs>
          </w:pPr>
          <w:r>
            <w:t xml:space="preserve">3.2.1 Issuance</w:t>
          </w:r>
          <w:r>
            <w:tab/>
          </w:r>
          <w:r>
            <w:t xml:space="preserve">31</w:t>
          </w:r>
        </w:p>
        <w:p>
          <w:pPr>
            <w:pStyle w:val="TOC3"/>
            <w:tabs>
              <w:tab w:val="right" w:leader="dot" w:pos="9072"/>
            </w:tabs>
          </w:pPr>
          <w:r>
            <w:t xml:space="preserve">3.2.2 Compliance</w:t>
          </w:r>
          <w:r>
            <w:tab/>
          </w:r>
          <w:r>
            <w:t xml:space="preserve">32</w:t>
          </w:r>
        </w:p>
        <w:p>
          <w:pPr>
            <w:pStyle w:val="TOC3"/>
            <w:tabs>
              <w:tab w:val="right" w:leader="dot" w:pos="9072"/>
            </w:tabs>
          </w:pPr>
          <w:r>
            <w:t xml:space="preserve">3.2.3 Custody</w:t>
          </w:r>
          <w:r>
            <w:tab/>
          </w:r>
          <w:r>
            <w:t xml:space="preserve">33</w:t>
          </w:r>
        </w:p>
        <w:p>
          <w:pPr>
            <w:pStyle w:val="TOC3"/>
            <w:tabs>
              <w:tab w:val="right" w:leader="dot" w:pos="9072"/>
            </w:tabs>
          </w:pPr>
          <w:r>
            <w:t xml:space="preserve">3.2.4 Settlement</w:t>
          </w:r>
          <w:r>
            <w:tab/>
          </w:r>
          <w:r>
            <w:t xml:space="preserve">34</w:t>
          </w:r>
        </w:p>
        <w:p>
          <w:pPr>
            <w:pStyle w:val="TOC3"/>
            <w:tabs>
              <w:tab w:val="right" w:leader="dot" w:pos="9072"/>
            </w:tabs>
          </w:pPr>
          <w:r>
            <w:t xml:space="preserve">3.2.5 Servicing</w:t>
          </w:r>
          <w:r>
            <w:tab/>
          </w:r>
          <w:r>
            <w:t xml:space="preserve">35</w:t>
          </w:r>
        </w:p>
        <w:p>
          <w:pPr>
            <w:pStyle w:val="TOC2"/>
            <w:tabs>
              <w:tab w:val="right" w:leader="dot" w:pos="9072"/>
            </w:tabs>
          </w:pPr>
          <w:r>
            <w:t xml:space="preserve">3.3 Platform Foundations</w:t>
          </w:r>
          <w:r>
            <w:tab/>
          </w:r>
          <w:r>
            <w:t xml:space="preserve">36</w:t>
          </w:r>
        </w:p>
        <w:p>
          <w:pPr>
            <w:pStyle w:val="TOC3"/>
            <w:tabs>
              <w:tab w:val="right" w:leader="dot" w:pos="9072"/>
            </w:tabs>
          </w:pPr>
          <w:r>
            <w:t xml:space="preserve">3.3.1 Identity and Access Management</w:t>
          </w:r>
          <w:r>
            <w:tab/>
          </w:r>
          <w:r>
            <w:t xml:space="preserve">37</w:t>
          </w:r>
        </w:p>
        <w:p>
          <w:pPr>
            <w:pStyle w:val="TOC3"/>
            <w:tabs>
              <w:tab w:val="right" w:leader="dot" w:pos="9072"/>
            </w:tabs>
          </w:pPr>
          <w:r>
            <w:t xml:space="preserve">3.3.2 Integration and Interoperability</w:t>
          </w:r>
          <w:r>
            <w:tab/>
          </w:r>
          <w:r>
            <w:t xml:space="preserve">38</w:t>
          </w:r>
        </w:p>
        <w:p>
          <w:pPr>
            <w:pStyle w:val="TOC3"/>
            <w:tabs>
              <w:tab w:val="right" w:leader="dot" w:pos="9072"/>
            </w:tabs>
          </w:pPr>
          <w:r>
            <w:t xml:space="preserve">3.3.3 Observability and Operations</w:t>
          </w:r>
          <w:r>
            <w:tab/>
          </w:r>
          <w:r>
            <w:t xml:space="preserve">39</w:t>
          </w:r>
        </w:p>
        <w:p>
          <w:pPr>
            <w:pStyle w:val="TOC2"/>
            <w:tabs>
              <w:tab w:val="right" w:leader="dot" w:pos="9072"/>
            </w:tabs>
          </w:pPr>
          <w:r>
            <w:t xml:space="preserve">3.4 Supported Asset Classes</w:t>
          </w:r>
          <w:r>
            <w:tab/>
          </w:r>
          <w:r>
            <w:t xml:space="preserve">40</w:t>
          </w:r>
        </w:p>
        <w:p>
          <w:pPr>
            <w:pStyle w:val="TOC2"/>
            <w:tabs>
              <w:tab w:val="right" w:leader="dot" w:pos="9072"/>
            </w:tabs>
          </w:pPr>
          <w:r>
            <w:t xml:space="preserve">3.5 Standards and Protocols</w:t>
          </w:r>
          <w:r>
            <w:tab/>
          </w:r>
          <w:r>
            <w:t xml:space="preserve">41</w:t>
          </w:r>
        </w:p>
        <w:p>
          <w:pPr>
            <w:pStyle w:val="TOC1"/>
            <w:tabs>
              <w:tab w:val="right" w:leader="dot" w:pos="9072"/>
            </w:tabs>
          </w:pPr>
          <w:r>
            <w:t xml:space="preserve">4. Customer References</w:t>
          </w:r>
          <w:r>
            <w:tab/>
          </w:r>
          <w:r>
            <w:t xml:space="preserve">42</w:t>
          </w:r>
        </w:p>
        <w:p>
          <w:pPr>
            <w:pStyle w:val="TOC2"/>
            <w:tabs>
              <w:tab w:val="right" w:leader="dot" w:pos="9072"/>
            </w:tabs>
          </w:pPr>
          <w:r>
            <w:t xml:space="preserve">4.1 Summary Table</w:t>
          </w:r>
          <w:r>
            <w:tab/>
          </w:r>
          <w:r>
            <w:t xml:space="preserve">43</w:t>
          </w:r>
        </w:p>
        <w:p>
          <w:pPr>
            <w:pStyle w:val="TOC2"/>
            <w:tabs>
              <w:tab w:val="right" w:leader="dot" w:pos="9072"/>
            </w:tabs>
          </w:pPr>
          <w:r>
            <w:t xml:space="preserve">4.2 Expanded Reference: Commerzbank (Germany)</w:t>
          </w:r>
          <w:r>
            <w:tab/>
          </w:r>
          <w:r>
            <w:t xml:space="preserve">44</w:t>
          </w:r>
        </w:p>
        <w:p>
          <w:pPr>
            <w:pStyle w:val="TOC2"/>
            <w:tabs>
              <w:tab w:val="right" w:leader="dot" w:pos="9072"/>
            </w:tabs>
          </w:pPr>
          <w:r>
            <w:t xml:space="preserve">4.3 Expanded Reference: Standard Chartered Bank</w:t>
          </w:r>
          <w:r>
            <w:tab/>
          </w:r>
          <w:r>
            <w:t xml:space="preserve">45</w:t>
          </w:r>
        </w:p>
        <w:p>
          <w:pPr>
            <w:pStyle w:val="TOC1"/>
            <w:tabs>
              <w:tab w:val="right" w:leader="dot" w:pos="9072"/>
            </w:tabs>
          </w:pPr>
          <w:r>
            <w:t xml:space="preserve">5. Understanding of Requirements</w:t>
          </w:r>
          <w:r>
            <w:tab/>
          </w:r>
          <w:r>
            <w:t xml:space="preserve">46</w:t>
          </w:r>
        </w:p>
        <w:p>
          <w:pPr>
            <w:pStyle w:val="TOC2"/>
            <w:tabs>
              <w:tab w:val="right" w:leader="dot" w:pos="9072"/>
            </w:tabs>
          </w:pPr>
          <w:r>
            <w:t xml:space="preserve">5.1 KfW Context</w:t>
          </w:r>
          <w:r>
            <w:tab/>
          </w:r>
          <w:r>
            <w:t xml:space="preserve">47</w:t>
          </w:r>
        </w:p>
        <w:p>
          <w:pPr>
            <w:pStyle w:val="TOC3"/>
            <w:tabs>
              <w:tab w:val="right" w:leader="dot" w:pos="9072"/>
            </w:tabs>
          </w:pPr>
          <w:r>
            <w:t xml:space="preserve">Institution Mandate</w:t>
          </w:r>
          <w:r>
            <w:tab/>
          </w:r>
          <w:r>
            <w:t xml:space="preserve">48</w:t>
          </w:r>
        </w:p>
        <w:p>
          <w:pPr>
            <w:pStyle w:val="TOC3"/>
            <w:tabs>
              <w:tab w:val="right" w:leader="dot" w:pos="9072"/>
            </w:tabs>
          </w:pPr>
          <w:r>
            <w:t xml:space="preserve">Transformation Drivers</w:t>
          </w:r>
          <w:r>
            <w:tab/>
          </w:r>
          <w:r>
            <w:t xml:space="preserve">49</w:t>
          </w:r>
        </w:p>
        <w:p>
          <w:pPr>
            <w:pStyle w:val="TOC2"/>
            <w:tabs>
              <w:tab w:val="right" w:leader="dot" w:pos="9072"/>
            </w:tabs>
          </w:pPr>
          <w:r>
            <w:t xml:space="preserve">5.2 Requirement Domains</w:t>
          </w:r>
          <w:r>
            <w:tab/>
          </w:r>
          <w:r>
            <w:t xml:space="preserve">50</w:t>
          </w:r>
        </w:p>
        <w:p>
          <w:pPr>
            <w:pStyle w:val="TOC2"/>
            <w:tabs>
              <w:tab w:val="right" w:leader="dot" w:pos="9072"/>
            </w:tabs>
          </w:pPr>
          <w:r>
            <w:t xml:space="preserve">5.3 Key Challenges Identified</w:t>
          </w:r>
          <w:r>
            <w:tab/>
          </w:r>
          <w:r>
            <w:t xml:space="preserve">51</w:t>
          </w:r>
        </w:p>
        <w:p>
          <w:pPr>
            <w:pStyle w:val="TOC3"/>
            <w:tabs>
              <w:tab w:val="right" w:leader="dot" w:pos="9072"/>
            </w:tabs>
          </w:pPr>
          <w:r>
            <w:t xml:space="preserve">Challenge 1: Regulatory Complexity</w:t>
          </w:r>
          <w:r>
            <w:tab/>
          </w:r>
          <w:r>
            <w:t xml:space="preserve">52</w:t>
          </w:r>
        </w:p>
        <w:p>
          <w:pPr>
            <w:pStyle w:val="TOC3"/>
            <w:tabs>
              <w:tab w:val="right" w:leader="dot" w:pos="9072"/>
            </w:tabs>
          </w:pPr>
          <w:r>
            <w:t xml:space="preserve">Challenge 2: Integration with Existing Infrastructure</w:t>
          </w:r>
          <w:r>
            <w:tab/>
          </w:r>
          <w:r>
            <w:t xml:space="preserve">53</w:t>
          </w:r>
        </w:p>
        <w:p>
          <w:pPr>
            <w:pStyle w:val="TOC3"/>
            <w:tabs>
              <w:tab w:val="right" w:leader="dot" w:pos="9072"/>
            </w:tabs>
          </w:pPr>
          <w:r>
            <w:t xml:space="preserve">Challenge 3: Governance and Control</w:t>
          </w:r>
          <w:r>
            <w:tab/>
          </w:r>
          <w:r>
            <w:t xml:space="preserve">54</w:t>
          </w:r>
        </w:p>
        <w:p>
          <w:pPr>
            <w:pStyle w:val="TOC3"/>
            <w:tabs>
              <w:tab w:val="right" w:leader="dot" w:pos="9072"/>
            </w:tabs>
          </w:pPr>
          <w:r>
            <w:t xml:space="preserve">Challenge 4: Operational Transition</w:t>
          </w:r>
          <w:r>
            <w:tab/>
          </w:r>
          <w:r>
            <w:t xml:space="preserve">55</w:t>
          </w:r>
        </w:p>
        <w:p>
          <w:pPr>
            <w:pStyle w:val="TOC3"/>
            <w:tabs>
              <w:tab w:val="right" w:leader="dot" w:pos="9072"/>
            </w:tabs>
          </w:pPr>
          <w:r>
            <w:t xml:space="preserve">Challenge 5: Long-Term Supportability</w:t>
          </w:r>
          <w:r>
            <w:tab/>
          </w:r>
          <w:r>
            <w:t xml:space="preserve">56</w:t>
          </w:r>
        </w:p>
        <w:p>
          <w:pPr>
            <w:pStyle w:val="TOC2"/>
            <w:tabs>
              <w:tab w:val="right" w:leader="dot" w:pos="9072"/>
            </w:tabs>
          </w:pPr>
          <w:r>
            <w:t xml:space="preserve">5.4 Requirement Prioritization</w:t>
          </w:r>
          <w:r>
            <w:tab/>
          </w:r>
          <w:r>
            <w:t xml:space="preserve">57</w:t>
          </w:r>
        </w:p>
        <w:p>
          <w:pPr>
            <w:pStyle w:val="TOC2"/>
            <w:tabs>
              <w:tab w:val="right" w:leader="dot" w:pos="9072"/>
            </w:tabs>
          </w:pPr>
          <w:r>
            <w:t xml:space="preserve">5.5 Response Principles</w:t>
          </w:r>
          <w:r>
            <w:tab/>
          </w:r>
          <w:r>
            <w:t xml:space="preserve">58</w:t>
          </w:r>
        </w:p>
        <w:p>
          <w:pPr>
            <w:pStyle w:val="TOC1"/>
            <w:tabs>
              <w:tab w:val="right" w:leader="dot" w:pos="9072"/>
            </w:tabs>
          </w:pPr>
          <w:r>
            <w:t xml:space="preserve">6. Proposed Solution and Functional Capabilities</w:t>
          </w:r>
          <w:r>
            <w:tab/>
          </w:r>
          <w:r>
            <w:t xml:space="preserve">59</w:t>
          </w:r>
        </w:p>
        <w:p>
          <w:pPr>
            <w:pStyle w:val="TOC2"/>
            <w:tabs>
              <w:tab w:val="right" w:leader="dot" w:pos="9072"/>
            </w:tabs>
          </w:pPr>
          <w:r>
            <w:t xml:space="preserve">6.1 Solution Overview</w:t>
          </w:r>
          <w:r>
            <w:tab/>
          </w:r>
          <w:r>
            <w:t xml:space="preserve">60</w:t>
          </w:r>
        </w:p>
        <w:p>
          <w:pPr>
            <w:pStyle w:val="TOC2"/>
            <w:tabs>
              <w:tab w:val="right" w:leader="dot" w:pos="9072"/>
            </w:tabs>
          </w:pPr>
          <w:r>
            <w:t xml:space="preserve">6.2 Issuance and Asset Configuration</w:t>
          </w:r>
          <w:r>
            <w:tab/>
          </w:r>
          <w:r>
            <w:t xml:space="preserve">61</w:t>
          </w:r>
        </w:p>
        <w:p>
          <w:pPr>
            <w:pStyle w:val="TOC2"/>
            <w:tabs>
              <w:tab w:val="right" w:leader="dot" w:pos="9072"/>
            </w:tabs>
          </w:pPr>
          <w:r>
            <w:t xml:space="preserve">6.3 Identity and Eligibility</w:t>
          </w:r>
          <w:r>
            <w:tab/>
          </w:r>
          <w:r>
            <w:t xml:space="preserve">62</w:t>
          </w:r>
        </w:p>
        <w:p>
          <w:pPr>
            <w:pStyle w:val="TOC2"/>
            <w:tabs>
              <w:tab w:val="right" w:leader="dot" w:pos="9072"/>
            </w:tabs>
          </w:pPr>
          <w:r>
            <w:t xml:space="preserve">6.4 Compliance Enforcement</w:t>
          </w:r>
          <w:r>
            <w:tab/>
          </w:r>
          <w:r>
            <w:t xml:space="preserve">63</w:t>
          </w:r>
        </w:p>
        <w:p>
          <w:pPr>
            <w:pStyle w:val="TOC2"/>
            <w:tabs>
              <w:tab w:val="right" w:leader="dot" w:pos="9072"/>
            </w:tabs>
          </w:pPr>
          <w:r>
            <w:t xml:space="preserve">6.5 Transfer, Settlement, and Cash-Leg Coordination</w:t>
          </w:r>
          <w:r>
            <w:tab/>
          </w:r>
          <w:r>
            <w:t xml:space="preserve">64</w:t>
          </w:r>
        </w:p>
        <w:p>
          <w:pPr>
            <w:pStyle w:val="TOC2"/>
            <w:tabs>
              <w:tab w:val="right" w:leader="dot" w:pos="9072"/>
            </w:tabs>
          </w:pPr>
          <w:r>
            <w:t xml:space="preserve">6.6 Lifecycle Servicing and Corporate Actions</w:t>
          </w:r>
          <w:r>
            <w:tab/>
          </w:r>
          <w:r>
            <w:t xml:space="preserve">65</w:t>
          </w:r>
        </w:p>
        <w:p>
          <w:pPr>
            <w:pStyle w:val="TOC3"/>
            <w:tabs>
              <w:tab w:val="right" w:leader="dot" w:pos="9072"/>
            </w:tabs>
          </w:pPr>
          <w:r>
            <w:t xml:space="preserve">Coupon Distribution</w:t>
          </w:r>
          <w:r>
            <w:tab/>
          </w:r>
          <w:r>
            <w:t xml:space="preserve">66</w:t>
          </w:r>
        </w:p>
        <w:p>
          <w:pPr>
            <w:pStyle w:val="TOC3"/>
            <w:tabs>
              <w:tab w:val="right" w:leader="dot" w:pos="9072"/>
            </w:tabs>
          </w:pPr>
          <w:r>
            <w:t xml:space="preserve">Maturity Handling</w:t>
          </w:r>
          <w:r>
            <w:tab/>
          </w:r>
          <w:r>
            <w:t xml:space="preserve">67</w:t>
          </w:r>
        </w:p>
        <w:p>
          <w:pPr>
            <w:pStyle w:val="TOC3"/>
            <w:tabs>
              <w:tab w:val="right" w:leader="dot" w:pos="9072"/>
            </w:tabs>
          </w:pPr>
          <w:r>
            <w:t xml:space="preserve">Redemption Mechanics</w:t>
          </w:r>
          <w:r>
            <w:tab/>
          </w:r>
          <w:r>
            <w:t xml:space="preserve">68</w:t>
          </w:r>
        </w:p>
        <w:p>
          <w:pPr>
            <w:pStyle w:val="TOC1"/>
            <w:tabs>
              <w:tab w:val="right" w:leader="dot" w:pos="9072"/>
            </w:tabs>
          </w:pPr>
          <w:r>
            <w:t xml:space="preserve">7. Technical Architecture</w:t>
          </w:r>
          <w:r>
            <w:tab/>
          </w:r>
          <w:r>
            <w:t xml:space="preserve">69</w:t>
          </w:r>
        </w:p>
        <w:p>
          <w:pPr>
            <w:pStyle w:val="TOC2"/>
            <w:tabs>
              <w:tab w:val="right" w:leader="dot" w:pos="9072"/>
            </w:tabs>
          </w:pPr>
          <w:r>
            <w:t xml:space="preserve">7.1 Architectural Principles</w:t>
          </w:r>
          <w:r>
            <w:tab/>
          </w:r>
          <w:r>
            <w:t xml:space="preserve">70</w:t>
          </w:r>
        </w:p>
        <w:p>
          <w:pPr>
            <w:pStyle w:val="TOC2"/>
            <w:tabs>
              <w:tab w:val="right" w:leader="dot" w:pos="9072"/>
            </w:tabs>
          </w:pPr>
          <w:r>
            <w:t xml:space="preserve">7.2 Layered Architecture</w:t>
          </w:r>
          <w:r>
            <w:tab/>
          </w:r>
          <w:r>
            <w:t xml:space="preserve">71</w:t>
          </w:r>
        </w:p>
        <w:p>
          <w:pPr>
            <w:pStyle w:val="TOC2"/>
            <w:tabs>
              <w:tab w:val="right" w:leader="dot" w:pos="9072"/>
            </w:tabs>
          </w:pPr>
          <w:r>
            <w:t xml:space="preserve">7.3 Data Architecture</w:t>
          </w:r>
          <w:r>
            <w:tab/>
          </w:r>
          <w:r>
            <w:t xml:space="preserve">72</w:t>
          </w:r>
        </w:p>
        <w:p>
          <w:pPr>
            <w:pStyle w:val="TOC2"/>
            <w:tabs>
              <w:tab w:val="right" w:leader="dot" w:pos="9072"/>
            </w:tabs>
          </w:pPr>
          <w:r>
            <w:t xml:space="preserve">7.4 Network and Chain Topology</w:t>
          </w:r>
          <w:r>
            <w:tab/>
          </w:r>
          <w:r>
            <w:t xml:space="preserve">73</w:t>
          </w:r>
        </w:p>
        <w:p>
          <w:pPr>
            <w:pStyle w:val="TOC2"/>
            <w:tabs>
              <w:tab w:val="right" w:leader="dot" w:pos="9072"/>
            </w:tabs>
          </w:pPr>
          <w:r>
            <w:t xml:space="preserve">7.5 Multi-Tenancy and Environment Segregation</w:t>
          </w:r>
          <w:r>
            <w:tab/>
          </w:r>
          <w:r>
            <w:t xml:space="preserve">74</w:t>
          </w:r>
        </w:p>
        <w:p>
          <w:pPr>
            <w:pStyle w:val="TOC2"/>
            <w:tabs>
              <w:tab w:val="right" w:leader="dot" w:pos="9072"/>
            </w:tabs>
          </w:pPr>
          <w:r>
            <w:t xml:space="preserve">7.6 Operational Architecture</w:t>
          </w:r>
          <w:r>
            <w:tab/>
          </w:r>
          <w:r>
            <w:t xml:space="preserve">75</w:t>
          </w:r>
        </w:p>
        <w:p>
          <w:pPr>
            <w:pStyle w:val="TOC1"/>
            <w:tabs>
              <w:tab w:val="right" w:leader="dot" w:pos="9072"/>
            </w:tabs>
          </w:pPr>
          <w:r>
            <w:t xml:space="preserve">8. Security</w:t>
          </w:r>
          <w:r>
            <w:tab/>
          </w:r>
          <w:r>
            <w:t xml:space="preserve">76</w:t>
          </w:r>
        </w:p>
        <w:p>
          <w:pPr>
            <w:pStyle w:val="TOC2"/>
            <w:tabs>
              <w:tab w:val="right" w:leader="dot" w:pos="9072"/>
            </w:tabs>
          </w:pPr>
          <w:r>
            <w:t xml:space="preserve">8.1 Security Model Overview</w:t>
          </w:r>
          <w:r>
            <w:tab/>
          </w:r>
          <w:r>
            <w:t xml:space="preserve">77</w:t>
          </w:r>
        </w:p>
        <w:p>
          <w:pPr>
            <w:pStyle w:val="TOC2"/>
            <w:tabs>
              <w:tab w:val="right" w:leader="dot" w:pos="9072"/>
            </w:tabs>
          </w:pPr>
          <w:r>
            <w:t xml:space="preserve">8.2 Authentication and Access Control</w:t>
          </w:r>
          <w:r>
            <w:tab/>
          </w:r>
          <w:r>
            <w:t xml:space="preserve">78</w:t>
          </w:r>
        </w:p>
        <w:p>
          <w:pPr>
            <w:pStyle w:val="TOC2"/>
            <w:tabs>
              <w:tab w:val="right" w:leader="dot" w:pos="9072"/>
            </w:tabs>
          </w:pPr>
          <w:r>
            <w:t xml:space="preserve">8.3 Key Management and Custody Integration</w:t>
          </w:r>
          <w:r>
            <w:tab/>
          </w:r>
          <w:r>
            <w:t xml:space="preserve">79</w:t>
          </w:r>
        </w:p>
        <w:p>
          <w:pPr>
            <w:pStyle w:val="TOC2"/>
            <w:tabs>
              <w:tab w:val="right" w:leader="dot" w:pos="9072"/>
            </w:tabs>
          </w:pPr>
          <w:r>
            <w:t xml:space="preserve">8.4 Data Protection and Encryption</w:t>
          </w:r>
          <w:r>
            <w:tab/>
          </w:r>
          <w:r>
            <w:t xml:space="preserve">80</w:t>
          </w:r>
        </w:p>
        <w:p>
          <w:pPr>
            <w:pStyle w:val="TOC2"/>
            <w:tabs>
              <w:tab w:val="right" w:leader="dot" w:pos="9072"/>
            </w:tabs>
          </w:pPr>
          <w:r>
            <w:t xml:space="preserve">8.5 Compliance Controls and Auditability</w:t>
          </w:r>
          <w:r>
            <w:tab/>
          </w:r>
          <w:r>
            <w:t xml:space="preserve">81</w:t>
          </w:r>
        </w:p>
        <w:p>
          <w:pPr>
            <w:pStyle w:val="TOC2"/>
            <w:tabs>
              <w:tab w:val="right" w:leader="dot" w:pos="9072"/>
            </w:tabs>
          </w:pPr>
          <w:r>
            <w:t xml:space="preserve">8.6 Testing and Assurance</w:t>
          </w:r>
          <w:r>
            <w:tab/>
          </w:r>
          <w:r>
            <w:t xml:space="preserve">82</w:t>
          </w:r>
        </w:p>
        <w:p>
          <w:pPr>
            <w:pStyle w:val="TOC2"/>
            <w:tabs>
              <w:tab w:val="right" w:leader="dot" w:pos="9072"/>
            </w:tabs>
          </w:pPr>
          <w:r>
            <w:t xml:space="preserve">8.7 Security Responsibility Matrix</w:t>
          </w:r>
          <w:r>
            <w:tab/>
          </w:r>
          <w:r>
            <w:t xml:space="preserve">83</w:t>
          </w:r>
        </w:p>
        <w:p>
          <w:pPr>
            <w:pStyle w:val="TOC1"/>
            <w:tabs>
              <w:tab w:val="right" w:leader="dot" w:pos="9072"/>
            </w:tabs>
          </w:pPr>
          <w:r>
            <w:t xml:space="preserve">9. Project Implementation &amp; Delivery</w:t>
          </w:r>
          <w:r>
            <w:tab/>
          </w:r>
          <w:r>
            <w:t xml:space="preserve">84</w:t>
          </w:r>
        </w:p>
        <w:p>
          <w:pPr>
            <w:pStyle w:val="TOC2"/>
            <w:tabs>
              <w:tab w:val="right" w:leader="dot" w:pos="9072"/>
            </w:tabs>
          </w:pPr>
          <w:r>
            <w:t xml:space="preserve">9.1 Delivery Overview</w:t>
          </w:r>
          <w:r>
            <w:tab/>
          </w:r>
          <w:r>
            <w:t xml:space="preserve">85</w:t>
          </w:r>
        </w:p>
        <w:p>
          <w:pPr>
            <w:pStyle w:val="TOC2"/>
            <w:tabs>
              <w:tab w:val="right" w:leader="dot" w:pos="9072"/>
            </w:tabs>
          </w:pPr>
          <w:r>
            <w:t xml:space="preserve">9.2 Phase Plan</w:t>
          </w:r>
          <w:r>
            <w:tab/>
          </w:r>
          <w:r>
            <w:t xml:space="preserve">86</w:t>
          </w:r>
        </w:p>
        <w:p>
          <w:pPr>
            <w:pStyle w:val="TOC3"/>
            <w:tabs>
              <w:tab w:val="right" w:leader="dot" w:pos="9072"/>
            </w:tabs>
          </w:pPr>
          <w:r>
            <w:t xml:space="preserve">Phase 1: Discovery and Requirements (4 weeks)</w:t>
          </w:r>
          <w:r>
            <w:tab/>
          </w:r>
          <w:r>
            <w:t xml:space="preserve">87</w:t>
          </w:r>
        </w:p>
        <w:p>
          <w:pPr>
            <w:pStyle w:val="TOC3"/>
            <w:tabs>
              <w:tab w:val="right" w:leader="dot" w:pos="9072"/>
            </w:tabs>
          </w:pPr>
          <w:r>
            <w:t xml:space="preserve">Phase 2: Foundation and Setup (6 weeks)</w:t>
          </w:r>
          <w:r>
            <w:tab/>
          </w:r>
          <w:r>
            <w:t xml:space="preserve">88</w:t>
          </w:r>
        </w:p>
        <w:p>
          <w:pPr>
            <w:pStyle w:val="TOC3"/>
            <w:tabs>
              <w:tab w:val="right" w:leader="dot" w:pos="9072"/>
            </w:tabs>
          </w:pPr>
          <w:r>
            <w:t xml:space="preserve">Phase 3: Configuration and Compliance (8 weeks)</w:t>
          </w:r>
          <w:r>
            <w:tab/>
          </w:r>
          <w:r>
            <w:t xml:space="preserve">89</w:t>
          </w:r>
        </w:p>
        <w:p>
          <w:pPr>
            <w:pStyle w:val="TOC3"/>
            <w:tabs>
              <w:tab w:val="right" w:leader="dot" w:pos="9072"/>
            </w:tabs>
          </w:pPr>
          <w:r>
            <w:t xml:space="preserve">Phase 4: Integration and Testing (8 weeks)</w:t>
          </w:r>
          <w:r>
            <w:tab/>
          </w:r>
          <w:r>
            <w:t xml:space="preserve">90</w:t>
          </w:r>
        </w:p>
        <w:p>
          <w:pPr>
            <w:pStyle w:val="TOC3"/>
            <w:tabs>
              <w:tab w:val="right" w:leader="dot" w:pos="9072"/>
            </w:tabs>
          </w:pPr>
          <w:r>
            <w:t xml:space="preserve">Phase 5: Go-Live (2 weeks)</w:t>
          </w:r>
          <w:r>
            <w:tab/>
          </w:r>
          <w:r>
            <w:t xml:space="preserve">91</w:t>
          </w:r>
        </w:p>
        <w:p>
          <w:pPr>
            <w:pStyle w:val="TOC3"/>
            <w:tabs>
              <w:tab w:val="right" w:leader="dot" w:pos="9072"/>
            </w:tabs>
          </w:pPr>
          <w:r>
            <w:t xml:space="preserve">Phase 6: Hypercare (4 weeks)</w:t>
          </w:r>
          <w:r>
            <w:tab/>
          </w:r>
          <w:r>
            <w:t xml:space="preserve">92</w:t>
          </w:r>
        </w:p>
        <w:p>
          <w:pPr>
            <w:pStyle w:val="TOC2"/>
            <w:tabs>
              <w:tab w:val="right" w:leader="dot" w:pos="9072"/>
            </w:tabs>
          </w:pPr>
          <w:r>
            <w:t xml:space="preserve">9.3 Governance and Decision Structure</w:t>
          </w:r>
          <w:r>
            <w:tab/>
          </w:r>
          <w:r>
            <w:t xml:space="preserve">93</w:t>
          </w:r>
        </w:p>
        <w:p>
          <w:pPr>
            <w:pStyle w:val="TOC2"/>
            <w:tabs>
              <w:tab w:val="right" w:leader="dot" w:pos="9072"/>
            </w:tabs>
          </w:pPr>
          <w:r>
            <w:t xml:space="preserve">9.4 Resource Model</w:t>
          </w:r>
          <w:r>
            <w:tab/>
          </w:r>
          <w:r>
            <w:t xml:space="preserve">94</w:t>
          </w:r>
        </w:p>
        <w:p>
          <w:pPr>
            <w:pStyle w:val="TOC1"/>
            <w:tabs>
              <w:tab w:val="right" w:leader="dot" w:pos="9072"/>
            </w:tabs>
          </w:pPr>
          <w:r>
            <w:t xml:space="preserve">10. Deployment</w:t>
          </w:r>
          <w:r>
            <w:tab/>
          </w:r>
          <w:r>
            <w:t xml:space="preserve">95</w:t>
          </w:r>
        </w:p>
        <w:p>
          <w:pPr>
            <w:pStyle w:val="TOC2"/>
            <w:tabs>
              <w:tab w:val="right" w:leader="dot" w:pos="9072"/>
            </w:tabs>
          </w:pPr>
          <w:r>
            <w:t xml:space="preserve">10.1 Deployment Principles</w:t>
          </w:r>
          <w:r>
            <w:tab/>
          </w:r>
          <w:r>
            <w:t xml:space="preserve">96</w:t>
          </w:r>
        </w:p>
        <w:p>
          <w:pPr>
            <w:pStyle w:val="TOC2"/>
            <w:tabs>
              <w:tab w:val="right" w:leader="dot" w:pos="9072"/>
            </w:tabs>
          </w:pPr>
          <w:r>
            <w:t xml:space="preserve">10.2 Recommended Deployment Model</w:t>
          </w:r>
          <w:r>
            <w:tab/>
          </w:r>
          <w:r>
            <w:t xml:space="preserve">97</w:t>
          </w:r>
        </w:p>
        <w:p>
          <w:pPr>
            <w:pStyle w:val="TOC2"/>
            <w:tabs>
              <w:tab w:val="right" w:leader="dot" w:pos="9072"/>
            </w:tabs>
          </w:pPr>
          <w:r>
            <w:t xml:space="preserve">10.3 Deployment Options Comparison</w:t>
          </w:r>
          <w:r>
            <w:tab/>
          </w:r>
          <w:r>
            <w:t xml:space="preserve">98</w:t>
          </w:r>
        </w:p>
        <w:p>
          <w:pPr>
            <w:pStyle w:val="TOC2"/>
            <w:tabs>
              <w:tab w:val="right" w:leader="dot" w:pos="9072"/>
            </w:tabs>
          </w:pPr>
          <w:r>
            <w:t xml:space="preserve">10.4 Infrastructure Requirements</w:t>
          </w:r>
          <w:r>
            <w:tab/>
          </w:r>
          <w:r>
            <w:t xml:space="preserve">99</w:t>
          </w:r>
        </w:p>
        <w:p>
          <w:pPr>
            <w:pStyle w:val="TOC2"/>
            <w:tabs>
              <w:tab w:val="right" w:leader="dot" w:pos="9072"/>
            </w:tabs>
          </w:pPr>
          <w:r>
            <w:t xml:space="preserve">10.5 Availability, Resilience, and DR Approach</w:t>
          </w:r>
          <w:r>
            <w:tab/>
          </w:r>
          <w:r>
            <w:t xml:space="preserve">100</w:t>
          </w:r>
        </w:p>
        <w:p>
          <w:pPr>
            <w:pStyle w:val="TOC2"/>
            <w:tabs>
              <w:tab w:val="right" w:leader="dot" w:pos="9072"/>
            </w:tabs>
          </w:pPr>
          <w:r>
            <w:t xml:space="preserve">10.6 Data Residency and Sovereignty</w:t>
          </w:r>
          <w:r>
            <w:tab/>
          </w:r>
          <w:r>
            <w:t xml:space="preserve">101</w:t>
          </w:r>
        </w:p>
        <w:p>
          <w:pPr>
            <w:pStyle w:val="TOC1"/>
            <w:tabs>
              <w:tab w:val="right" w:leader="dot" w:pos="9072"/>
            </w:tabs>
          </w:pPr>
          <w:r>
            <w:t xml:space="preserve">11. Training and Knowledge Transfer</w:t>
          </w:r>
          <w:r>
            <w:tab/>
          </w:r>
          <w:r>
            <w:t xml:space="preserve">102</w:t>
          </w:r>
        </w:p>
        <w:p>
          <w:pPr>
            <w:pStyle w:val="TOC2"/>
            <w:tabs>
              <w:tab w:val="right" w:leader="dot" w:pos="9072"/>
            </w:tabs>
          </w:pPr>
          <w:r>
            <w:t xml:space="preserve">11.1 Training Strategy</w:t>
          </w:r>
          <w:r>
            <w:tab/>
          </w:r>
          <w:r>
            <w:t xml:space="preserve">103</w:t>
          </w:r>
        </w:p>
        <w:p>
          <w:pPr>
            <w:pStyle w:val="TOC2"/>
            <w:tabs>
              <w:tab w:val="right" w:leader="dot" w:pos="9072"/>
            </w:tabs>
          </w:pPr>
          <w:r>
            <w:t xml:space="preserve">11.2 Administrator Track</w:t>
          </w:r>
          <w:r>
            <w:tab/>
          </w:r>
          <w:r>
            <w:t xml:space="preserve">104</w:t>
          </w:r>
        </w:p>
        <w:p>
          <w:pPr>
            <w:pStyle w:val="TOC2"/>
            <w:tabs>
              <w:tab w:val="right" w:leader="dot" w:pos="9072"/>
            </w:tabs>
          </w:pPr>
          <w:r>
            <w:t xml:space="preserve">11.3 Developer / Integration Track</w:t>
          </w:r>
          <w:r>
            <w:tab/>
          </w:r>
          <w:r>
            <w:t xml:space="preserve">105</w:t>
          </w:r>
        </w:p>
        <w:p>
          <w:pPr>
            <w:pStyle w:val="TOC2"/>
            <w:tabs>
              <w:tab w:val="right" w:leader="dot" w:pos="9072"/>
            </w:tabs>
          </w:pPr>
          <w:r>
            <w:t xml:space="preserve">11.4 End-User / Operations Track</w:t>
          </w:r>
          <w:r>
            <w:tab/>
          </w:r>
          <w:r>
            <w:t xml:space="preserve">106</w:t>
          </w:r>
        </w:p>
        <w:p>
          <w:pPr>
            <w:pStyle w:val="TOC2"/>
            <w:tabs>
              <w:tab w:val="right" w:leader="dot" w:pos="9072"/>
            </w:tabs>
          </w:pPr>
          <w:r>
            <w:t xml:space="preserve">11.5 Knowledge Transfer Method</w:t>
          </w:r>
          <w:r>
            <w:tab/>
          </w:r>
          <w:r>
            <w:t xml:space="preserve">107</w:t>
          </w:r>
        </w:p>
        <w:p>
          <w:pPr>
            <w:pStyle w:val="TOC1"/>
            <w:tabs>
              <w:tab w:val="right" w:leader="dot" w:pos="9072"/>
            </w:tabs>
          </w:pPr>
          <w:r>
            <w:t xml:space="preserve">12. Support &amp; SLA</w:t>
          </w:r>
          <w:r>
            <w:tab/>
          </w:r>
          <w:r>
            <w:t xml:space="preserve">108</w:t>
          </w:r>
        </w:p>
        <w:p>
          <w:pPr>
            <w:pStyle w:val="TOC2"/>
            <w:tabs>
              <w:tab w:val="right" w:leader="dot" w:pos="9072"/>
            </w:tabs>
          </w:pPr>
          <w:r>
            <w:t xml:space="preserve">12.1 Support Model Overview</w:t>
          </w:r>
          <w:r>
            <w:tab/>
          </w:r>
          <w:r>
            <w:t xml:space="preserve">109</w:t>
          </w:r>
        </w:p>
        <w:p>
          <w:pPr>
            <w:pStyle w:val="TOC2"/>
            <w:tabs>
              <w:tab w:val="right" w:leader="dot" w:pos="9072"/>
            </w:tabs>
          </w:pPr>
          <w:r>
            <w:t xml:space="preserve">12.2 Support Tiers</w:t>
          </w:r>
          <w:r>
            <w:tab/>
          </w:r>
          <w:r>
            <w:t xml:space="preserve">110</w:t>
          </w:r>
        </w:p>
        <w:p>
          <w:pPr>
            <w:pStyle w:val="TOC2"/>
            <w:tabs>
              <w:tab w:val="right" w:leader="dot" w:pos="9072"/>
            </w:tabs>
          </w:pPr>
          <w:r>
            <w:t xml:space="preserve">12.3 Severity and Response Matrix</w:t>
          </w:r>
          <w:r>
            <w:tab/>
          </w:r>
          <w:r>
            <w:t xml:space="preserve">111</w:t>
          </w:r>
        </w:p>
        <w:p>
          <w:pPr>
            <w:pStyle w:val="TOC2"/>
            <w:tabs>
              <w:tab w:val="right" w:leader="dot" w:pos="9072"/>
            </w:tabs>
          </w:pPr>
          <w:r>
            <w:t xml:space="preserve">12.4 Escalation and Incident Management</w:t>
          </w:r>
          <w:r>
            <w:tab/>
          </w:r>
          <w:r>
            <w:t xml:space="preserve">112</w:t>
          </w:r>
        </w:p>
        <w:p>
          <w:pPr>
            <w:pStyle w:val="TOC2"/>
            <w:tabs>
              <w:tab w:val="right" w:leader="dot" w:pos="9072"/>
            </w:tabs>
          </w:pPr>
          <w:r>
            <w:t xml:space="preserve">12.5 Maintenance and Update Policy</w:t>
          </w:r>
          <w:r>
            <w:tab/>
          </w:r>
          <w:r>
            <w:t xml:space="preserve">113</w:t>
          </w:r>
        </w:p>
        <w:p>
          <w:pPr>
            <w:pStyle w:val="TOC2"/>
            <w:tabs>
              <w:tab w:val="right" w:leader="dot" w:pos="9072"/>
            </w:tabs>
          </w:pPr>
          <w:r>
            <w:t xml:space="preserve">12.6 Service Reporting</w:t>
          </w:r>
          <w:r>
            <w:tab/>
          </w:r>
          <w:r>
            <w:t xml:space="preserve">114</w:t>
          </w:r>
        </w:p>
        <w:p>
          <w:pPr>
            <w:pStyle w:val="TOC1"/>
            <w:tabs>
              <w:tab w:val="right" w:leader="dot" w:pos="9072"/>
            </w:tabs>
          </w:pPr>
          <w:r>
            <w:t xml:space="preserve">13. Risk Management</w:t>
          </w:r>
          <w:r>
            <w:tab/>
          </w:r>
          <w:r>
            <w:t xml:space="preserve">115</w:t>
          </w:r>
        </w:p>
        <w:p>
          <w:pPr>
            <w:pStyle w:val="TOC2"/>
            <w:tabs>
              <w:tab w:val="right" w:leader="dot" w:pos="9072"/>
            </w:tabs>
          </w:pPr>
          <w:r>
            <w:t xml:space="preserve">13.1 Risk Management Approach</w:t>
          </w:r>
          <w:r>
            <w:tab/>
          </w:r>
          <w:r>
            <w:t xml:space="preserve">116</w:t>
          </w:r>
        </w:p>
        <w:p>
          <w:pPr>
            <w:pStyle w:val="TOC2"/>
            <w:tabs>
              <w:tab w:val="right" w:leader="dot" w:pos="9072"/>
            </w:tabs>
          </w:pPr>
          <w:r>
            <w:t xml:space="preserve">13.2 Risk Register</w:t>
          </w:r>
          <w:r>
            <w:tab/>
          </w:r>
          <w:r>
            <w:t xml:space="preserve">117</w:t>
          </w:r>
        </w:p>
        <w:p>
          <w:pPr>
            <w:pStyle w:val="TOC2"/>
            <w:tabs>
              <w:tab w:val="right" w:leader="dot" w:pos="9072"/>
            </w:tabs>
          </w:pPr>
          <w:r>
            <w:t xml:space="preserve">13.3 Governance of Risks</w:t>
          </w:r>
          <w:r>
            <w:tab/>
          </w:r>
          <w:r>
            <w:t xml:space="preserve">118</w:t>
          </w:r>
        </w:p>
        <w:p>
          <w:pPr>
            <w:pStyle w:val="TOC1"/>
            <w:tabs>
              <w:tab w:val="right" w:leader="dot" w:pos="9072"/>
            </w:tabs>
          </w:pPr>
          <w:r>
            <w:t xml:space="preserve">14. Compliance Matrix</w:t>
          </w:r>
          <w:r>
            <w:tab/>
          </w:r>
          <w:r>
            <w:t xml:space="preserve">119</w:t>
          </w:r>
        </w:p>
        <w:p>
          <w:pPr>
            <w:pStyle w:val="TOC2"/>
            <w:tabs>
              <w:tab w:val="right" w:leader="dot" w:pos="9072"/>
            </w:tabs>
          </w:pPr>
          <w:r>
            <w:t xml:space="preserve">14.1 Usage Instructions</w:t>
          </w:r>
          <w:r>
            <w:tab/>
          </w:r>
          <w:r>
            <w:t xml:space="preserve">120</w:t>
          </w:r>
        </w:p>
        <w:p>
          <w:pPr>
            <w:pStyle w:val="TOC2"/>
            <w:tabs>
              <w:tab w:val="right" w:leader="dot" w:pos="9072"/>
            </w:tabs>
          </w:pPr>
          <w:r>
            <w:t xml:space="preserve">14.2 Detailed Matrix</w:t>
          </w:r>
          <w:r>
            <w:tab/>
          </w:r>
          <w:r>
            <w:t xml:space="preserve">121</w:t>
          </w:r>
        </w:p>
        <w:p>
          <w:pPr>
            <w:pStyle w:val="TOC2"/>
            <w:tabs>
              <w:tab w:val="right" w:leader="dot" w:pos="9072"/>
            </w:tabs>
          </w:pPr>
          <w:r>
            <w:t xml:space="preserve">Additional Technical Diagrams</w:t>
          </w:r>
          <w:r>
            <w:tab/>
          </w:r>
          <w:r>
            <w:t xml:space="preserve">122</w:t>
          </w:r>
        </w:p>
        <w:p>
          <w:pPr>
            <w:pStyle w:val="TOC3"/>
            <w:tabs>
              <w:tab w:val="right" w:leader="dot" w:pos="9072"/>
            </w:tabs>
          </w:pPr>
          <w:r>
            <w:t xml:space="preserve">Transaction Processing Flow</w:t>
          </w:r>
          <w:r>
            <w:tab/>
          </w:r>
          <w:r>
            <w:t xml:space="preserve">123</w:t>
          </w:r>
        </w:p>
        <w:p>
          <w:pPr>
            <w:pStyle w:val="TOC3"/>
            <w:tabs>
              <w:tab w:val="right" w:leader="dot" w:pos="9072"/>
            </w:tabs>
          </w:pPr>
          <w:r>
            <w:t xml:space="preserve">Integration Architecture</w:t>
          </w:r>
          <w:r>
            <w:tab/>
          </w:r>
          <w:r>
            <w:t xml:space="preserve">124</w:t>
          </w:r>
        </w:p>
        <w:p>
          <w:pPr>
            <w:pStyle w:val="TOC3"/>
            <w:tabs>
              <w:tab w:val="right" w:leader="dot" w:pos="9072"/>
            </w:tabs>
          </w:pPr>
          <w:r>
            <w:t xml:space="preserve">Deployment Topology</w:t>
          </w:r>
          <w:r>
            <w:tab/>
          </w:r>
          <w:r>
            <w:t xml:space="preserve">125</w:t>
          </w:r>
        </w:p>
        <w:p>
          <w:pPr>
            <w:pStyle w:val="TOC3"/>
            <w:tabs>
              <w:tab w:val="right" w:leader="dot" w:pos="9072"/>
            </w:tabs>
          </w:pPr>
          <w:r>
            <w:t xml:space="preserve">Security Architecture</w:t>
          </w:r>
          <w:r>
            <w:tab/>
          </w:r>
          <w:r>
            <w:t xml:space="preserve">126</w:t>
          </w:r>
        </w:p>
        <w:p>
          <w:pPr>
            <w:pStyle w:val="TOC3"/>
            <w:tabs>
              <w:tab w:val="right" w:leader="dot" w:pos="9072"/>
            </w:tabs>
          </w:pPr>
          <w:r>
            <w:t xml:space="preserve">Support Escalation Process</w:t>
          </w:r>
          <w:r>
            <w:tab/>
          </w:r>
          <w:r>
            <w:t xml:space="preserve">127</w:t>
          </w:r>
        </w:p>
        <w:p>
          <w:pPr>
            <w:pStyle w:val="TOC3"/>
            <w:tabs>
              <w:tab w:val="right" w:leader="dot" w:pos="9072"/>
            </w:tabs>
          </w:pPr>
          <w:r>
            <w:t xml:space="preserve">Implementation Timeline</w:t>
          </w:r>
          <w:r>
            <w:tab/>
          </w:r>
          <w:r>
            <w:t xml:space="preserve">128</w:t>
          </w:r>
        </w:p>
        <w:p>
          <w:pPr>
            <w:pStyle w:val="TOC3"/>
            <w:tabs>
              <w:tab w:val="right" w:leader="dot" w:pos="9072"/>
            </w:tabs>
          </w:pPr>
          <w:r>
            <w:t xml:space="preserve">Data Flow Architecture</w:t>
          </w:r>
          <w:r>
            <w:tab/>
          </w:r>
          <w:r>
            <w:t xml:space="preserve">129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Reference:</w:t>
      </w:r>
      <w:r>
        <w:rPr>
          <w:rFonts w:ascii="Figtree" w:hAnsi="Figtree"/>
          <w:b w:val="0"/>
          <w:i w:val="0"/>
          <w:sz w:val="22"/>
        </w:rPr>
        <w:t xml:space="preserve"> KFW-TECH-2026-001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Submission Date:</w:t>
      </w:r>
      <w:r>
        <w:rPr>
          <w:rFonts w:ascii="Figtree" w:hAnsi="Figtree"/>
          <w:b w:val="0"/>
          <w:i w:val="0"/>
          <w:sz w:val="22"/>
        </w:rPr>
        <w:t xml:space="preserve"> March 2026  </w:t>
      </w:r>
    </w:p>
    <w:p>
      <w:r>
        <w:rPr>
          <w:rFonts w:ascii="Figtree" w:hAnsi="Figtree"/>
          <w:b/>
          <w:i w:val="0"/>
          <w:sz w:val="22"/>
        </w:rPr>
        <w:t>Classification:</w:t>
      </w:r>
      <w:r>
        <w:rPr>
          <w:rFonts w:ascii="Figtree" w:hAnsi="Figtree"/>
          <w:b w:val="0"/>
          <w:i w:val="0"/>
          <w:sz w:val="22"/>
        </w:rPr>
        <w:t xml:space="preserve"> Confidential  </w:t>
      </w:r>
    </w:p>
    <w:p>
      <w:r>
        <w:rPr>
          <w:rFonts w:ascii="Figtree" w:hAnsi="Figtree"/>
          <w:b/>
          <w:i w:val="0"/>
          <w:sz w:val="22"/>
        </w:rPr>
        <w:t>Prepared for:</w:t>
      </w:r>
      <w:r>
        <w:rPr>
          <w:rFonts w:ascii="Figtree" w:hAnsi="Figtree"/>
          <w:b w:val="0"/>
          <w:i w:val="0"/>
          <w:sz w:val="22"/>
        </w:rPr>
        <w:t xml:space="preserve"> KfW Digital Assets Procurement Team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&amp;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&amp;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KfW is undertaking this procurement to establish a controlled, production-grade platform for digital development bonds aligned to its development finance mandate and public-sector auditability requirements. The institution operates with a conservative risk appetite and demands high transparency across all operations. This procurement seeks a solution that supports regulated business growth while preserving strong governance, operational resilience, and clear accountability across front-office, operations, risk, compliance, information security, architecture, and procurement stakeholders.</w:t>
      </w:r>
    </w:p>
    <w:p>
      <w:r>
        <w:rPr>
          <w:rFonts w:ascii="Figtree" w:hAnsi="Figtree"/>
          <w:b w:val="0"/>
          <w:i w:val="0"/>
          <w:sz w:val="22"/>
        </w:rPr>
        <w:t>The strategic drivers for this procurement reflect KfW's position as a leading development finance institution:</w:t>
      </w:r>
    </w:p>
    <w:p>
      <w:pPr>
        <w:pStyle w:val="ListParagraph"/>
        <w:numPr>
          <w:ilvl w:val="0"/>
          <w:numId w:val="4"/>
        </w:numPr>
      </w:pPr>
      <w:r>
        <w:rPr>
          <w:rFonts w:ascii="Figtree" w:hAnsi="Figtree"/>
          <w:b/>
          <w:i w:val="0"/>
          <w:sz w:val="22"/>
        </w:rPr>
        <w:t>Digital transformation of development bonds</w:t>
      </w:r>
      <w:r>
        <w:rPr>
          <w:rFonts w:ascii="Figtree" w:hAnsi="Figtree"/>
          <w:b w:val="0"/>
          <w:i w:val="0"/>
          <w:sz w:val="22"/>
        </w:rPr>
        <w:t>: Supporting digitally native development bond issuance with strong public-sector governance and transparency mechanisms that meet German and EU regulatory standards.</w:t>
      </w:r>
    </w:p>
    <w:p>
      <w:pPr>
        <w:pStyle w:val="ListParagraph"/>
        <w:numPr>
          <w:ilvl w:val="0"/>
          <w:numId w:val="4"/>
        </w:numPr>
      </w:pPr>
      <w:r>
        <w:rPr>
          <w:rFonts w:ascii="Figtree" w:hAnsi="Figtree"/>
          <w:b/>
          <w:i w:val="0"/>
          <w:sz w:val="22"/>
        </w:rPr>
        <w:t>Reporting integrity</w:t>
      </w:r>
      <w:r>
        <w:rPr>
          <w:rFonts w:ascii="Figtree" w:hAnsi="Figtree"/>
          <w:b w:val="0"/>
          <w:i w:val="0"/>
          <w:sz w:val="22"/>
        </w:rPr>
        <w:t>: Improving reporting integrity for funded programmes and investor disclosures through immutable audit trails and real-time visibility.</w:t>
      </w:r>
    </w:p>
    <w:p>
      <w:pPr>
        <w:pStyle w:val="ListParagraph"/>
        <w:numPr>
          <w:ilvl w:val="0"/>
          <w:numId w:val="4"/>
        </w:numPr>
      </w:pPr>
      <w:r>
        <w:rPr>
          <w:rFonts w:ascii="Figtree" w:hAnsi="Figtree"/>
          <w:b/>
          <w:i w:val="0"/>
          <w:sz w:val="22"/>
        </w:rPr>
        <w:t>Infrastructure tokenization evaluation</w:t>
      </w:r>
      <w:r>
        <w:rPr>
          <w:rFonts w:ascii="Figtree" w:hAnsi="Figtree"/>
          <w:b w:val="0"/>
          <w:i w:val="0"/>
          <w:sz w:val="22"/>
        </w:rPr>
        <w:t>: Evaluating infrastructure tokenization patterns that could support future development finance structures across multiple jurisdictions.</w:t>
      </w:r>
    </w:p>
    <w:p>
      <w:r>
        <w:rPr>
          <w:rFonts w:ascii="Figtree" w:hAnsi="Figtree"/>
          <w:b w:val="0"/>
          <w:i w:val="0"/>
          <w:sz w:val="22"/>
        </w:rPr>
        <w:t>KfW has been a flagship issuer in digitally native and blockchain-based bond experimentation in Germany, working with Deutsche Börse / Clearstream ecosystem components and Bundesbank trigger-solution style settlement experiments. This proposal addresses the specific requirements of a conservative, public-interest-driven institution heavily focused on legal certainty, transparency, sovereign-grade issuance controls, and reproducible post-trade reporting.</w:t>
      </w:r>
    </w:p>
    <w:p>
      <w:pPr>
        <w:pStyle w:val="H2"/>
        <w:numPr>
          <w:ilvl w:val="1"/>
          <w:numId w:val="1"/>
        </w:numPr>
      </w:pPr>
      <w:r>
        <w:t>1.2 Why This Programme Is Hard</w:t>
      </w:r>
    </w:p>
    <w:p>
      <w:r>
        <w:rPr>
          <w:rFonts w:ascii="Figtree" w:hAnsi="Figtree"/>
          <w:b w:val="0"/>
          <w:i w:val="0"/>
          <w:sz w:val="22"/>
        </w:rPr>
        <w:t>The deployment of a digital development bonds platform presents significant challenges that distinguish it from conventional technology implementations:</w:t>
      </w:r>
    </w:p>
    <w:p>
      <w:pPr>
        <w:pStyle w:val="H3"/>
        <w:numPr>
          <w:ilvl w:val="2"/>
          <w:numId w:val="1"/>
        </w:numPr>
      </w:pPr>
      <w:r>
        <w:t>Lifecycle Complexity</w:t>
      </w:r>
    </w:p>
    <w:p>
      <w:r>
        <w:rPr>
          <w:rFonts w:ascii="Figtree" w:hAnsi="Figtree"/>
          <w:b w:val="0"/>
          <w:i w:val="0"/>
          <w:sz w:val="22"/>
        </w:rPr>
        <w:t>Digital development bonds require end-to-end lifecycle management spanning origination, onboarding, issuance, servicing, transfer, redemption, and archival record retention. Each stage involves multiple stakeholders, approval workflows, and regulatory compliance checks. The platform must support the complete journey from bond design through maturity, including corporate actions, coupon payments, and final redemption — all with full auditability.</w:t>
      </w:r>
    </w:p>
    <w:p>
      <w:pPr>
        <w:pStyle w:val="H3"/>
        <w:numPr>
          <w:ilvl w:val="2"/>
          <w:numId w:val="1"/>
        </w:numPr>
      </w:pPr>
      <w:r>
        <w:t>Governance and Compliance Burden</w:t>
      </w:r>
    </w:p>
    <w:p>
      <w:r>
        <w:rPr>
          <w:rFonts w:ascii="Figtree" w:hAnsi="Figtree"/>
          <w:b w:val="0"/>
          <w:i w:val="0"/>
          <w:sz w:val="22"/>
        </w:rPr>
        <w:t>As a German public-sector development bank, KfW operates under stringent regulatory requirements including MiCA, MiFID II, German eWpG, public procurement and public-sector audit requirements, DORA, GDPR, and BaFin guidance. The solution must demonstrate clear control evidence, regulatory alignment, and the ability to generate supervisor-ready reporting without requiring extensive manual intervention.</w:t>
      </w:r>
    </w:p>
    <w:p>
      <w:pPr>
        <w:pStyle w:val="H3"/>
        <w:numPr>
          <w:ilvl w:val="2"/>
          <w:numId w:val="1"/>
        </w:numPr>
      </w:pPr>
      <w:r>
        <w:t>Operationalization Gap</w:t>
      </w:r>
    </w:p>
    <w:p>
      <w:r>
        <w:rPr>
          <w:rFonts w:ascii="Figtree" w:hAnsi="Figtree"/>
          <w:b w:val="0"/>
          <w:i w:val="0"/>
          <w:sz w:val="22"/>
        </w:rPr>
        <w:t>Many digital asset platforms demonstrate compelling pilot functionality but fail to transition to production-ready operation. The gap between proof-of-concept and sustainable production involves addressing operational monitoring, exception handling, reconciliation processes, disaster recovery, and support models that meet institutional standards. This proposal addresses the complete operationalization requirement, not merely the functional capability.</w:t>
      </w:r>
    </w:p>
    <w:p>
      <w:pPr>
        <w:pStyle w:val="H3"/>
        <w:numPr>
          <w:ilvl w:val="2"/>
          <w:numId w:val="1"/>
        </w:numPr>
      </w:pPr>
      <w:r>
        <w:t>Integration Burden</w:t>
      </w:r>
    </w:p>
    <w:p>
      <w:r>
        <w:rPr>
          <w:rFonts w:ascii="Figtree" w:hAnsi="Figtree"/>
          <w:b w:val="0"/>
          <w:i w:val="0"/>
          <w:sz w:val="22"/>
        </w:rPr>
        <w:t>The platform must integrate with existing institutional infrastructure including bond issuance and paying-agent processes, treasury systems, investor communications, settlement and CSD connectivity, accounting, reporting, and public-sector governance workflows. The digital asset layer cannot become a sidecar disconnected from existing books and records, operations controls, or regulator-facing reporting.</w:t>
      </w:r>
    </w:p>
    <w:p>
      <w:pPr>
        <w:pStyle w:val="H2"/>
        <w:numPr>
          <w:ilvl w:val="1"/>
          <w:numId w:val="1"/>
        </w:numPr>
      </w:pPr>
      <w:r>
        <w:t>1.3 Proposed Response</w:t>
      </w:r>
    </w:p>
    <w:p>
      <w:r>
        <w:rPr>
          <w:rFonts w:ascii="Figtree" w:hAnsi="Figtree"/>
          <w:b w:val="0"/>
          <w:i w:val="0"/>
          <w:sz w:val="22"/>
        </w:rPr>
        <w:t>SettleMint proposes the deployment of DALP (Digital Asset Lifecycle Platform) configured specifically for KfW's digital development bonds requirements. Our response addresses the complete scope defined in the RFP.</w:t>
      </w:r>
    </w:p>
    <w:p>
      <w:pPr>
        <w:pStyle w:val="H3"/>
        <w:numPr>
          <w:ilvl w:val="2"/>
          <w:numId w:val="1"/>
        </w:numPr>
      </w:pPr>
      <w:r>
        <w:t>Deployment Model</w:t>
      </w:r>
    </w:p>
    <w:p>
      <w:r>
        <w:rPr>
          <w:rFonts w:ascii="Figtree" w:hAnsi="Figtree"/>
          <w:b w:val="0"/>
          <w:i w:val="0"/>
          <w:sz w:val="22"/>
        </w:rPr>
        <w:t xml:space="preserve">We recommend a </w:t>
      </w:r>
      <w:r>
        <w:rPr>
          <w:rFonts w:ascii="Figtree" w:hAnsi="Figtree"/>
          <w:b/>
          <w:i w:val="0"/>
          <w:sz w:val="22"/>
        </w:rPr>
        <w:t>Private Cloud / Dedicated Deployment</w:t>
      </w:r>
      <w:r>
        <w:rPr>
          <w:rFonts w:ascii="Figtree" w:hAnsi="Figtree"/>
          <w:b w:val="0"/>
          <w:i w:val="0"/>
          <w:sz w:val="22"/>
        </w:rPr>
        <w:t xml:space="preserve"> model for KfW, hosted within German data centres to ensure full data residency compliance and alignment with BaFin outsourcing requirements. This deployment model provides complete logical isolation from other tenants, data residency in Germany/EU, direct connectivity to KfW's existing infrastructure, and full operational control while retaining platform capabilities.</w:t>
      </w:r>
    </w:p>
    <w:p>
      <w:pPr>
        <w:pStyle w:val="H3"/>
        <w:numPr>
          <w:ilvl w:val="2"/>
          <w:numId w:val="1"/>
        </w:numPr>
      </w:pPr>
      <w:r>
        <w:t>Target Asset Scope</w:t>
      </w:r>
    </w:p>
    <w:p>
      <w:r>
        <w:rPr>
          <w:rFonts w:ascii="Figtree" w:hAnsi="Figtree"/>
          <w:b w:val="0"/>
          <w:i w:val="0"/>
          <w:sz w:val="22"/>
        </w:rPr>
        <w:t>The initial deployment will support bond tokenization with automated coupon schedules, maturity handling, and redemption mechanics; fixed-income instruments configuration for various bond structures; and expansion readiness through architecture supporting future extension to additional asset classes.</w:t>
      </w:r>
    </w:p>
    <w:p>
      <w:pPr>
        <w:pStyle w:val="H3"/>
        <w:numPr>
          <w:ilvl w:val="2"/>
          <w:numId w:val="1"/>
        </w:numPr>
      </w:pPr>
      <w:r>
        <w:t>Compliance Approach</w:t>
      </w:r>
    </w:p>
    <w:p>
      <w:r>
        <w:rPr>
          <w:rFonts w:ascii="Figtree" w:hAnsi="Figtree"/>
          <w:b w:val="0"/>
          <w:i w:val="0"/>
          <w:sz w:val="22"/>
        </w:rPr>
        <w:t>DALP provides ex-ante compliance enforcement through its modular compliance engine built on ERC-3643 (T-REX) standards. Every transfer passes through configurable compliance modules before execution, ensuring regulatory requirements are enforced at the point of transaction rather than reviewed retrospectively.</w:t>
      </w:r>
    </w:p>
    <w:p>
      <w:pPr>
        <w:pStyle w:val="H3"/>
        <w:numPr>
          <w:ilvl w:val="2"/>
          <w:numId w:val="1"/>
        </w:numPr>
      </w:pPr>
      <w:r>
        <w:t>Custody Model</w:t>
      </w:r>
    </w:p>
    <w:p>
      <w:r>
        <w:rPr>
          <w:rFonts w:ascii="Figtree" w:hAnsi="Figtree"/>
          <w:b w:val="0"/>
          <w:i w:val="0"/>
          <w:sz w:val="22"/>
        </w:rPr>
        <w:t>The platform supports KfW's preferred custody arrangements through its custody orchestration layer. DALP integrates with institutional custody providers including Fireblocks and DFNS, enabling KfW to leverage existing custodian relationships while maintaining unified operational control.</w:t>
      </w:r>
    </w:p>
    <w:p>
      <w:pPr>
        <w:pStyle w:val="H3"/>
        <w:numPr>
          <w:ilvl w:val="2"/>
          <w:numId w:val="1"/>
        </w:numPr>
      </w:pPr>
      <w:r>
        <w:t>Integration Perimeter</w:t>
      </w:r>
    </w:p>
    <w:p>
      <w:r>
        <w:rPr>
          <w:rFonts w:ascii="Figtree" w:hAnsi="Figtree"/>
          <w:b w:val="0"/>
          <w:i w:val="0"/>
          <w:sz w:val="22"/>
        </w:rPr>
        <w:t>The platform provides comprehensive API coverage for integration with core banking and treasury management systems, custody and depository connections, payment rails, regulatory reporting systems, investor onboarding platforms, and financial accounting systems.</w:t>
      </w:r>
    </w:p>
    <w:p>
      <w:pPr>
        <w:pStyle w:val="H3"/>
        <w:numPr>
          <w:ilvl w:val="2"/>
          <w:numId w:val="1"/>
        </w:numPr>
      </w:pPr>
      <w:r>
        <w:t>Phased Delivery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797"/>
        <w:gridCol w:w="56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r>
      <w:tr>
        <w:trPr>
          <w:trHeight w:val="425" w:hRule="atLeast"/>
        </w:trPr>
        <w:tc>
          <w:tcPr>
            <w:tcW w:type="dxa" w:w="3249"/>
            <w:vAlign w:val="center"/>
          </w:tcPr>
          <w:p>
            <w:pPr>
              <w:spacing w:line="276" w:lineRule="auto" w:before="0" w:after="0"/>
            </w:pPr>
            <w:r/>
            <w:r>
              <w:rPr>
                <w:rFonts w:ascii="Figtree" w:hAnsi="Figtree"/>
                <w:b w:val="0"/>
                <w:i w:val="0"/>
                <w:sz w:val="20"/>
              </w:rPr>
              <w:t>Discovery &amp; Requirements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Scope definition, control mapping, integration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 &amp; Setup</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Environment provisioning, platform deployment, identity setup</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&amp; Compliance</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Asset configuration, compliance modules, workflow design</w:t>
            </w:r>
          </w:p>
        </w:tc>
      </w:tr>
      <w:tr>
        <w:trPr>
          <w:trHeight w:val="425" w:hRule="atLeast"/>
        </w:trPr>
        <w:tc>
          <w:tcPr>
            <w:tcW w:type="dxa" w:w="3249"/>
            <w:vAlign w:val="center"/>
          </w:tcPr>
          <w:p>
            <w:pPr>
              <w:spacing w:line="276" w:lineRule="auto" w:before="0" w:after="0"/>
            </w:pPr>
            <w:r/>
            <w:r>
              <w:rPr>
                <w:rFonts w:ascii="Figtree" w:hAnsi="Figtree"/>
                <w:b w:val="0"/>
                <w:i w:val="0"/>
                <w:sz w:val="20"/>
              </w:rPr>
              <w:t>Integration &amp; Testing</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System integration, testing, user acceptance</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Cutover, smoke tests, production validation</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Production support, optimization, knowledge transfer</w:t>
            </w:r>
          </w:p>
        </w:tc>
      </w:tr>
    </w:tbl>
    <w:p>
      <w:pPr>
        <w:spacing w:before="0" w:after="0" w:line="120" w:lineRule="exact"/>
      </w:pPr>
    </w:p>
    <w:p>
      <w:r>
        <w:rPr>
          <w:rFonts w:ascii="Figtree" w:hAnsi="Figtree"/>
          <w:b/>
          <w:i w:val="0"/>
          <w:sz w:val="22"/>
        </w:rPr>
        <w:t>Total estimated timeline: 32 weeks</w:t>
      </w:r>
    </w:p>
    <w:p>
      <w:pPr>
        <w:pStyle w:val="H2"/>
        <w:numPr>
          <w:ilvl w:val="1"/>
          <w:numId w:val="1"/>
        </w:numPr>
      </w:pPr>
      <w:r>
        <w:t>1.4 Why SettleMint</w:t>
      </w:r>
    </w:p>
    <w:p>
      <w:r>
        <w:rPr>
          <w:rFonts w:ascii="Figtree" w:hAnsi="Figtree"/>
          <w:b w:val="0"/>
          <w:i w:val="0"/>
          <w:sz w:val="22"/>
        </w:rPr>
        <w:t>SettleMint brings unique credentials relevant to KfW's requirements including market tenure since 2017, production record with active deployments at regulated institutions across Europe and Asia, regulated delivery experience with BaFin, FCA, MAS engagement, and relevant reference implementations including Commerzbank in Germany.</w:t>
      </w:r>
    </w:p>
    <w:p>
      <w:pPr>
        <w:pStyle w:val="H2"/>
        <w:numPr>
          <w:ilvl w:val="1"/>
          <w:numId w:val="1"/>
        </w:numPr>
      </w:pPr>
      <w:r>
        <w:t>1.5 Why DALP</w:t>
      </w:r>
    </w:p>
    <w:p>
      <w:r>
        <w:rPr>
          <w:rFonts w:ascii="Figtree" w:hAnsi="Figtree"/>
          <w:b w:val="0"/>
          <w:i w:val="0"/>
          <w:sz w:val="22"/>
        </w:rPr>
        <w:t>DALP provides the comprehensive platform capability that KfW requires through platform breadth covering the complete digital asset lifecycle, lifecycle model treating assets as continuous process under unified governance, control plane positioning between core financial systems and blockchain networks, and interoperability designed for institutional integration.</w:t>
      </w:r>
    </w:p>
    <w:p>
      <w:pPr>
        <w:pStyle w:val="H2"/>
        <w:numPr>
          <w:ilvl w:val="1"/>
          <w:numId w:val="1"/>
        </w:numPr>
      </w:pPr>
      <w:r>
        <w:t>1.6 Reference Fit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3"/>
        <w:gridCol w:w="63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Relevance to KfW</w:t>
            </w:r>
          </w:p>
        </w:tc>
      </w:tr>
      <w:tr>
        <w:trPr>
          <w:trHeight w:val="425" w:hRule="atLeast"/>
        </w:trPr>
        <w:tc>
          <w:tcPr>
            <w:tcW w:type="dxa" w:w="4873"/>
            <w:vAlign w:val="center"/>
          </w:tcPr>
          <w:p>
            <w:pPr>
              <w:spacing w:line="276" w:lineRule="auto" w:before="0" w:after="0"/>
            </w:pPr>
            <w:r/>
            <w:r>
              <w:rPr>
                <w:rFonts w:ascii="Figtree" w:hAnsi="Figtree"/>
                <w:b/>
                <w:i w:val="0"/>
                <w:sz w:val="20"/>
              </w:rPr>
              <w:t>Commerzbank</w:t>
            </w:r>
          </w:p>
        </w:tc>
        <w:tc>
          <w:tcPr>
            <w:tcW w:type="dxa" w:w="4873"/>
            <w:vAlign w:val="center"/>
          </w:tcPr>
          <w:p>
            <w:pPr>
              <w:spacing w:line="276" w:lineRule="auto" w:before="0" w:after="0"/>
            </w:pPr>
            <w:r/>
            <w:r>
              <w:rPr>
                <w:rFonts w:ascii="Figtree" w:hAnsi="Figtree"/>
                <w:b w:val="0"/>
                <w:i w:val="0"/>
                <w:sz w:val="20"/>
              </w:rPr>
              <w:t>German bank, ETP/bond tokenization, production deployment with Boerse Stuttgart</w:t>
            </w:r>
          </w:p>
        </w:tc>
      </w:tr>
      <w:tr>
        <w:trPr>
          <w:trHeight w:val="425" w:hRule="atLeast"/>
        </w:trPr>
        <w:tc>
          <w:tcPr>
            <w:tcW w:type="dxa" w:w="4873"/>
            <w:vAlign w:val="center"/>
          </w:tcPr>
          <w:p>
            <w:pPr>
              <w:spacing w:line="276" w:lineRule="auto" w:before="0" w:after="0"/>
            </w:pPr>
            <w:r/>
            <w:r>
              <w:rPr>
                <w:rFonts w:ascii="Figtree" w:hAnsi="Figtree"/>
                <w:b/>
                <w:i w:val="0"/>
                <w:sz w:val="20"/>
              </w:rPr>
              <w:t>Standard Chartered Bank</w:t>
            </w:r>
          </w:p>
        </w:tc>
        <w:tc>
          <w:tcPr>
            <w:tcW w:type="dxa" w:w="4873"/>
            <w:vAlign w:val="center"/>
          </w:tcPr>
          <w:p>
            <w:pPr>
              <w:spacing w:line="276" w:lineRule="auto" w:before="0" w:after="0"/>
            </w:pPr>
            <w:r/>
            <w:r>
              <w:rPr>
                <w:rFonts w:ascii="Figtree" w:hAnsi="Figtree"/>
                <w:b w:val="0"/>
                <w:i w:val="0"/>
                <w:sz w:val="20"/>
              </w:rPr>
              <w:t>Institutional trading, digital asset exchange, custody integration</w:t>
            </w:r>
          </w:p>
        </w:tc>
      </w:tr>
      <w:tr>
        <w:trPr>
          <w:trHeight w:val="425" w:hRule="atLeast"/>
        </w:trPr>
        <w:tc>
          <w:tcPr>
            <w:tcW w:type="dxa" w:w="4873"/>
            <w:vAlign w:val="center"/>
          </w:tcPr>
          <w:p>
            <w:pPr>
              <w:spacing w:line="276" w:lineRule="auto" w:before="0" w:after="0"/>
            </w:pPr>
            <w:r/>
            <w:r>
              <w:rPr>
                <w:rFonts w:ascii="Figtree" w:hAnsi="Figtree"/>
                <w:b/>
                <w:i w:val="0"/>
                <w:sz w:val="20"/>
              </w:rPr>
              <w:t>Sony Bank (Japan)</w:t>
            </w:r>
          </w:p>
        </w:tc>
        <w:tc>
          <w:tcPr>
            <w:tcW w:type="dxa" w:w="4873"/>
            <w:vAlign w:val="center"/>
          </w:tcPr>
          <w:p>
            <w:pPr>
              <w:spacing w:line="276" w:lineRule="auto" w:before="0" w:after="0"/>
            </w:pPr>
            <w:r/>
            <w:r>
              <w:rPr>
                <w:rFonts w:ascii="Figtree" w:hAnsi="Figtree"/>
                <w:b w:val="0"/>
                <w:i w:val="0"/>
                <w:sz w:val="20"/>
              </w:rPr>
              <w:t>Stablecoin issuance, regulatory alignment, production-ready positioning</w:t>
            </w:r>
          </w:p>
        </w:tc>
      </w:tr>
    </w:tbl>
    <w:p>
      <w:pPr>
        <w:spacing w:before="0" w:after="0" w:line="120" w:lineRule="exact"/>
      </w:pP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is a leading provider of enterprise-grade digital asset platform solutions, headquartered in Brussels, Belgium. Our mission is to enable financial institutions to design, launch, and operate tokenized assets with the same confidence they apply to traditional financial instruments. We focus exclusively on regulated financial institutions, sovereign entities, and market infrastructure providers.</w:t>
      </w:r>
    </w:p>
    <w:p>
      <w:pPr>
        <w:pStyle w:val="H2"/>
        <w:numPr>
          <w:ilvl w:val="1"/>
          <w:numId w:val="1"/>
        </w:numPr>
      </w:pPr>
      <w:r>
        <w:t>2.2 History and Market Position</w:t>
      </w:r>
    </w:p>
    <w:p>
      <w:r>
        <w:rPr>
          <w:rFonts w:ascii="Figtree" w:hAnsi="Figtree"/>
          <w:b w:val="0"/>
          <w:i w:val="0"/>
          <w:sz w:val="22"/>
        </w:rPr>
        <w:t>Founded in 2017, SettleMint has grown to become a recognized leader in the digital asset platform market. Key milestones include first production deployment at a regulated European bank in 2019, launch of DALP in 2021, expansion into Asian markets in 2022, ISO 27001 certification in 2023, strategic reference wins in 2024, and Mizuho Bank PoC completion in 2025.</w:t>
      </w:r>
    </w:p>
    <w:p>
      <w:pPr>
        <w:pStyle w:val="H2"/>
        <w:numPr>
          <w:ilvl w:val="1"/>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0"/>
        <w:gridCol w:w="64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ISO 27001</w:t>
            </w:r>
          </w:p>
        </w:tc>
        <w:tc>
          <w:tcPr>
            <w:tcW w:type="dxa" w:w="4873"/>
            <w:vAlign w:val="center"/>
          </w:tcPr>
          <w:p>
            <w:pPr>
              <w:spacing w:line="276" w:lineRule="auto" w:before="0" w:after="0"/>
            </w:pPr>
            <w:r/>
            <w:r>
              <w:rPr>
                <w:rFonts w:ascii="Figtree" w:hAnsi="Figtree"/>
                <w:b w:val="0"/>
                <w:i w:val="0"/>
                <w:sz w:val="20"/>
              </w:rPr>
              <w:t>Certified Information Security Management System</w:t>
            </w:r>
          </w:p>
        </w:tc>
      </w:tr>
      <w:tr>
        <w:trPr>
          <w:trHeight w:val="425" w:hRule="atLeast"/>
        </w:trPr>
        <w:tc>
          <w:tcPr>
            <w:tcW w:type="dxa" w:w="4873"/>
            <w:vAlign w:val="center"/>
          </w:tcPr>
          <w:p>
            <w:pPr>
              <w:spacing w:line="276" w:lineRule="auto" w:before="0" w:after="0"/>
            </w:pPr>
            <w:r/>
            <w:r>
              <w:rPr>
                <w:rFonts w:ascii="Figtree" w:hAnsi="Figtree"/>
                <w:b/>
                <w:i w:val="0"/>
                <w:sz w:val="20"/>
              </w:rPr>
              <w:t>SOC 2 Type II</w:t>
            </w:r>
          </w:p>
        </w:tc>
        <w:tc>
          <w:tcPr>
            <w:tcW w:type="dxa" w:w="4873"/>
            <w:vAlign w:val="center"/>
          </w:tcPr>
          <w:p>
            <w:pPr>
              <w:spacing w:line="276" w:lineRule="auto" w:before="0" w:after="0"/>
            </w:pPr>
            <w:r/>
            <w:r>
              <w:rPr>
                <w:rFonts w:ascii="Figtree" w:hAnsi="Figtree"/>
                <w:b w:val="0"/>
                <w:i w:val="0"/>
                <w:sz w:val="20"/>
              </w:rPr>
              <w:t>Security, availability, and confidentiality controls attested</w:t>
            </w:r>
          </w:p>
        </w:tc>
      </w:tr>
      <w:tr>
        <w:trPr>
          <w:trHeight w:val="425" w:hRule="atLeast"/>
        </w:trPr>
        <w:tc>
          <w:tcPr>
            <w:tcW w:type="dxa" w:w="4873"/>
            <w:vAlign w:val="center"/>
          </w:tcPr>
          <w:p>
            <w:pPr>
              <w:spacing w:line="276" w:lineRule="auto" w:before="0" w:after="0"/>
            </w:pPr>
            <w:r/>
            <w:r>
              <w:rPr>
                <w:rFonts w:ascii="Figtree" w:hAnsi="Figtree"/>
                <w:b/>
                <w:i w:val="0"/>
                <w:sz w:val="20"/>
              </w:rPr>
              <w:t>Regulatory Alignment</w:t>
            </w:r>
          </w:p>
        </w:tc>
        <w:tc>
          <w:tcPr>
            <w:tcW w:type="dxa" w:w="4873"/>
            <w:vAlign w:val="center"/>
          </w:tcPr>
          <w:p>
            <w:pPr>
              <w:spacing w:line="276" w:lineRule="auto" w:before="0" w:after="0"/>
            </w:pPr>
            <w:r/>
            <w:r>
              <w:rPr>
                <w:rFonts w:ascii="Figtree" w:hAnsi="Figtree"/>
                <w:b w:val="0"/>
                <w:i w:val="0"/>
                <w:sz w:val="20"/>
              </w:rPr>
              <w:t>Active engagement with BaFin, FCA, MAS, SEC, JFSA</w:t>
            </w:r>
          </w:p>
        </w:tc>
      </w:tr>
      <w:tr>
        <w:trPr>
          <w:trHeight w:val="425" w:hRule="atLeast"/>
        </w:trPr>
        <w:tc>
          <w:tcPr>
            <w:tcW w:type="dxa" w:w="4873"/>
            <w:vAlign w:val="center"/>
          </w:tcPr>
          <w:p>
            <w:pPr>
              <w:spacing w:line="276" w:lineRule="auto" w:before="0" w:after="0"/>
            </w:pPr>
            <w:r/>
            <w:r>
              <w:rPr>
                <w:rFonts w:ascii="Figtree" w:hAnsi="Figtree"/>
                <w:b/>
                <w:i w:val="0"/>
                <w:sz w:val="20"/>
              </w:rPr>
              <w:t>Production Deployments</w:t>
            </w:r>
          </w:p>
        </w:tc>
        <w:tc>
          <w:tcPr>
            <w:tcW w:type="dxa" w:w="4873"/>
            <w:vAlign w:val="center"/>
          </w:tcPr>
          <w:p>
            <w:pPr>
              <w:spacing w:line="276" w:lineRule="auto" w:before="0" w:after="0"/>
            </w:pPr>
            <w:r/>
            <w:r>
              <w:rPr>
                <w:rFonts w:ascii="Figtree" w:hAnsi="Figtree"/>
                <w:b w:val="0"/>
                <w:i w:val="0"/>
                <w:sz w:val="20"/>
              </w:rPr>
              <w:t>14+ named customer references across banking, sovereign, and market infrastructure</w:t>
            </w:r>
          </w:p>
        </w:tc>
      </w:tr>
      <w:tr>
        <w:trPr>
          <w:trHeight w:val="425" w:hRule="atLeast"/>
        </w:trPr>
        <w:tc>
          <w:tcPr>
            <w:tcW w:type="dxa" w:w="4873"/>
            <w:vAlign w:val="center"/>
          </w:tcPr>
          <w:p>
            <w:pPr>
              <w:spacing w:line="276" w:lineRule="auto" w:before="0" w:after="0"/>
            </w:pPr>
            <w:r/>
            <w:r>
              <w:rPr>
                <w:rFonts w:ascii="Figtree" w:hAnsi="Figtree"/>
                <w:b/>
                <w:i w:val="0"/>
                <w:sz w:val="20"/>
              </w:rPr>
              <w:t>Asset Classes Supported</w:t>
            </w:r>
          </w:p>
        </w:tc>
        <w:tc>
          <w:tcPr>
            <w:tcW w:type="dxa" w:w="4873"/>
            <w:vAlign w:val="center"/>
          </w:tcPr>
          <w:p>
            <w:pPr>
              <w:spacing w:line="276" w:lineRule="auto" w:before="0" w:after="0"/>
            </w:pPr>
            <w:r/>
            <w:r>
              <w:rPr>
                <w:rFonts w:ascii="Figtree" w:hAnsi="Figtree"/>
                <w:b w:val="0"/>
                <w:i w:val="0"/>
                <w:sz w:val="20"/>
              </w:rPr>
              <w:t>7+ asset classes including bonds, equities, funds, deposits, stablecoins, real estate</w:t>
            </w:r>
          </w:p>
        </w:tc>
      </w:tr>
    </w:tbl>
    <w:p>
      <w:pPr>
        <w:spacing w:before="0" w:after="0" w:line="120" w:lineRule="exact"/>
      </w:pPr>
    </w:p>
    <w:p>
      <w:pPr>
        <w:pStyle w:val="H2"/>
        <w:numPr>
          <w:ilvl w:val="1"/>
          <w:numId w:val="1"/>
        </w:numPr>
      </w:pPr>
      <w:r>
        <w:t>2.4 Regulatory Readiness</w:t>
      </w:r>
    </w:p>
    <w:p>
      <w:r>
        <w:rPr>
          <w:rFonts w:ascii="Figtree" w:hAnsi="Figtree"/>
          <w:b w:val="0"/>
          <w:i w:val="0"/>
          <w:sz w:val="22"/>
        </w:rPr>
        <w:t>DALP is designed to support compliance with EU MiCA, MiFID II, German eWpG, DORA, GDPR, BaFin Guidance, UK FCA, and Singapore MAS regulations.</w:t>
      </w:r>
    </w:p>
    <w:p>
      <w:pPr>
        <w:pStyle w:val="H2"/>
        <w:numPr>
          <w:ilvl w:val="1"/>
          <w:numId w:val="1"/>
        </w:numPr>
      </w:pPr>
      <w:r>
        <w:t>2.5 Team and Delivery Capability</w:t>
      </w:r>
    </w:p>
    <w:p>
      <w:r>
        <w:rPr>
          <w:rFonts w:ascii="Figtree" w:hAnsi="Figtree"/>
          <w:b w:val="0"/>
          <w:i w:val="0"/>
          <w:sz w:val="22"/>
        </w:rPr>
        <w:t>SettleMint maintains a team of 80+ engineers specializing in distributed systems architecture, blockchain and smart contract development, financial instrument engineering, enterprise integration, and security and cryptography.</w:t>
      </w:r>
    </w:p>
    <w:p>
      <w:pPr>
        <w:pStyle w:val="H2"/>
        <w:numPr>
          <w:ilvl w:val="1"/>
          <w:numId w:val="1"/>
        </w:numPr>
      </w:pPr>
      <w:r>
        <w:t>2.6 Ecosystem and Partnerships</w:t>
      </w:r>
    </w:p>
    <w:p>
      <w:r>
        <w:rPr>
          <w:rFonts w:ascii="Figtree" w:hAnsi="Figtree"/>
          <w:b w:val="0"/>
          <w:i w:val="0"/>
          <w:sz w:val="22"/>
        </w:rPr>
        <w:t>SettleMint maintains partnerships with Fireblocks and DFNS for custody integration, cloud providers (AWS, Azure, GCP) with dedicated deployment patterns, and HSM providers (Thales, Utimaco).</w:t>
      </w:r>
    </w:p>
    <w:p>
      <w:r>
        <w:br w:type="page"/>
      </w:r>
    </w:p>
    <w:p>
      <w:pPr>
        <w:pStyle w:val="H1"/>
        <w:numPr>
          <w:ilvl w:val="0"/>
          <w:numId w:val="1"/>
        </w:numPr>
      </w:pPr>
      <w:r>
        <w:t>3. About DALP — Digital Asset Lifecycle Platform</w:t>
      </w:r>
    </w:p>
    <w:p>
      <w:pPr>
        <w:pStyle w:val="H2"/>
        <w:numPr>
          <w:ilvl w:val="1"/>
          <w:numId w:val="1"/>
        </w:numPr>
      </w:pPr>
      <w:r>
        <w:t>3.1 Platform Overview</w:t>
      </w:r>
    </w:p>
    <w:p>
      <w:r>
        <w:rPr>
          <w:rFonts w:ascii="Figtree" w:hAnsi="Figtree"/>
          <w:b w:val="0"/>
          <w:i w:val="0"/>
          <w:sz w:val="22"/>
        </w:rPr>
        <w:t>DALP is SettleMint's production-grade platform for designing, launching, and operating tokenized assets across financial instruments and real-world assets. It provides production-ready infrastructure from day one, enabling institutions to deploy digital assets without building blockchain expertise internally.</w:t>
      </w:r>
    </w:p>
    <w:p>
      <w:r>
        <w:rPr>
          <w:rFonts w:ascii="Figtree" w:hAnsi="Figtree"/>
          <w:b w:val="0"/>
          <w:i w:val="0"/>
          <w:sz w:val="22"/>
        </w:rPr>
        <w:t>DALP sits between existing core financial systems and blockchain networks, providing the governance and orchestration layer that enables institutions to build, deploy, and operate compliant digital asset solutions in production.</w:t>
      </w:r>
    </w:p>
    <w:p>
      <w:pPr>
        <w:pStyle w:val="H2"/>
        <w:numPr>
          <w:ilvl w:val="1"/>
          <w:numId w:val="1"/>
        </w:numPr>
      </w:pPr>
      <w:r>
        <w:t>3.2 Core Lifecycle Pillars</w:t>
      </w:r>
    </w:p>
    <w:p>
      <w:pPr>
        <w:pStyle w:val="H3"/>
        <w:numPr>
          <w:ilvl w:val="2"/>
          <w:numId w:val="1"/>
        </w:numPr>
      </w:pPr>
      <w:r>
        <w:t>3.2.1 Issuance</w:t>
      </w:r>
    </w:p>
    <w:p>
      <w:r>
        <w:rPr>
          <w:rFonts w:ascii="Figtree" w:hAnsi="Figtree"/>
          <w:b w:val="0"/>
          <w:i w:val="0"/>
          <w:sz w:val="22"/>
        </w:rPr>
        <w:t>Rapid deployment of tokenized assets across seven asset classes — bonds, equities, funds, deposits, stablecoins, real estate, and precious metals — each with purpose-built lifecycle logic. Key capabilities include configurable business rules, Asset Designer wizard, deterministic issuance orchestration, and paused-by-default behaviour with explicit unpause control.</w:t>
      </w:r>
    </w:p>
    <w:p>
      <w:pPr>
        <w:pStyle w:val="H3"/>
        <w:numPr>
          <w:ilvl w:val="2"/>
          <w:numId w:val="1"/>
        </w:numPr>
      </w:pPr>
      <w:r>
        <w:t>3.2.2 Compliance</w:t>
      </w:r>
    </w:p>
    <w:p>
      <w:r>
        <w:rPr>
          <w:rFonts w:ascii="Figtree" w:hAnsi="Figtree"/>
          <w:b w:val="0"/>
          <w:i w:val="0"/>
          <w:sz w:val="22"/>
        </w:rPr>
        <w:t>Ex-ante enforcement ensures every transfer is validated before execution. DALP provides 18 compliance module types, multi-jurisdictional support, ERC-3643 (T-REX) implementation, and OnchainID for verifiable on-chain investor identities.</w:t>
      </w:r>
    </w:p>
    <w:p>
      <w:pPr>
        <w:pStyle w:val="H3"/>
        <w:numPr>
          <w:ilvl w:val="2"/>
          <w:numId w:val="1"/>
        </w:numPr>
      </w:pPr>
      <w:r>
        <w:t>3.2.3 Custody</w:t>
      </w:r>
    </w:p>
    <w:p>
      <w:r>
        <w:rPr>
          <w:rFonts w:ascii="Figtree" w:hAnsi="Figtree"/>
          <w:b w:val="0"/>
          <w:i w:val="0"/>
          <w:sz w:val="22"/>
        </w:rPr>
        <w:t>Enterprise-grade key management workflows with bring-your-own-custodian integrations. Key Guardian supports multiple storage backends, maker-checker approval workflows, RBAC with 5 defined roles, and emergency pause capability.</w:t>
      </w:r>
    </w:p>
    <w:p>
      <w:pPr>
        <w:pStyle w:val="H3"/>
        <w:numPr>
          <w:ilvl w:val="2"/>
          <w:numId w:val="1"/>
        </w:numPr>
      </w:pPr>
      <w:r>
        <w:t>3.2.4 Settlement</w:t>
      </w:r>
    </w:p>
    <w:p>
      <w:r>
        <w:rPr>
          <w:rFonts w:ascii="Figtree" w:hAnsi="Figtree"/>
          <w:b w:val="0"/>
          <w:i w:val="0"/>
          <w:sz w:val="22"/>
        </w:rPr>
        <w:t>Atomic Delivery-versus-Payment (DvP) and Exchange-versus-Payment (XvP) settlement — both complete together or revert together. Supports local and HTLC cross-chain settlement models with ISO 20022 integration.</w:t>
      </w:r>
    </w:p>
    <w:p>
      <w:pPr>
        <w:pStyle w:val="H3"/>
        <w:numPr>
          <w:ilvl w:val="2"/>
          <w:numId w:val="1"/>
        </w:numPr>
      </w:pPr>
      <w:r>
        <w:t>3.2.5 Servicing</w:t>
      </w:r>
    </w:p>
    <w:p>
      <w:r>
        <w:rPr>
          <w:rFonts w:ascii="Figtree" w:hAnsi="Figtree"/>
          <w:b w:val="0"/>
          <w:i w:val="0"/>
          <w:sz w:val="22"/>
        </w:rPr>
        <w:t>Automated lifecycle operations executed programmatically across every asset type including automated corporate actions, fixed treasury yield, AUM fee features, and maturity redemption.</w:t>
      </w:r>
    </w:p>
    <w:p>
      <w:pPr>
        <w:pStyle w:val="H2"/>
        <w:numPr>
          <w:ilvl w:val="1"/>
          <w:numId w:val="1"/>
        </w:numPr>
      </w:pPr>
      <w:r>
        <w:t>3.3 Platform Foundations</w:t>
      </w:r>
    </w:p>
    <w:p>
      <w:pPr>
        <w:pStyle w:val="H3"/>
        <w:numPr>
          <w:ilvl w:val="2"/>
          <w:numId w:val="1"/>
        </w:numPr>
      </w:pPr>
      <w:r>
        <w:t>3.3.1 Identity and Access Management</w:t>
      </w:r>
    </w:p>
    <w:p>
      <w:r>
        <w:rPr>
          <w:rFonts w:ascii="Figtree" w:hAnsi="Figtree"/>
          <w:b w:val="0"/>
          <w:i w:val="0"/>
          <w:sz w:val="22"/>
        </w:rPr>
        <w:t>OnchainID provides verifiable on-chain investor identities, Identity Registry manages verified profiles, RBAC governs every action with 5 defined roles, and wallet verification with multi-factor gates protects privileged transactions.</w:t>
      </w:r>
    </w:p>
    <w:p>
      <w:pPr>
        <w:pStyle w:val="H3"/>
        <w:numPr>
          <w:ilvl w:val="2"/>
          <w:numId w:val="1"/>
        </w:numPr>
      </w:pPr>
      <w:r>
        <w:t>3.3.2 Integration and Interoperability</w:t>
      </w:r>
    </w:p>
    <w:p>
      <w:r>
        <w:rPr>
          <w:rFonts w:ascii="Figtree" w:hAnsi="Figtree"/>
          <w:b w:val="0"/>
          <w:i w:val="0"/>
          <w:sz w:val="22"/>
        </w:rPr>
        <w:t>Comprehensive APIs include REST, GraphQL, event webhooks, and oRPC. The platform provides a typed TypeScript SDK, CLI with 301 commands, and payment rail connectivity supporting ISO 20022 standards.</w:t>
      </w:r>
    </w:p>
    <w:p>
      <w:pPr>
        <w:pStyle w:val="H3"/>
        <w:numPr>
          <w:ilvl w:val="2"/>
          <w:numId w:val="1"/>
        </w:numPr>
      </w:pPr>
      <w:r>
        <w:t>3.3.3 Observability and Operations</w:t>
      </w:r>
    </w:p>
    <w:p>
      <w:r>
        <w:rPr>
          <w:rFonts w:ascii="Figtree" w:hAnsi="Figtree"/>
          <w:b w:val="0"/>
          <w:i w:val="0"/>
          <w:sz w:val="22"/>
        </w:rPr>
        <w:t>Pre-built dashboards cover operations, transactions, compliance, and security. Three-pillar observability includes metrics, logs, and traces with distributed tracing across full transaction lifecycle.</w:t>
      </w:r>
    </w:p>
    <w:p>
      <w:pPr>
        <w:pStyle w:val="H2"/>
        <w:numPr>
          <w:ilvl w:val="1"/>
          <w:numId w:val="1"/>
        </w:numPr>
      </w:pPr>
      <w:r>
        <w:t>3.4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1"/>
        <w:gridCol w:w="4293"/>
        <w:gridCol w:w="30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Instruments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Lifecycle Support</w:t>
            </w:r>
          </w:p>
        </w:tc>
      </w:tr>
      <w:tr>
        <w:trPr>
          <w:trHeight w:val="425" w:hRule="atLeast"/>
        </w:trPr>
        <w:tc>
          <w:tcPr>
            <w:tcW w:type="dxa" w:w="3249"/>
            <w:vAlign w:val="center"/>
          </w:tcPr>
          <w:p>
            <w:pPr>
              <w:spacing w:line="276" w:lineRule="auto" w:before="0" w:after="0"/>
            </w:pPr>
            <w:r/>
            <w:r>
              <w:rPr>
                <w:rFonts w:ascii="Figtree" w:hAnsi="Figtree"/>
                <w:b/>
                <w:i w:val="0"/>
                <w:sz w:val="20"/>
              </w:rPr>
              <w:t>Fixed Income</w:t>
            </w:r>
          </w:p>
        </w:tc>
        <w:tc>
          <w:tcPr>
            <w:tcW w:type="dxa" w:w="3249"/>
            <w:vAlign w:val="center"/>
          </w:tcPr>
          <w:p>
            <w:pPr>
              <w:spacing w:line="276" w:lineRule="auto" w:before="0" w:after="0"/>
            </w:pPr>
            <w:r/>
            <w:r>
              <w:rPr>
                <w:rFonts w:ascii="Figtree" w:hAnsi="Figtree"/>
                <w:b w:val="0"/>
                <w:i w:val="0"/>
                <w:sz w:val="20"/>
              </w:rPr>
              <w:t>Corporate bonds, government bonds, structured notes</w:t>
            </w:r>
          </w:p>
        </w:tc>
        <w:tc>
          <w:tcPr>
            <w:tcW w:type="dxa" w:w="3249"/>
            <w:vAlign w:val="center"/>
          </w:tcPr>
          <w:p>
            <w:pPr>
              <w:spacing w:line="276" w:lineRule="auto" w:before="0" w:after="0"/>
            </w:pPr>
            <w:r/>
            <w:r>
              <w:rPr>
                <w:rFonts w:ascii="Figtree" w:hAnsi="Figtree"/>
                <w:b w:val="0"/>
                <w:i w:val="0"/>
                <w:sz w:val="20"/>
              </w:rPr>
              <w:t>Coupon schedules, maturity, redemption</w:t>
            </w:r>
          </w:p>
        </w:tc>
      </w:tr>
      <w:tr>
        <w:trPr>
          <w:trHeight w:val="425" w:hRule="atLeast"/>
        </w:trPr>
        <w:tc>
          <w:tcPr>
            <w:tcW w:type="dxa" w:w="3249"/>
            <w:vAlign w:val="center"/>
          </w:tcPr>
          <w:p>
            <w:pPr>
              <w:spacing w:line="276" w:lineRule="auto" w:before="0" w:after="0"/>
            </w:pPr>
            <w:r/>
            <w:r>
              <w:rPr>
                <w:rFonts w:ascii="Figtree" w:hAnsi="Figtree"/>
                <w:b/>
                <w:i w:val="0"/>
                <w:sz w:val="20"/>
              </w:rPr>
              <w:t>Flexible Income</w:t>
            </w:r>
          </w:p>
        </w:tc>
        <w:tc>
          <w:tcPr>
            <w:tcW w:type="dxa" w:w="3249"/>
            <w:vAlign w:val="center"/>
          </w:tcPr>
          <w:p>
            <w:pPr>
              <w:spacing w:line="276" w:lineRule="auto" w:before="0" w:after="0"/>
            </w:pPr>
            <w:r/>
            <w:r>
              <w:rPr>
                <w:rFonts w:ascii="Figtree" w:hAnsi="Figtree"/>
                <w:b w:val="0"/>
                <w:i w:val="0"/>
                <w:sz w:val="20"/>
              </w:rPr>
              <w:t>Common stock, preferred shares, investment fund units</w:t>
            </w:r>
          </w:p>
        </w:tc>
        <w:tc>
          <w:tcPr>
            <w:tcW w:type="dxa" w:w="3249"/>
            <w:vAlign w:val="center"/>
          </w:tcPr>
          <w:p>
            <w:pPr>
              <w:spacing w:line="276" w:lineRule="auto" w:before="0" w:after="0"/>
            </w:pPr>
            <w:r/>
            <w:r>
              <w:rPr>
                <w:rFonts w:ascii="Figtree" w:hAnsi="Figtree"/>
                <w:b w:val="0"/>
                <w:i w:val="0"/>
                <w:sz w:val="20"/>
              </w:rPr>
              <w:t>Dividends, voting, corporate actions</w:t>
            </w:r>
          </w:p>
        </w:tc>
      </w:tr>
      <w:tr>
        <w:trPr>
          <w:trHeight w:val="425" w:hRule="atLeast"/>
        </w:trPr>
        <w:tc>
          <w:tcPr>
            <w:tcW w:type="dxa" w:w="3249"/>
            <w:vAlign w:val="center"/>
          </w:tcPr>
          <w:p>
            <w:pPr>
              <w:spacing w:line="276" w:lineRule="auto" w:before="0" w:after="0"/>
            </w:pPr>
            <w:r/>
            <w:r>
              <w:rPr>
                <w:rFonts w:ascii="Figtree" w:hAnsi="Figtree"/>
                <w:b/>
                <w:i w:val="0"/>
                <w:sz w:val="20"/>
              </w:rPr>
              <w:t>Cash Equivalent</w:t>
            </w:r>
          </w:p>
        </w:tc>
        <w:tc>
          <w:tcPr>
            <w:tcW w:type="dxa" w:w="3249"/>
            <w:vAlign w:val="center"/>
          </w:tcPr>
          <w:p>
            <w:pPr>
              <w:spacing w:line="276" w:lineRule="auto" w:before="0" w:after="0"/>
            </w:pPr>
            <w:r/>
            <w:r>
              <w:rPr>
                <w:rFonts w:ascii="Figtree" w:hAnsi="Figtree"/>
                <w:b w:val="0"/>
                <w:i w:val="0"/>
                <w:sz w:val="20"/>
              </w:rPr>
              <w:t>Fiat-pegged stablecoins, tokenized bank deposits</w:t>
            </w:r>
          </w:p>
        </w:tc>
        <w:tc>
          <w:tcPr>
            <w:tcW w:type="dxa" w:w="3249"/>
            <w:vAlign w:val="center"/>
          </w:tcPr>
          <w:p>
            <w:pPr>
              <w:spacing w:line="276" w:lineRule="auto" w:before="0" w:after="0"/>
            </w:pPr>
            <w:r/>
            <w:r>
              <w:rPr>
                <w:rFonts w:ascii="Figtree" w:hAnsi="Figtree"/>
                <w:b w:val="0"/>
                <w:i w:val="0"/>
                <w:sz w:val="20"/>
              </w:rPr>
              <w:t>Interest, withdrawal rules</w:t>
            </w:r>
          </w:p>
        </w:tc>
      </w:tr>
      <w:tr>
        <w:trPr>
          <w:trHeight w:val="425" w:hRule="atLeast"/>
        </w:trPr>
        <w:tc>
          <w:tcPr>
            <w:tcW w:type="dxa" w:w="3249"/>
            <w:vAlign w:val="center"/>
          </w:tcPr>
          <w:p>
            <w:pPr>
              <w:spacing w:line="276" w:lineRule="auto" w:before="0" w:after="0"/>
            </w:pPr>
            <w:r/>
            <w:r>
              <w:rPr>
                <w:rFonts w:ascii="Figtree" w:hAnsi="Figtree"/>
                <w:b/>
                <w:i w:val="0"/>
                <w:sz w:val="20"/>
              </w:rPr>
              <w:t>Real World Assets</w:t>
            </w:r>
          </w:p>
        </w:tc>
        <w:tc>
          <w:tcPr>
            <w:tcW w:type="dxa" w:w="3249"/>
            <w:vAlign w:val="center"/>
          </w:tcPr>
          <w:p>
            <w:pPr>
              <w:spacing w:line="276" w:lineRule="auto" w:before="0" w:after="0"/>
            </w:pPr>
            <w:r/>
            <w:r>
              <w:rPr>
                <w:rFonts w:ascii="Figtree" w:hAnsi="Figtree"/>
                <w:b w:val="0"/>
                <w:i w:val="0"/>
                <w:sz w:val="20"/>
              </w:rPr>
              <w:t>Fractional property ownership, gold-backed tokens</w:t>
            </w:r>
          </w:p>
        </w:tc>
        <w:tc>
          <w:tcPr>
            <w:tcW w:type="dxa" w:w="3249"/>
            <w:vAlign w:val="center"/>
          </w:tcPr>
          <w:p>
            <w:pPr>
              <w:spacing w:line="276" w:lineRule="auto" w:before="0" w:after="0"/>
            </w:pPr>
            <w:r/>
            <w:r>
              <w:rPr>
                <w:rFonts w:ascii="Figtree" w:hAnsi="Figtree"/>
                <w:b w:val="0"/>
                <w:i w:val="0"/>
                <w:sz w:val="20"/>
              </w:rPr>
              <w:t>Provenance, chain-of-custody</w:t>
            </w:r>
          </w:p>
        </w:tc>
      </w:tr>
    </w:tbl>
    <w:p>
      <w:pPr>
        <w:spacing w:before="0" w:after="0" w:line="120" w:lineRule="exact"/>
      </w:pPr>
    </w:p>
    <w:p>
      <w:pPr>
        <w:pStyle w:val="H2"/>
        <w:numPr>
          <w:ilvl w:val="1"/>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6"/>
        <w:gridCol w:w="627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 Supported</w:t>
            </w:r>
          </w:p>
        </w:tc>
      </w:tr>
      <w:tr>
        <w:trPr>
          <w:trHeight w:val="425" w:hRule="atLeast"/>
        </w:trPr>
        <w:tc>
          <w:tcPr>
            <w:tcW w:type="dxa" w:w="4873"/>
            <w:vAlign w:val="center"/>
          </w:tcPr>
          <w:p>
            <w:pPr>
              <w:spacing w:line="276" w:lineRule="auto" w:before="0" w:after="0"/>
            </w:pPr>
            <w:r/>
            <w:r>
              <w:rPr>
                <w:rFonts w:ascii="Figtree" w:hAnsi="Figtree"/>
                <w:b/>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(T-REX), ERC-5805, EIP-2612</w:t>
            </w:r>
          </w:p>
        </w:tc>
      </w:tr>
      <w:tr>
        <w:trPr>
          <w:trHeight w:val="425" w:hRule="atLeast"/>
        </w:trPr>
        <w:tc>
          <w:tcPr>
            <w:tcW w:type="dxa" w:w="4873"/>
            <w:vAlign w:val="center"/>
          </w:tcPr>
          <w:p>
            <w:pPr>
              <w:spacing w:line="276" w:lineRule="auto" w:before="0" w:after="0"/>
            </w:pPr>
            <w:r/>
            <w:r>
              <w:rPr>
                <w:rFonts w:ascii="Figtree" w:hAnsi="Figtree"/>
                <w:b/>
                <w:i w:val="0"/>
                <w:sz w:val="20"/>
              </w:rPr>
              <w:t>Identity</w:t>
            </w:r>
          </w:p>
        </w:tc>
        <w:tc>
          <w:tcPr>
            <w:tcW w:type="dxa" w:w="4873"/>
            <w:vAlign w:val="center"/>
          </w:tcPr>
          <w:p>
            <w:pPr>
              <w:spacing w:line="276" w:lineRule="auto" w:before="0" w:after="0"/>
            </w:pPr>
            <w:r/>
            <w:r>
              <w:rPr>
                <w:rFonts w:ascii="Figtree" w:hAnsi="Figtree"/>
                <w:b w:val="0"/>
                <w:i w:val="0"/>
                <w:sz w:val="20"/>
              </w:rPr>
              <w:t>OnchainID (ERC-734/735), claim-based verification</w:t>
            </w:r>
          </w:p>
        </w:tc>
      </w:tr>
      <w:tr>
        <w:trPr>
          <w:trHeight w:val="425" w:hRule="atLeast"/>
        </w:trPr>
        <w:tc>
          <w:tcPr>
            <w:tcW w:type="dxa" w:w="4873"/>
            <w:vAlign w:val="center"/>
          </w:tcPr>
          <w:p>
            <w:pPr>
              <w:spacing w:line="276" w:lineRule="auto" w:before="0" w:after="0"/>
            </w:pPr>
            <w:r/>
            <w:r>
              <w:rPr>
                <w:rFonts w:ascii="Figtree" w:hAnsi="Figtree"/>
                <w:b/>
                <w:i w:val="0"/>
                <w:sz w:val="20"/>
              </w:rPr>
              <w:t>Account Abstraction</w:t>
            </w:r>
          </w:p>
        </w:tc>
        <w:tc>
          <w:tcPr>
            <w:tcW w:type="dxa" w:w="4873"/>
            <w:vAlign w:val="center"/>
          </w:tcPr>
          <w:p>
            <w:pPr>
              <w:spacing w:line="276" w:lineRule="auto" w:before="0" w:after="0"/>
            </w:pPr>
            <w:r/>
            <w:r>
              <w:rPr>
                <w:rFonts w:ascii="Figtree" w:hAnsi="Figtree"/>
                <w:b w:val="0"/>
                <w:i w:val="0"/>
                <w:sz w:val="20"/>
              </w:rPr>
              <w:t>ERC-4337, ERC-7579</w:t>
            </w:r>
          </w:p>
        </w:tc>
      </w:tr>
      <w:tr>
        <w:trPr>
          <w:trHeight w:val="425" w:hRule="atLeast"/>
        </w:trPr>
        <w:tc>
          <w:tcPr>
            <w:tcW w:type="dxa" w:w="4873"/>
            <w:vAlign w:val="center"/>
          </w:tcPr>
          <w:p>
            <w:pPr>
              <w:spacing w:line="276" w:lineRule="auto" w:before="0" w:after="0"/>
            </w:pPr>
            <w:r/>
            <w:r>
              <w:rPr>
                <w:rFonts w:ascii="Figtree" w:hAnsi="Figtree"/>
                <w:b/>
                <w:i w:val="0"/>
                <w:sz w:val="20"/>
              </w:rPr>
              <w:t>Compliance</w:t>
            </w:r>
          </w:p>
        </w:tc>
        <w:tc>
          <w:tcPr>
            <w:tcW w:type="dxa" w:w="4873"/>
            <w:vAlign w:val="center"/>
          </w:tcPr>
          <w:p>
            <w:pPr>
              <w:spacing w:line="276" w:lineRule="auto" w:before="0" w:after="0"/>
            </w:pPr>
            <w:r/>
            <w:r>
              <w:rPr>
                <w:rFonts w:ascii="Figtree" w:hAnsi="Figtree"/>
                <w:b w:val="0"/>
                <w:i w:val="0"/>
                <w:sz w:val="20"/>
              </w:rPr>
              <w:t>18 module types</w:t>
            </w:r>
          </w:p>
        </w:tc>
      </w:tr>
      <w:tr>
        <w:trPr>
          <w:trHeight w:val="425" w:hRule="atLeast"/>
        </w:trPr>
        <w:tc>
          <w:tcPr>
            <w:tcW w:type="dxa" w:w="4873"/>
            <w:vAlign w:val="center"/>
          </w:tcPr>
          <w:p>
            <w:pPr>
              <w:spacing w:line="276" w:lineRule="auto" w:before="0" w:after="0"/>
            </w:pPr>
            <w:r/>
            <w:r>
              <w:rPr>
                <w:rFonts w:ascii="Figtree" w:hAnsi="Figtree"/>
                <w:b/>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w:t>
            </w:r>
          </w:p>
        </w:tc>
      </w:tr>
    </w:tbl>
    <w:p>
      <w:pPr>
        <w:spacing w:before="0" w:after="0" w:line="120" w:lineRule="exact"/>
      </w:pPr>
    </w:p>
    <w:p>
      <w:r>
        <w:br w:type="page"/>
      </w:r>
    </w:p>
    <w:p>
      <w:pPr>
        <w:pStyle w:val="H1"/>
        <w:numPr>
          <w:ilvl w:val="0"/>
          <w:numId w:val="1"/>
        </w:numPr>
      </w:pPr>
      <w:r>
        <w:t>4. Customer References</w:t>
      </w:r>
    </w:p>
    <w:p>
      <w:pPr>
        <w:pStyle w:val="H2"/>
        <w:numPr>
          <w:ilvl w:val="1"/>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51"/>
        <w:gridCol w:w="1122"/>
        <w:gridCol w:w="2992"/>
        <w:gridCol w:w="280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KfW</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on/off-chain ETP issuance</w:t>
            </w:r>
          </w:p>
        </w:tc>
        <w:tc>
          <w:tcPr>
            <w:tcW w:type="dxa" w:w="2436"/>
            <w:vAlign w:val="center"/>
          </w:tcPr>
          <w:p>
            <w:pPr>
              <w:spacing w:line="276" w:lineRule="auto" w:before="0" w:after="0"/>
            </w:pPr>
            <w:r/>
            <w:r>
              <w:rPr>
                <w:rFonts w:ascii="Figtree" w:hAnsi="Figtree"/>
                <w:b w:val="0"/>
                <w:i w:val="0"/>
                <w:sz w:val="20"/>
              </w:rPr>
              <w:t>German bank, bond tokenization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UK/Asia</w:t>
            </w:r>
          </w:p>
        </w:tc>
        <w:tc>
          <w:tcPr>
            <w:tcW w:type="dxa" w:w="2436"/>
            <w:vAlign w:val="center"/>
          </w:tcPr>
          <w:p>
            <w:pPr>
              <w:spacing w:line="276" w:lineRule="auto" w:before="0" w:after="0"/>
            </w:pPr>
            <w:r/>
            <w:r>
              <w:rPr>
                <w:rFonts w:ascii="Figtree" w:hAnsi="Figtree"/>
                <w:b w:val="0"/>
                <w:i w:val="0"/>
                <w:sz w:val="20"/>
              </w:rPr>
              <w:t>Digital asset exchange</w:t>
            </w:r>
          </w:p>
        </w:tc>
        <w:tc>
          <w:tcPr>
            <w:tcW w:type="dxa" w:w="2436"/>
            <w:vAlign w:val="center"/>
          </w:tcPr>
          <w:p>
            <w:pPr>
              <w:spacing w:line="276" w:lineRule="auto" w:before="0" w:after="0"/>
            </w:pPr>
            <w:r/>
            <w:r>
              <w:rPr>
                <w:rFonts w:ascii="Figtree" w:hAnsi="Figtree"/>
                <w:b w:val="0"/>
                <w:i w:val="0"/>
                <w:sz w:val="20"/>
              </w:rPr>
              <w:t>Institutional trading</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issuance</w:t>
            </w:r>
          </w:p>
        </w:tc>
        <w:tc>
          <w:tcPr>
            <w:tcW w:type="dxa" w:w="2436"/>
            <w:vAlign w:val="center"/>
          </w:tcPr>
          <w:p>
            <w:pPr>
              <w:spacing w:line="276" w:lineRule="auto" w:before="0" w:after="0"/>
            </w:pPr>
            <w:r/>
            <w:r>
              <w:rPr>
                <w:rFonts w:ascii="Figtree" w:hAnsi="Figtree"/>
                <w:b w:val="0"/>
                <w:i w:val="0"/>
                <w:sz w:val="20"/>
              </w:rPr>
              <w:t>Regulatory alignment</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Bond/equity tokenization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Real estate registry</w:t>
            </w:r>
          </w:p>
        </w:tc>
        <w:tc>
          <w:tcPr>
            <w:tcW w:type="dxa" w:w="2436"/>
            <w:vAlign w:val="center"/>
          </w:tcPr>
          <w:p>
            <w:pPr>
              <w:spacing w:line="276" w:lineRule="auto" w:before="0" w:after="0"/>
            </w:pPr>
            <w:r/>
            <w:r>
              <w:rPr>
                <w:rFonts w:ascii="Figtree" w:hAnsi="Figtree"/>
                <w:b w:val="0"/>
                <w:i w:val="0"/>
                <w:sz w:val="20"/>
              </w:rPr>
              <w:t>Sovereign-grade</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w:t>
            </w:r>
          </w:p>
        </w:tc>
        <w:tc>
          <w:tcPr>
            <w:tcW w:type="dxa" w:w="2436"/>
            <w:vAlign w:val="center"/>
          </w:tcPr>
          <w:p>
            <w:pPr>
              <w:spacing w:line="276" w:lineRule="auto" w:before="0" w:after="0"/>
            </w:pPr>
            <w:r/>
            <w:r>
              <w:rPr>
                <w:rFonts w:ascii="Figtree" w:hAnsi="Figtree"/>
                <w:b w:val="0"/>
                <w:i w:val="0"/>
                <w:sz w:val="20"/>
              </w:rPr>
              <w:t>Regulatory environment</w:t>
            </w:r>
          </w:p>
        </w:tc>
      </w:tr>
    </w:tbl>
    <w:p>
      <w:pPr>
        <w:spacing w:before="0" w:after="0" w:line="120" w:lineRule="exact"/>
      </w:pPr>
    </w:p>
    <w:p>
      <w:pPr>
        <w:pStyle w:val="H2"/>
        <w:numPr>
          <w:ilvl w:val="1"/>
          <w:numId w:val="1"/>
        </w:numPr>
      </w:pPr>
      <w:r>
        <w:t>4.2 Expanded Reference: Commerzbank (Germany)</w:t>
      </w:r>
    </w:p>
    <w:p>
      <w:r>
        <w:rPr>
          <w:rFonts w:ascii="Figtree" w:hAnsi="Figtree"/>
          <w:b w:val="0"/>
          <w:i w:val="0"/>
          <w:sz w:val="22"/>
        </w:rPr>
        <w:t>Commerzbank, one of Germany's leading commercial banks, required a solution for issuing and managing exchange-traded products (ETPs) using a hybrid on/off-chain approach. SettleMint implemented a hybrid solution integrating with Boerse Stuttgart's listing service, achieving settlement in under 10 seconds, reduced counterparty risk, and identified potential annual savings of €7M. This reference directly demonstrates SettleMint's ability to deliver production-grade bond tokenization within the German regulatory framework.</w:t>
      </w:r>
    </w:p>
    <w:p>
      <w:pPr>
        <w:pStyle w:val="H2"/>
        <w:numPr>
          <w:ilvl w:val="1"/>
          <w:numId w:val="1"/>
        </w:numPr>
      </w:pPr>
      <w:r>
        <w:t>4.3 Expanded Reference: Standard Chartered Bank</w:t>
      </w:r>
    </w:p>
    <w:p>
      <w:r>
        <w:rPr>
          <w:rFonts w:ascii="Figtree" w:hAnsi="Figtree"/>
          <w:b w:val="0"/>
          <w:i w:val="0"/>
          <w:sz w:val="22"/>
        </w:rPr>
        <w:t>Standard Chartered Bank sought to improve trading efficiency for institutional investors through digital asset tokenization. The solution supported fractional tokenization of securities with instant and immutable ownership recording, elimination of custody intermediaries, and faster settlement times. This demonstrates institutional-grade trading and custody integration capabilities.</w:t>
      </w:r>
    </w:p>
    <w:p>
      <w:r>
        <w:br w:type="page"/>
      </w:r>
    </w:p>
    <w:p>
      <w:pPr>
        <w:pStyle w:val="H1"/>
        <w:numPr>
          <w:ilvl w:val="0"/>
          <w:numId w:val="1"/>
        </w:numPr>
      </w:pPr>
      <w:r>
        <w:t>5. Understanding of Requirements</w:t>
      </w:r>
    </w:p>
    <w:p>
      <w:pPr>
        <w:pStyle w:val="H2"/>
        <w:numPr>
          <w:ilvl w:val="1"/>
          <w:numId w:val="1"/>
        </w:numPr>
      </w:pPr>
      <w:r>
        <w:t>5.1 KfW Context</w:t>
      </w:r>
    </w:p>
    <w:p>
      <w:r>
        <w:rPr>
          <w:rFonts w:ascii="Figtree" w:hAnsi="Figtree"/>
          <w:b w:val="0"/>
          <w:i w:val="0"/>
          <w:sz w:val="22"/>
        </w:rPr>
        <w:t>KfW is Germany's leading development bank, operating under public mandate with strict accountability requirements. The institution has been at the forefront of digitally native bond experimentation in Germany, working with Deutsche Börse / Clearstream ecosystem components.</w:t>
      </w:r>
    </w:p>
    <w:p>
      <w:pPr>
        <w:pStyle w:val="H3"/>
        <w:numPr>
          <w:ilvl w:val="2"/>
          <w:numId w:val="1"/>
        </w:numPr>
      </w:pPr>
      <w:r>
        <w:t>Institution Mandate</w:t>
      </w:r>
    </w:p>
    <w:p>
      <w:r>
        <w:rPr>
          <w:rFonts w:ascii="Figtree" w:hAnsi="Figtree"/>
          <w:b w:val="0"/>
          <w:i w:val="0"/>
          <w:sz w:val="22"/>
        </w:rPr>
        <w:t>KfW's development finance mandate requires absolute transparency in fund deployment, robust public-sector audit compliance, strong governance across all operations, and alignment with German and EU regulatory frameworks.</w:t>
      </w:r>
    </w:p>
    <w:p>
      <w:pPr>
        <w:pStyle w:val="H3"/>
        <w:numPr>
          <w:ilvl w:val="2"/>
          <w:numId w:val="1"/>
        </w:numPr>
      </w:pPr>
      <w:r>
        <w:t>Transformation Drivers</w:t>
      </w:r>
    </w:p>
    <w:p>
      <w:r>
        <w:rPr>
          <w:rFonts w:ascii="Figtree" w:hAnsi="Figtree"/>
          <w:b w:val="0"/>
          <w:i w:val="0"/>
          <w:sz w:val="22"/>
        </w:rPr>
        <w:t>The procurement addresses modernization of development bond issuance processes, enhancement of investor reporting and transparency, evaluation of infrastructure tokenization for future structures, and operational efficiency through digital transformation.</w:t>
      </w:r>
    </w:p>
    <w:p>
      <w:pPr>
        <w:pStyle w:val="H2"/>
        <w:numPr>
          <w:ilvl w:val="1"/>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0"/>
        <w:gridCol w:w="2093"/>
        <w:gridCol w:w="38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KfW 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i w:val="0"/>
                <w:sz w:val="20"/>
              </w:rPr>
              <w:t>Product / Asset Scope</w:t>
            </w:r>
          </w:p>
        </w:tc>
        <w:tc>
          <w:tcPr>
            <w:tcW w:type="dxa" w:w="3249"/>
            <w:vAlign w:val="center"/>
          </w:tcPr>
          <w:p>
            <w:pPr>
              <w:spacing w:line="276" w:lineRule="auto" w:before="0" w:after="0"/>
            </w:pPr>
            <w:r/>
            <w:r>
              <w:rPr>
                <w:rFonts w:ascii="Figtree" w:hAnsi="Figtree"/>
                <w:b w:val="0"/>
                <w:i w:val="0"/>
                <w:sz w:val="20"/>
              </w:rPr>
              <w:t>Bond-focused</w:t>
            </w:r>
          </w:p>
        </w:tc>
        <w:tc>
          <w:tcPr>
            <w:tcW w:type="dxa" w:w="3249"/>
            <w:vAlign w:val="center"/>
          </w:tcPr>
          <w:p>
            <w:pPr>
              <w:spacing w:line="276" w:lineRule="auto" w:before="0" w:after="0"/>
            </w:pPr>
            <w:r/>
            <w:r>
              <w:rPr>
                <w:rFonts w:ascii="Figtree" w:hAnsi="Figtree"/>
                <w:b w:val="0"/>
                <w:i w:val="0"/>
                <w:sz w:val="20"/>
              </w:rPr>
              <w:t>Full bond lifecycle support</w:t>
            </w:r>
          </w:p>
        </w:tc>
      </w:tr>
      <w:tr>
        <w:trPr>
          <w:trHeight w:val="425" w:hRule="atLeast"/>
        </w:trPr>
        <w:tc>
          <w:tcPr>
            <w:tcW w:type="dxa" w:w="3249"/>
            <w:vAlign w:val="center"/>
          </w:tcPr>
          <w:p>
            <w:pPr>
              <w:spacing w:line="276" w:lineRule="auto" w:before="0" w:after="0"/>
            </w:pPr>
            <w:r/>
            <w:r>
              <w:rPr>
                <w:rFonts w:ascii="Figtree" w:hAnsi="Figtree"/>
                <w:b/>
                <w:i w:val="0"/>
                <w:sz w:val="20"/>
              </w:rPr>
              <w:t>Identity / Onboarding</w:t>
            </w:r>
          </w:p>
        </w:tc>
        <w:tc>
          <w:tcPr>
            <w:tcW w:type="dxa" w:w="3249"/>
            <w:vAlign w:val="center"/>
          </w:tcPr>
          <w:p>
            <w:pPr>
              <w:spacing w:line="276" w:lineRule="auto" w:before="0" w:after="0"/>
            </w:pPr>
            <w:r/>
            <w:r>
              <w:rPr>
                <w:rFonts w:ascii="Figtree" w:hAnsi="Figtree"/>
                <w:b w:val="0"/>
                <w:i w:val="0"/>
                <w:sz w:val="20"/>
              </w:rPr>
              <w:t>Institutional KYC/AML</w:t>
            </w:r>
          </w:p>
        </w:tc>
        <w:tc>
          <w:tcPr>
            <w:tcW w:type="dxa" w:w="3249"/>
            <w:vAlign w:val="center"/>
          </w:tcPr>
          <w:p>
            <w:pPr>
              <w:spacing w:line="276" w:lineRule="auto" w:before="0" w:after="0"/>
            </w:pPr>
            <w:r/>
            <w:r>
              <w:rPr>
                <w:rFonts w:ascii="Figtree" w:hAnsi="Figtree"/>
                <w:b w:val="0"/>
                <w:i w:val="0"/>
                <w:sz w:val="20"/>
              </w:rPr>
              <w:t>OnchainID with claim-based verification</w:t>
            </w:r>
          </w:p>
        </w:tc>
      </w:tr>
      <w:tr>
        <w:trPr>
          <w:trHeight w:val="425" w:hRule="atLeast"/>
        </w:trPr>
        <w:tc>
          <w:tcPr>
            <w:tcW w:type="dxa" w:w="3249"/>
            <w:vAlign w:val="center"/>
          </w:tcPr>
          <w:p>
            <w:pPr>
              <w:spacing w:line="276" w:lineRule="auto" w:before="0" w:after="0"/>
            </w:pPr>
            <w:r/>
            <w:r>
              <w:rPr>
                <w:rFonts w:ascii="Figtree" w:hAnsi="Figtree"/>
                <w:b/>
                <w:i w:val="0"/>
                <w:sz w:val="20"/>
              </w:rPr>
              <w:t>Compliance / Control</w:t>
            </w:r>
          </w:p>
        </w:tc>
        <w:tc>
          <w:tcPr>
            <w:tcW w:type="dxa" w:w="3249"/>
            <w:vAlign w:val="center"/>
          </w:tcPr>
          <w:p>
            <w:pPr>
              <w:spacing w:line="276" w:lineRule="auto" w:before="0" w:after="0"/>
            </w:pPr>
            <w:r/>
            <w:r>
              <w:rPr>
                <w:rFonts w:ascii="Figtree" w:hAnsi="Figtree"/>
                <w:b w:val="0"/>
                <w:i w:val="0"/>
                <w:sz w:val="20"/>
              </w:rPr>
              <w:t>German/EU, BaFin</w:t>
            </w:r>
          </w:p>
        </w:tc>
        <w:tc>
          <w:tcPr>
            <w:tcW w:type="dxa" w:w="3249"/>
            <w:vAlign w:val="center"/>
          </w:tcPr>
          <w:p>
            <w:pPr>
              <w:spacing w:line="276" w:lineRule="auto" w:before="0" w:after="0"/>
            </w:pPr>
            <w:r/>
            <w:r>
              <w:rPr>
                <w:rFonts w:ascii="Figtree" w:hAnsi="Figtree"/>
                <w:b w:val="0"/>
                <w:i w:val="0"/>
                <w:sz w:val="20"/>
              </w:rPr>
              <w:t>18 compliance modules, ERC-3643</w:t>
            </w:r>
          </w:p>
        </w:tc>
      </w:tr>
      <w:tr>
        <w:trPr>
          <w:trHeight w:val="425" w:hRule="atLeast"/>
        </w:trPr>
        <w:tc>
          <w:tcPr>
            <w:tcW w:type="dxa" w:w="3249"/>
            <w:vAlign w:val="center"/>
          </w:tcPr>
          <w:p>
            <w:pPr>
              <w:spacing w:line="276" w:lineRule="auto" w:before="0" w:after="0"/>
            </w:pPr>
            <w:r/>
            <w:r>
              <w:rPr>
                <w:rFonts w:ascii="Figtree" w:hAnsi="Figtree"/>
                <w:b/>
                <w:i w:val="0"/>
                <w:sz w:val="20"/>
              </w:rPr>
              <w:t>Settlement / Cash Leg</w:t>
            </w:r>
          </w:p>
        </w:tc>
        <w:tc>
          <w:tcPr>
            <w:tcW w:type="dxa" w:w="3249"/>
            <w:vAlign w:val="center"/>
          </w:tcPr>
          <w:p>
            <w:pPr>
              <w:spacing w:line="276" w:lineRule="auto" w:before="0" w:after="0"/>
            </w:pPr>
            <w:r/>
            <w:r>
              <w:rPr>
                <w:rFonts w:ascii="Figtree" w:hAnsi="Figtree"/>
                <w:b w:val="0"/>
                <w:i w:val="0"/>
                <w:sz w:val="20"/>
              </w:rPr>
              <w:t>CSD integration</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i w:val="0"/>
                <w:sz w:val="20"/>
              </w:rPr>
              <w:t>Integration / Reporting</w:t>
            </w:r>
          </w:p>
        </w:tc>
        <w:tc>
          <w:tcPr>
            <w:tcW w:type="dxa" w:w="3249"/>
            <w:vAlign w:val="center"/>
          </w:tcPr>
          <w:p>
            <w:pPr>
              <w:spacing w:line="276" w:lineRule="auto" w:before="0" w:after="0"/>
            </w:pPr>
            <w:r/>
            <w:r>
              <w:rPr>
                <w:rFonts w:ascii="Figtree" w:hAnsi="Figtree"/>
                <w:b w:val="0"/>
                <w:i w:val="0"/>
                <w:sz w:val="20"/>
              </w:rPr>
              <w:t>Treasury, accounting</w:t>
            </w:r>
          </w:p>
        </w:tc>
        <w:tc>
          <w:tcPr>
            <w:tcW w:type="dxa" w:w="3249"/>
            <w:vAlign w:val="center"/>
          </w:tcPr>
          <w:p>
            <w:pPr>
              <w:spacing w:line="276" w:lineRule="auto" w:before="0" w:after="0"/>
            </w:pPr>
            <w:r/>
            <w:r>
              <w:rPr>
                <w:rFonts w:ascii="Figtree" w:hAnsi="Figtree"/>
                <w:b w:val="0"/>
                <w:i w:val="0"/>
                <w:sz w:val="20"/>
              </w:rPr>
              <w:t>Comprehensive APIs</w:t>
            </w:r>
          </w:p>
        </w:tc>
      </w:tr>
      <w:tr>
        <w:trPr>
          <w:trHeight w:val="425" w:hRule="atLeast"/>
        </w:trPr>
        <w:tc>
          <w:tcPr>
            <w:tcW w:type="dxa" w:w="3249"/>
            <w:vAlign w:val="center"/>
          </w:tcPr>
          <w:p>
            <w:pPr>
              <w:spacing w:line="276" w:lineRule="auto" w:before="0" w:after="0"/>
            </w:pPr>
            <w:r/>
            <w:r>
              <w:rPr>
                <w:rFonts w:ascii="Figtree" w:hAnsi="Figtree"/>
                <w:b/>
                <w:i w:val="0"/>
                <w:sz w:val="20"/>
              </w:rPr>
              <w:t>Infrastructure / Operations</w:t>
            </w:r>
          </w:p>
        </w:tc>
        <w:tc>
          <w:tcPr>
            <w:tcW w:type="dxa" w:w="3249"/>
            <w:vAlign w:val="center"/>
          </w:tcPr>
          <w:p>
            <w:pPr>
              <w:spacing w:line="276" w:lineRule="auto" w:before="0" w:after="0"/>
            </w:pPr>
            <w:r/>
            <w:r>
              <w:rPr>
                <w:rFonts w:ascii="Figtree" w:hAnsi="Figtree"/>
                <w:b w:val="0"/>
                <w:i w:val="0"/>
                <w:sz w:val="20"/>
              </w:rPr>
              <w:t>Production-grade</w:t>
            </w:r>
          </w:p>
        </w:tc>
        <w:tc>
          <w:tcPr>
            <w:tcW w:type="dxa" w:w="3249"/>
            <w:vAlign w:val="center"/>
          </w:tcPr>
          <w:p>
            <w:pPr>
              <w:spacing w:line="276" w:lineRule="auto" w:before="0" w:after="0"/>
            </w:pPr>
            <w:r/>
            <w:r>
              <w:rPr>
                <w:rFonts w:ascii="Figtree" w:hAnsi="Figtree"/>
                <w:b w:val="0"/>
                <w:i w:val="0"/>
                <w:sz w:val="20"/>
              </w:rPr>
              <w:t>Durable execution, HA/DR</w:t>
            </w:r>
          </w:p>
        </w:tc>
      </w:tr>
    </w:tbl>
    <w:p>
      <w:pPr>
        <w:spacing w:before="0" w:after="0" w:line="120" w:lineRule="exact"/>
      </w:pPr>
    </w:p>
    <w:p>
      <w:pPr>
        <w:pStyle w:val="H2"/>
        <w:numPr>
          <w:ilvl w:val="1"/>
          <w:numId w:val="1"/>
        </w:numPr>
      </w:pPr>
      <w:r>
        <w:t>5.3 Key Challenges Identified</w:t>
      </w:r>
    </w:p>
    <w:p>
      <w:pPr>
        <w:pStyle w:val="H3"/>
        <w:numPr>
          <w:ilvl w:val="2"/>
          <w:numId w:val="1"/>
        </w:numPr>
      </w:pPr>
      <w:r>
        <w:t>Challenge 1: Regulatory Complexity</w:t>
      </w:r>
    </w:p>
    <w:p>
      <w:r>
        <w:rPr>
          <w:rFonts w:ascii="Figtree" w:hAnsi="Figtree"/>
          <w:b w:val="0"/>
          <w:i w:val="0"/>
          <w:sz w:val="22"/>
        </w:rPr>
        <w:t>Compliance with MiCA, MiFID II, German eWpG, BaFin guidance, DORA, and GDPR simultaneously requires supporting different compliance rules for different investor jurisdictions while maintaining a coherent control framework.</w:t>
      </w:r>
    </w:p>
    <w:p>
      <w:pPr>
        <w:pStyle w:val="H3"/>
        <w:numPr>
          <w:ilvl w:val="2"/>
          <w:numId w:val="1"/>
        </w:numPr>
      </w:pPr>
      <w:r>
        <w:t>Challenge 2: Integration with Existing Infrastructure</w:t>
      </w:r>
    </w:p>
    <w:p>
      <w:r>
        <w:rPr>
          <w:rFonts w:ascii="Figtree" w:hAnsi="Figtree"/>
          <w:b w:val="0"/>
          <w:i w:val="0"/>
          <w:sz w:val="22"/>
        </w:rPr>
        <w:t>The digital asset platform cannot operate as an isolated system. It must maintain golden-source synchronization with existing books and records while providing unified operational control.</w:t>
      </w:r>
    </w:p>
    <w:p>
      <w:pPr>
        <w:pStyle w:val="H3"/>
        <w:numPr>
          <w:ilvl w:val="2"/>
          <w:numId w:val="1"/>
        </w:numPr>
      </w:pPr>
      <w:r>
        <w:t>Challenge 3: Governance and Control</w:t>
      </w:r>
    </w:p>
    <w:p>
      <w:r>
        <w:rPr>
          <w:rFonts w:ascii="Figtree" w:hAnsi="Figtree"/>
          <w:b w:val="0"/>
          <w:i w:val="0"/>
          <w:sz w:val="22"/>
        </w:rPr>
        <w:t>The platform must support comprehensive approval workflows, maker-checker patterns, and generate evidence suitable for internal audit and external supervisor review.</w:t>
      </w:r>
    </w:p>
    <w:p>
      <w:pPr>
        <w:pStyle w:val="H3"/>
        <w:numPr>
          <w:ilvl w:val="2"/>
          <w:numId w:val="1"/>
        </w:numPr>
      </w:pPr>
      <w:r>
        <w:t>Challenge 4: Operational Transition</w:t>
      </w:r>
    </w:p>
    <w:p>
      <w:r>
        <w:rPr>
          <w:rFonts w:ascii="Figtree" w:hAnsi="Figtree"/>
          <w:b w:val="0"/>
          <w:i w:val="0"/>
          <w:sz w:val="22"/>
        </w:rPr>
        <w:t>Phased rollout by product and jurisdiction, coexistence with legacy systems, and clear rollback paths are required.</w:t>
      </w:r>
    </w:p>
    <w:p>
      <w:pPr>
        <w:pStyle w:val="H3"/>
        <w:numPr>
          <w:ilvl w:val="2"/>
          <w:numId w:val="1"/>
        </w:numPr>
      </w:pPr>
      <w:r>
        <w:t>Challenge 5: Long-Term Supportability</w:t>
      </w:r>
    </w:p>
    <w:p>
      <w:r>
        <w:rPr>
          <w:rFonts w:ascii="Figtree" w:hAnsi="Figtree"/>
          <w:b w:val="0"/>
          <w:i w:val="0"/>
          <w:sz w:val="22"/>
        </w:rPr>
        <w:t>Internal engineering and operations teams must own the platform day-to-day without permanent vendor dependency.</w:t>
      </w:r>
    </w:p>
    <w:p>
      <w:pPr>
        <w:pStyle w:val="H2"/>
        <w:numPr>
          <w:ilvl w:val="1"/>
          <w:numId w:val="1"/>
        </w:numPr>
      </w:pPr>
      <w:r>
        <w:t>5.4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5"/>
        <w:gridCol w:w="68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r>
      <w:tr>
        <w:trPr>
          <w:trHeight w:val="425" w:hRule="atLeast"/>
        </w:trPr>
        <w:tc>
          <w:tcPr>
            <w:tcW w:type="dxa" w:w="4873"/>
            <w:vAlign w:val="center"/>
          </w:tcPr>
          <w:p>
            <w:pPr>
              <w:spacing w:line="276" w:lineRule="auto" w:before="0" w:after="0"/>
            </w:pPr>
            <w:r/>
            <w:r>
              <w:rPr>
                <w:rFonts w:ascii="Figtree" w:hAnsi="Figtree"/>
                <w:b/>
                <w:i w:val="0"/>
                <w:sz w:val="20"/>
              </w:rPr>
              <w:t>Must Have</w:t>
            </w:r>
          </w:p>
        </w:tc>
        <w:tc>
          <w:tcPr>
            <w:tcW w:type="dxa" w:w="4873"/>
            <w:vAlign w:val="center"/>
          </w:tcPr>
          <w:p>
            <w:pPr>
              <w:spacing w:line="276" w:lineRule="auto" w:before="0" w:after="0"/>
            </w:pPr>
            <w:r/>
            <w:r>
              <w:rPr>
                <w:rFonts w:ascii="Figtree" w:hAnsi="Figtree"/>
                <w:b w:val="0"/>
                <w:i w:val="0"/>
                <w:sz w:val="20"/>
              </w:rPr>
              <w:t>TR-01, TR-02, TR-03, TR-05, TR-06, SR-01, SR-02, SR-03, SR-04</w:t>
            </w:r>
          </w:p>
        </w:tc>
      </w:tr>
      <w:tr>
        <w:trPr>
          <w:trHeight w:val="425" w:hRule="atLeast"/>
        </w:trPr>
        <w:tc>
          <w:tcPr>
            <w:tcW w:type="dxa" w:w="4873"/>
            <w:vAlign w:val="center"/>
          </w:tcPr>
          <w:p>
            <w:pPr>
              <w:spacing w:line="276" w:lineRule="auto" w:before="0" w:after="0"/>
            </w:pPr>
            <w:r/>
            <w:r>
              <w:rPr>
                <w:rFonts w:ascii="Figtree" w:hAnsi="Figtree"/>
                <w:b/>
                <w:i w:val="0"/>
                <w:sz w:val="20"/>
              </w:rPr>
              <w:t>Should Have</w:t>
            </w:r>
          </w:p>
        </w:tc>
        <w:tc>
          <w:tcPr>
            <w:tcW w:type="dxa" w:w="4873"/>
            <w:vAlign w:val="center"/>
          </w:tcPr>
          <w:p>
            <w:pPr>
              <w:spacing w:line="276" w:lineRule="auto" w:before="0" w:after="0"/>
            </w:pPr>
            <w:r/>
            <w:r>
              <w:rPr>
                <w:rFonts w:ascii="Figtree" w:hAnsi="Figtree"/>
                <w:b w:val="0"/>
                <w:i w:val="0"/>
                <w:sz w:val="20"/>
              </w:rPr>
              <w:t>TR-04, TR-07, TR-08, TR-09, SR-05, SR-06</w:t>
            </w:r>
          </w:p>
        </w:tc>
      </w:tr>
      <w:tr>
        <w:trPr>
          <w:trHeight w:val="425" w:hRule="atLeast"/>
        </w:trPr>
        <w:tc>
          <w:tcPr>
            <w:tcW w:type="dxa" w:w="4873"/>
            <w:vAlign w:val="center"/>
          </w:tcPr>
          <w:p>
            <w:pPr>
              <w:spacing w:line="276" w:lineRule="auto" w:before="0" w:after="0"/>
            </w:pPr>
            <w:r/>
            <w:r>
              <w:rPr>
                <w:rFonts w:ascii="Figtree" w:hAnsi="Figtree"/>
                <w:b/>
                <w:i w:val="0"/>
                <w:sz w:val="20"/>
              </w:rPr>
              <w:t>Could Have</w:t>
            </w:r>
          </w:p>
        </w:tc>
        <w:tc>
          <w:tcPr>
            <w:tcW w:type="dxa" w:w="4873"/>
            <w:vAlign w:val="center"/>
          </w:tcPr>
          <w:p>
            <w:pPr>
              <w:spacing w:line="276" w:lineRule="auto" w:before="0" w:after="0"/>
            </w:pPr>
            <w:r/>
            <w:r>
              <w:rPr>
                <w:rFonts w:ascii="Figtree" w:hAnsi="Figtree"/>
                <w:b w:val="0"/>
                <w:i w:val="0"/>
                <w:sz w:val="20"/>
              </w:rPr>
              <w:t>TR-10</w:t>
            </w:r>
          </w:p>
        </w:tc>
      </w:tr>
    </w:tbl>
    <w:p>
      <w:pPr>
        <w:spacing w:before="0" w:after="0" w:line="120" w:lineRule="exact"/>
      </w:pPr>
    </w:p>
    <w:p>
      <w:r>
        <w:rPr>
          <w:rFonts w:ascii="Figtree" w:hAnsi="Figtree"/>
          <w:b w:val="0"/>
          <w:i w:val="0"/>
          <w:sz w:val="22"/>
        </w:rPr>
        <w:t>All mandatory requirements will be fully addressed in the base implementation.</w:t>
      </w:r>
    </w:p>
    <w:p>
      <w:pPr>
        <w:pStyle w:val="H2"/>
        <w:numPr>
          <w:ilvl w:val="1"/>
          <w:numId w:val="1"/>
        </w:numPr>
      </w:pPr>
      <w:r>
        <w:t>5.5 Response Principles</w:t>
      </w:r>
    </w:p>
    <w:p>
      <w:r>
        <w:rPr>
          <w:rFonts w:ascii="Figtree" w:hAnsi="Figtree"/>
          <w:b/>
          <w:i w:val="0"/>
          <w:sz w:val="22"/>
        </w:rPr>
        <w:t>Control Before Speed:</w:t>
      </w:r>
      <w:r>
        <w:rPr>
          <w:rFonts w:ascii="Figtree" w:hAnsi="Figtree"/>
          <w:b w:val="0"/>
          <w:i w:val="0"/>
          <w:sz w:val="22"/>
        </w:rPr>
        <w:t xml:space="preserve"> Every design decision prioritizes control and compliance over processing speed.</w:t>
      </w:r>
    </w:p>
    <w:p>
      <w:r>
        <w:rPr>
          <w:rFonts w:ascii="Figtree" w:hAnsi="Figtree"/>
          <w:b/>
          <w:i w:val="0"/>
          <w:sz w:val="22"/>
        </w:rPr>
        <w:t>Reuse Before Fragmentation:</w:t>
      </w:r>
      <w:r>
        <w:rPr>
          <w:rFonts w:ascii="Figtree" w:hAnsi="Figtree"/>
          <w:b w:val="0"/>
          <w:i w:val="0"/>
          <w:sz w:val="22"/>
        </w:rPr>
        <w:t xml:space="preserve"> The solution leverages existing DALP components rather than creating bespoke solutions.</w:t>
      </w:r>
    </w:p>
    <w:p>
      <w:r>
        <w:rPr>
          <w:rFonts w:ascii="Figtree" w:hAnsi="Figtree"/>
          <w:b/>
          <w:i w:val="0"/>
          <w:sz w:val="22"/>
        </w:rPr>
        <w:t>Phased Delivery:</w:t>
      </w:r>
      <w:r>
        <w:rPr>
          <w:rFonts w:ascii="Figtree" w:hAnsi="Figtree"/>
          <w:b w:val="0"/>
          <w:i w:val="0"/>
          <w:sz w:val="22"/>
        </w:rPr>
        <w:t xml:space="preserve"> Implementation proceeds through defined phases with clear acceptance gates.</w:t>
      </w:r>
    </w:p>
    <w:p>
      <w:r>
        <w:rPr>
          <w:rFonts w:ascii="Figtree" w:hAnsi="Figtree"/>
          <w:b/>
          <w:i w:val="0"/>
          <w:sz w:val="22"/>
        </w:rPr>
        <w:t>Evidence-Led Compliance:</w:t>
      </w:r>
      <w:r>
        <w:rPr>
          <w:rFonts w:ascii="Figtree" w:hAnsi="Figtree"/>
          <w:b w:val="0"/>
          <w:i w:val="0"/>
          <w:sz w:val="22"/>
        </w:rPr>
        <w:t xml:space="preserve"> Every compliance-relevant action generates immutable evidence.</w:t>
      </w:r>
    </w:p>
    <w:p>
      <w:r>
        <w:rPr>
          <w:rFonts w:ascii="Figtree" w:hAnsi="Figtree"/>
          <w:b/>
          <w:i w:val="0"/>
          <w:sz w:val="22"/>
        </w:rPr>
        <w:t>Institutional Ownership:</w:t>
      </w:r>
      <w:r>
        <w:rPr>
          <w:rFonts w:ascii="Figtree" w:hAnsi="Figtree"/>
          <w:b w:val="0"/>
          <w:i w:val="0"/>
          <w:sz w:val="22"/>
        </w:rPr>
        <w:t xml:space="preserve"> The solution is designed for KfW to operate independently.</w:t>
      </w:r>
    </w:p>
    <w:p>
      <w:r>
        <w:br w:type="page"/>
      </w:r>
    </w:p>
    <w:p>
      <w:pPr>
        <w:pStyle w:val="H1"/>
        <w:numPr>
          <w:ilvl w:val="0"/>
          <w:numId w:val="1"/>
        </w:numPr>
      </w:pPr>
      <w:r>
        <w:t>6. Proposed Solution and Functional Capabilities</w:t>
      </w:r>
    </w:p>
    <w:p>
      <w:pPr>
        <w:pStyle w:val="H2"/>
        <w:numPr>
          <w:ilvl w:val="1"/>
          <w:numId w:val="1"/>
        </w:numPr>
      </w:pPr>
      <w:r>
        <w:t>6.1 Solution Overview</w:t>
      </w:r>
    </w:p>
    <w:p>
      <w:r>
        <w:rPr>
          <w:rFonts w:ascii="Figtree" w:hAnsi="Figtree"/>
          <w:b w:val="0"/>
          <w:i w:val="0"/>
          <w:sz w:val="22"/>
        </w:rPr>
        <w:t>DALP provides the complete digital asset lifecycle platform for KfW's digital development bonds encompassing DALP core platform, Asset Designer, Asset Console, REST API, SDK, CLI, and observability stack.</w:t>
      </w:r>
    </w:p>
    <w:p>
      <w:pPr>
        <w:jc w:val="center"/>
      </w:pPr>
      <w:r>
        <w:drawing>
          <wp:inline xmlns:a="http://schemas.openxmlformats.org/drawingml/2006/main" xmlns:pic="http://schemas.openxmlformats.org/drawingml/2006/picture">
            <wp:extent cx="5486400" cy="28831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883159"/>
                    </a:xfrm>
                    <a:prstGeom prst="rect"/>
                  </pic:spPr>
                </pic:pic>
              </a:graphicData>
            </a:graphic>
          </wp:inline>
        </w:drawing>
      </w:r>
    </w:p>
    <w:p>
      <w:pPr>
        <w:pStyle w:val="H2"/>
        <w:numPr>
          <w:ilvl w:val="1"/>
          <w:numId w:val="1"/>
        </w:numPr>
      </w:pPr>
      <w:r>
        <w:t>6.2 Issuance and Asset Configuration</w:t>
      </w:r>
    </w:p>
    <w:p>
      <w:r>
        <w:rPr>
          <w:rFonts w:ascii="Figtree" w:hAnsi="Figtree"/>
          <w:b w:val="0"/>
          <w:i w:val="0"/>
          <w:sz w:val="22"/>
        </w:rPr>
        <w:t>DALP provides comprehensive asset configuration including asset type selection for bonds with predefined lifecycle logic, term structure configuration for face value, maturity date, coupon rate, coupon frequency, and denomination. All assets deploy through the Asset Factory with deterministic addressing and paused-by-default activation requiring explicit governance approval before go-live.</w:t>
      </w:r>
    </w:p>
    <w:p>
      <w:pPr>
        <w:pStyle w:val="H2"/>
        <w:numPr>
          <w:ilvl w:val="1"/>
          <w:numId w:val="1"/>
        </w:numPr>
      </w:pPr>
      <w:r>
        <w:t>6.3 Identity and Eligibility</w:t>
      </w:r>
    </w:p>
    <w:p>
      <w:r>
        <w:rPr>
          <w:rFonts w:ascii="Figtree" w:hAnsi="Figtree"/>
          <w:b w:val="0"/>
          <w:i w:val="0"/>
          <w:sz w:val="22"/>
        </w:rPr>
        <w:t>DALP integrates OnchainID (ERC-734/735) for on-chain identity management with identity contracts for every investor, claims model for verified credentials, issuer trust model for KfW designations, and reusability across all tokens.</w:t>
      </w:r>
    </w:p>
    <w:p>
      <w:pPr>
        <w:jc w:val="center"/>
      </w:pPr>
      <w:r>
        <w:drawing>
          <wp:inline xmlns:a="http://schemas.openxmlformats.org/drawingml/2006/main" xmlns:pic="http://schemas.openxmlformats.org/drawingml/2006/picture">
            <wp:extent cx="5486400" cy="400983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009831"/>
                    </a:xfrm>
                    <a:prstGeom prst="rect"/>
                  </pic:spPr>
                </pic:pic>
              </a:graphicData>
            </a:graphic>
          </wp:inline>
        </w:drawing>
      </w:r>
    </w:p>
    <w:p>
      <w:pPr>
        <w:pStyle w:val="H2"/>
        <w:numPr>
          <w:ilvl w:val="1"/>
          <w:numId w:val="1"/>
        </w:numPr>
      </w:pPr>
      <w:r>
        <w:t>6.4 Compliance Enforcement</w:t>
      </w:r>
    </w:p>
    <w:p>
      <w:r>
        <w:rPr>
          <w:rFonts w:ascii="Figtree" w:hAnsi="Figtree"/>
          <w:b w:val="0"/>
          <w:i w:val="0"/>
          <w:sz w:val="22"/>
        </w:rPr>
        <w:t>Every transfer passes through the compliance engine before execution: identity resolution, module evaluation in sequence, feature pre-check, and atomic execution only if all checks pass.</w:t>
      </w:r>
    </w:p>
    <w:p>
      <w:pPr>
        <w:jc w:val="center"/>
      </w:pPr>
      <w:r>
        <w:drawing>
          <wp:inline xmlns:a="http://schemas.openxmlformats.org/drawingml/2006/main" xmlns:pic="http://schemas.openxmlformats.org/drawingml/2006/picture">
            <wp:extent cx="4415723"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415723" cy="8229599"/>
                    </a:xfrm>
                    <a:prstGeom prst="rect"/>
                  </pic:spPr>
                </pic:pic>
              </a:graphicData>
            </a:graphic>
          </wp:inline>
        </w:drawing>
      </w:r>
    </w:p>
    <w:p>
      <w:r>
        <w:rPr>
          <w:rFonts w:ascii="Figtree" w:hAnsi="Figtree"/>
          <w:b w:val="0"/>
          <w:i w:val="0"/>
          <w:sz w:val="22"/>
        </w:rPr>
        <w:t>For KfW's requirements, recommended modules include Identity Verification, Country Allow List, Investor Count Limit, Transfer Approval, and Time Lock.</w:t>
      </w:r>
    </w:p>
    <w:p>
      <w:pPr>
        <w:pStyle w:val="H2"/>
        <w:numPr>
          <w:ilvl w:val="1"/>
          <w:numId w:val="1"/>
        </w:numPr>
      </w:pPr>
      <w:r>
        <w:t>6.5 Transfer, Settlement, and Cash-Leg Coordination</w:t>
      </w:r>
    </w:p>
    <w:p>
      <w:r>
        <w:rPr>
          <w:rFonts w:ascii="Figtree" w:hAnsi="Figtree"/>
          <w:b w:val="0"/>
          <w:i w:val="0"/>
          <w:sz w:val="22"/>
        </w:rPr>
        <w:t>DALP supports DvP (Delivery vs Payment) for atomic exchange of token for payment, XvP (Exchange vs Payment) for multi-leg atomic exchange, and settlement finality with deterministic closure. The platform handles settlement failures with atomic guarantee where if any leg fails, all legs revert.</w:t>
      </w:r>
    </w:p>
    <w:p>
      <w:pPr>
        <w:pStyle w:val="H2"/>
        <w:numPr>
          <w:ilvl w:val="1"/>
          <w:numId w:val="1"/>
        </w:numPr>
      </w:pPr>
      <w:r>
        <w:t>6.6 Lifecycle Servicing and Corporate Actions</w:t>
      </w:r>
    </w:p>
    <w:p>
      <w:pPr>
        <w:pStyle w:val="H3"/>
        <w:numPr>
          <w:ilvl w:val="2"/>
          <w:numId w:val="1"/>
        </w:numPr>
      </w:pPr>
      <w:r>
        <w:t>Coupon Distribution</w:t>
      </w:r>
    </w:p>
    <w:p>
      <w:r>
        <w:rPr>
          <w:rFonts w:ascii="Figtree" w:hAnsi="Figtree"/>
          <w:b w:val="0"/>
          <w:i w:val="0"/>
          <w:sz w:val="22"/>
        </w:rPr>
        <w:t>The platform supports automated coupon payments through Fixed Treasury Yield for pull-based claim systems and Yield Schedule for automated distribution.</w:t>
      </w:r>
    </w:p>
    <w:p>
      <w:pPr>
        <w:pStyle w:val="H3"/>
        <w:numPr>
          <w:ilvl w:val="2"/>
          <w:numId w:val="1"/>
        </w:numPr>
      </w:pPr>
      <w:r>
        <w:t>Maturity Handling</w:t>
      </w:r>
    </w:p>
    <w:p>
      <w:r>
        <w:rPr>
          <w:rFonts w:ascii="Figtree" w:hAnsi="Figtree"/>
          <w:b w:val="0"/>
          <w:i w:val="0"/>
          <w:sz w:val="22"/>
        </w:rPr>
        <w:t>Maturity Redemption feature implements the complete fixed-income lifecycle endpoint. After maturity date, the token blocks all transfers and holders redeem for denomination asset atomically.</w:t>
      </w:r>
    </w:p>
    <w:p>
      <w:pPr>
        <w:pStyle w:val="H3"/>
        <w:numPr>
          <w:ilvl w:val="2"/>
          <w:numId w:val="1"/>
        </w:numPr>
      </w:pPr>
      <w:r>
        <w:t>Redemption Mechanics</w:t>
      </w:r>
    </w:p>
    <w:p>
      <w:r>
        <w:rPr>
          <w:rFonts w:ascii="Figtree" w:hAnsi="Figtree"/>
          <w:b w:val="0"/>
          <w:i w:val="0"/>
          <w:sz w:val="22"/>
        </w:rPr>
        <w:t>The platform supports bullet redemption, sinking fund redemption, and callable redemption with configurable terms.</w:t>
      </w:r>
    </w:p>
    <w:p>
      <w:r>
        <w:br w:type="page"/>
      </w:r>
    </w:p>
    <w:p>
      <w:pPr>
        <w:pStyle w:val="H1"/>
        <w:numPr>
          <w:ilvl w:val="0"/>
          <w:numId w:val="1"/>
        </w:numPr>
      </w:pPr>
      <w:r>
        <w:t>7. Technical Architecture</w:t>
      </w:r>
    </w:p>
    <w:p>
      <w:pPr>
        <w:pStyle w:val="H2"/>
        <w:numPr>
          <w:ilvl w:val="1"/>
          <w:numId w:val="1"/>
        </w:numPr>
      </w:pPr>
      <w:r>
        <w:t>7.1 Architectural Principles</w:t>
      </w:r>
    </w:p>
    <w:p>
      <w:r>
        <w:rPr>
          <w:rFonts w:ascii="Figtree" w:hAnsi="Figtree"/>
          <w:b w:val="0"/>
          <w:i w:val="0"/>
          <w:sz w:val="22"/>
        </w:rPr>
        <w:t>DALP follows five architectural principles: lifecycle-first where the platform treats assets as continuous processes; durable execution ensuring workflows survive infrastructure failures; defense-in-depth with security across all layers; separation of concerns between components; and provider abstraction enabling multi-custody and multi-network operation.</w:t>
      </w:r>
    </w:p>
    <w:p>
      <w:pPr>
        <w:pStyle w:val="H2"/>
        <w:numPr>
          <w:ilvl w:val="1"/>
          <w:numId w:val="1"/>
        </w:numPr>
      </w:pPr>
      <w:r>
        <w:t>7.2 Layered Architecture</w:t>
      </w:r>
    </w:p>
    <w:p>
      <w:pPr>
        <w:jc w:val="center"/>
      </w:pPr>
      <w:r>
        <w:drawing>
          <wp:inline xmlns:a="http://schemas.openxmlformats.org/drawingml/2006/main" xmlns:pic="http://schemas.openxmlformats.org/drawingml/2006/picture">
            <wp:extent cx="5486400" cy="660861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6608618"/>
                    </a:xfrm>
                    <a:prstGeom prst="rect"/>
                  </pic:spPr>
                </pic:pic>
              </a:graphicData>
            </a:graphic>
          </wp:inline>
        </w:drawing>
      </w:r>
    </w:p>
    <w:p>
      <w:pPr>
        <w:pStyle w:val="H2"/>
        <w:numPr>
          <w:ilvl w:val="1"/>
          <w:numId w:val="1"/>
        </w:numPr>
      </w:pPr>
      <w:r>
        <w:t>7.3 Data Architecture</w:t>
      </w:r>
    </w:p>
    <w:p>
      <w:r>
        <w:rPr>
          <w:rFonts w:ascii="Figtree" w:hAnsi="Figtree"/>
          <w:b w:val="0"/>
          <w:i w:val="0"/>
          <w:sz w:val="22"/>
        </w:rPr>
        <w:t>The platform maintains chain state on EVM networks, application state in PostgreSQL, indexed state for query optimization, and audit evidence with immutable event storage.</w:t>
      </w:r>
    </w:p>
    <w:p>
      <w:pPr>
        <w:pStyle w:val="H2"/>
        <w:numPr>
          <w:ilvl w:val="1"/>
          <w:numId w:val="1"/>
        </w:numPr>
      </w:pPr>
      <w:r>
        <w:t>7.4 Network and Chain Topology</w:t>
      </w:r>
    </w:p>
    <w:p>
      <w:r>
        <w:rPr>
          <w:rFonts w:ascii="Figtree" w:hAnsi="Figtree"/>
          <w:b w:val="0"/>
          <w:i w:val="0"/>
          <w:sz w:val="22"/>
        </w:rPr>
        <w:t>DALP operates on any EVM-compatible blockchain. For KfW, we recommend deployment on a private/consortium network (Hyperledger Besu with IBFT 2.0) for production, with public testnet for development and testing.</w:t>
      </w:r>
    </w:p>
    <w:p>
      <w:pPr>
        <w:pStyle w:val="H2"/>
        <w:numPr>
          <w:ilvl w:val="1"/>
          <w:numId w:val="1"/>
        </w:numPr>
      </w:pPr>
      <w:r>
        <w:t>7.5 Multi-Tenancy and Environment Segregation</w:t>
      </w:r>
    </w:p>
    <w:p>
      <w:r>
        <w:rPr>
          <w:rFonts w:ascii="Figtree" w:hAnsi="Figtree"/>
          <w:b w:val="0"/>
          <w:i w:val="0"/>
          <w:sz w:val="22"/>
        </w:rPr>
        <w:t>The platform supports tenant isolation through separate database schemas, environment separation for dev/test/staging/production/DR, and governance boundaries between organizational units.</w:t>
      </w:r>
    </w:p>
    <w:p>
      <w:pPr>
        <w:pStyle w:val="H2"/>
        <w:numPr>
          <w:ilvl w:val="1"/>
          <w:numId w:val="1"/>
        </w:numPr>
      </w:pPr>
      <w:r>
        <w:t>7.6 Operational Architecture</w:t>
      </w:r>
    </w:p>
    <w:p>
      <w:r>
        <w:rPr>
          <w:rFonts w:ascii="Figtree" w:hAnsi="Figtree"/>
          <w:b w:val="0"/>
          <w:i w:val="0"/>
          <w:sz w:val="22"/>
        </w:rPr>
        <w:t>The Execution Engine provides reliable workflow orchestration with persistent state. Transaction management includes nonce coordination, gas estimation, and confirmation tracking. The Chain Indexer processes blockchain events for queryable state projection.</w:t>
      </w:r>
    </w:p>
    <w:p>
      <w:r>
        <w:br w:type="page"/>
      </w:r>
    </w:p>
    <w:p>
      <w:pPr>
        <w:pStyle w:val="H1"/>
        <w:numPr>
          <w:ilvl w:val="0"/>
          <w:numId w:val="1"/>
        </w:numPr>
      </w:pPr>
      <w:r>
        <w:t>8. Security</w:t>
      </w:r>
    </w:p>
    <w:p>
      <w:pPr>
        <w:pStyle w:val="H2"/>
        <w:numPr>
          <w:ilvl w:val="1"/>
          <w:numId w:val="1"/>
        </w:numPr>
      </w:pPr>
      <w:r>
        <w:t>8.1 Security Model Overview</w:t>
      </w:r>
    </w:p>
    <w:p>
      <w:r>
        <w:rPr>
          <w:rFonts w:ascii="Figtree" w:hAnsi="Figtree"/>
          <w:b w:val="0"/>
          <w:i w:val="0"/>
          <w:sz w:val="22"/>
        </w:rPr>
        <w:t>DALP implements a defense-in-depth security model across three domains: perimeter security (network, firewall, DDoS protection), application security (authentication, authorization, input validation), and data security (encryption at rest and in transit).</w:t>
      </w:r>
    </w:p>
    <w:p>
      <w:pPr>
        <w:pStyle w:val="H2"/>
        <w:numPr>
          <w:ilvl w:val="1"/>
          <w:numId w:val="1"/>
        </w:numPr>
      </w:pPr>
      <w:r>
        <w:t>8.2 Authentication and Access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0"/>
        <w:gridCol w:w="64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i w:val="0"/>
                <w:sz w:val="20"/>
              </w:rPr>
              <w:t>Session Auth</w:t>
            </w:r>
          </w:p>
        </w:tc>
        <w:tc>
          <w:tcPr>
            <w:tcW w:type="dxa" w:w="4873"/>
            <w:vAlign w:val="center"/>
          </w:tcPr>
          <w:p>
            <w:pPr>
              <w:spacing w:line="276" w:lineRule="auto" w:before="0" w:after="0"/>
            </w:pPr>
            <w:r/>
            <w:r>
              <w:rPr>
                <w:rFonts w:ascii="Figtree" w:hAnsi="Figtree"/>
                <w:b w:val="0"/>
                <w:i w:val="0"/>
                <w:sz w:val="20"/>
              </w:rPr>
              <w:t>Better Auth with secure session management</w:t>
            </w:r>
          </w:p>
        </w:tc>
      </w:tr>
      <w:tr>
        <w:trPr>
          <w:trHeight w:val="425" w:hRule="atLeast"/>
        </w:trPr>
        <w:tc>
          <w:tcPr>
            <w:tcW w:type="dxa" w:w="4873"/>
            <w:vAlign w:val="center"/>
          </w:tcPr>
          <w:p>
            <w:pPr>
              <w:spacing w:line="276" w:lineRule="auto" w:before="0" w:after="0"/>
            </w:pPr>
            <w:r/>
            <w:r>
              <w:rPr>
                <w:rFonts w:ascii="Figtree" w:hAnsi="Figtree"/>
                <w:b/>
                <w:i w:val="0"/>
                <w:sz w:val="20"/>
              </w:rPr>
              <w:t>API Keys</w:t>
            </w:r>
          </w:p>
        </w:tc>
        <w:tc>
          <w:tcPr>
            <w:tcW w:type="dxa" w:w="4873"/>
            <w:vAlign w:val="center"/>
          </w:tcPr>
          <w:p>
            <w:pPr>
              <w:spacing w:line="276" w:lineRule="auto" w:before="0" w:after="0"/>
            </w:pPr>
            <w:r/>
            <w:r>
              <w:rPr>
                <w:rFonts w:ascii="Figtree" w:hAnsi="Figtree"/>
                <w:b w:val="0"/>
                <w:i w:val="0"/>
                <w:sz w:val="20"/>
              </w:rPr>
              <w:t>Organization-scoped with optional read-only enforcement</w:t>
            </w:r>
          </w:p>
        </w:tc>
      </w:tr>
      <w:tr>
        <w:trPr>
          <w:trHeight w:val="425" w:hRule="atLeast"/>
        </w:trPr>
        <w:tc>
          <w:tcPr>
            <w:tcW w:type="dxa" w:w="4873"/>
            <w:vAlign w:val="center"/>
          </w:tcPr>
          <w:p>
            <w:pPr>
              <w:spacing w:line="276" w:lineRule="auto" w:before="0" w:after="0"/>
            </w:pPr>
            <w:r/>
            <w:r>
              <w:rPr>
                <w:rFonts w:ascii="Figtree" w:hAnsi="Figtree"/>
                <w:b/>
                <w:i w:val="0"/>
                <w:sz w:val="20"/>
              </w:rPr>
              <w:t>RBAC</w:t>
            </w:r>
          </w:p>
        </w:tc>
        <w:tc>
          <w:tcPr>
            <w:tcW w:type="dxa" w:w="4873"/>
            <w:vAlign w:val="center"/>
          </w:tcPr>
          <w:p>
            <w:pPr>
              <w:spacing w:line="276" w:lineRule="auto" w:before="0" w:after="0"/>
            </w:pPr>
            <w:r/>
            <w:r>
              <w:rPr>
                <w:rFonts w:ascii="Figtree" w:hAnsi="Figtree"/>
                <w:b w:val="0"/>
                <w:i w:val="0"/>
                <w:sz w:val="20"/>
              </w:rPr>
              <w:t>5 defined roles: admin, governance, supply management, custodian, emergency</w:t>
            </w:r>
          </w:p>
        </w:tc>
      </w:tr>
      <w:tr>
        <w:trPr>
          <w:trHeight w:val="425" w:hRule="atLeast"/>
        </w:trPr>
        <w:tc>
          <w:tcPr>
            <w:tcW w:type="dxa" w:w="4873"/>
            <w:vAlign w:val="center"/>
          </w:tcPr>
          <w:p>
            <w:pPr>
              <w:spacing w:line="276" w:lineRule="auto" w:before="0" w:after="0"/>
            </w:pPr>
            <w:r/>
            <w:r>
              <w:rPr>
                <w:rFonts w:ascii="Figtree" w:hAnsi="Figtree"/>
                <w:b/>
                <w:i w:val="0"/>
                <w:sz w:val="20"/>
              </w:rPr>
              <w:t>MFA</w:t>
            </w:r>
          </w:p>
        </w:tc>
        <w:tc>
          <w:tcPr>
            <w:tcW w:type="dxa" w:w="4873"/>
            <w:vAlign w:val="center"/>
          </w:tcPr>
          <w:p>
            <w:pPr>
              <w:spacing w:line="276" w:lineRule="auto" w:before="0" w:after="0"/>
            </w:pPr>
            <w:r/>
            <w:r>
              <w:rPr>
                <w:rFonts w:ascii="Figtree" w:hAnsi="Figtree"/>
                <w:b w:val="0"/>
                <w:i w:val="0"/>
                <w:sz w:val="20"/>
              </w:rPr>
              <w:t>PIN, TOTP, or backup codes for privileged operations</w:t>
            </w:r>
          </w:p>
        </w:tc>
      </w:tr>
      <w:tr>
        <w:trPr>
          <w:trHeight w:val="425" w:hRule="atLeast"/>
        </w:trPr>
        <w:tc>
          <w:tcPr>
            <w:tcW w:type="dxa" w:w="4873"/>
            <w:vAlign w:val="center"/>
          </w:tcPr>
          <w:p>
            <w:pPr>
              <w:spacing w:line="276" w:lineRule="auto" w:before="0" w:after="0"/>
            </w:pPr>
            <w:r/>
            <w:r>
              <w:rPr>
                <w:rFonts w:ascii="Figtree" w:hAnsi="Figtree"/>
                <w:b/>
                <w:i w:val="0"/>
                <w:sz w:val="20"/>
              </w:rPr>
              <w:t>Separation of Duties</w:t>
            </w:r>
          </w:p>
        </w:tc>
        <w:tc>
          <w:tcPr>
            <w:tcW w:type="dxa" w:w="4873"/>
            <w:vAlign w:val="center"/>
          </w:tcPr>
          <w:p>
            <w:pPr>
              <w:spacing w:line="276" w:lineRule="auto" w:before="0" w:after="0"/>
            </w:pPr>
            <w:r/>
            <w:r>
              <w:rPr>
                <w:rFonts w:ascii="Figtree" w:hAnsi="Figtree"/>
                <w:b w:val="0"/>
                <w:i w:val="0"/>
                <w:sz w:val="20"/>
              </w:rPr>
              <w:t>Role combinations restricted by policy</w:t>
            </w:r>
          </w:p>
        </w:tc>
      </w:tr>
    </w:tbl>
    <w:p>
      <w:pPr>
        <w:spacing w:before="0" w:after="0" w:line="120" w:lineRule="exact"/>
      </w:pPr>
    </w:p>
    <w:p>
      <w:pPr>
        <w:pStyle w:val="H2"/>
        <w:numPr>
          <w:ilvl w:val="1"/>
          <w:numId w:val="1"/>
        </w:numPr>
      </w:pPr>
      <w:r>
        <w:t>8.3 Key Management and Custody Integration</w:t>
      </w:r>
    </w:p>
    <w:p>
      <w:r>
        <w:rPr>
          <w:rFonts w:ascii="Figtree" w:hAnsi="Figtree"/>
          <w:b w:val="0"/>
          <w:i w:val="0"/>
          <w:sz w:val="22"/>
        </w:rPr>
        <w:t>Key Guardian provides HSM integration (Thales, Utimaco, cloud KMS), maker-checker workflows with configurable quorum, emergency recovery procedures, and Fireblocks/DFNS integration for institutional custody.</w:t>
      </w:r>
    </w:p>
    <w:p>
      <w:pPr>
        <w:pStyle w:val="H2"/>
        <w:numPr>
          <w:ilvl w:val="1"/>
          <w:numId w:val="1"/>
        </w:numPr>
      </w:pPr>
      <w:r>
        <w:t>8.4 Data Protection and Encryption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0"/>
        <w:gridCol w:w="620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Data State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Protection</w:t>
            </w:r>
          </w:p>
        </w:tc>
      </w:tr>
      <w:tr>
        <w:trPr>
          <w:trHeight w:val="425" w:hRule="atLeast"/>
        </w:trPr>
        <w:tc>
          <w:tcPr>
            <w:tcW w:type="dxa" w:w="4873"/>
            <w:vAlign w:val="center"/>
          </w:tcPr>
          <w:p>
            <w:pPr>
              <w:spacing w:line="276" w:lineRule="auto" w:before="0" w:after="0"/>
            </w:pPr>
            <w:r/>
            <w:r>
              <w:rPr>
                <w:rFonts w:ascii="Figtree" w:hAnsi="Figtree"/>
                <w:b/>
                <w:i w:val="0"/>
                <w:sz w:val="20"/>
              </w:rPr>
              <w:t>In Transit</w:t>
            </w:r>
          </w:p>
        </w:tc>
        <w:tc>
          <w:tcPr>
            <w:tcW w:type="dxa" w:w="4873"/>
            <w:vAlign w:val="center"/>
          </w:tcPr>
          <w:p>
            <w:pPr>
              <w:spacing w:line="276" w:lineRule="auto" w:before="0" w:after="0"/>
            </w:pPr>
            <w:r/>
            <w:r>
              <w:rPr>
                <w:rFonts w:ascii="Figtree" w:hAnsi="Figtree"/>
                <w:b w:val="0"/>
                <w:i w:val="0"/>
                <w:sz w:val="20"/>
              </w:rPr>
              <w:t>TLS 1.3</w:t>
            </w:r>
          </w:p>
        </w:tc>
      </w:tr>
      <w:tr>
        <w:trPr>
          <w:trHeight w:val="425" w:hRule="atLeast"/>
        </w:trPr>
        <w:tc>
          <w:tcPr>
            <w:tcW w:type="dxa" w:w="4873"/>
            <w:vAlign w:val="center"/>
          </w:tcPr>
          <w:p>
            <w:pPr>
              <w:spacing w:line="276" w:lineRule="auto" w:before="0" w:after="0"/>
            </w:pPr>
            <w:r/>
            <w:r>
              <w:rPr>
                <w:rFonts w:ascii="Figtree" w:hAnsi="Figtree"/>
                <w:b/>
                <w:i w:val="0"/>
                <w:sz w:val="20"/>
              </w:rPr>
              <w:t>At Rest</w:t>
            </w:r>
          </w:p>
        </w:tc>
        <w:tc>
          <w:tcPr>
            <w:tcW w:type="dxa" w:w="4873"/>
            <w:vAlign w:val="center"/>
          </w:tcPr>
          <w:p>
            <w:pPr>
              <w:spacing w:line="276" w:lineRule="auto" w:before="0" w:after="0"/>
            </w:pPr>
            <w:r/>
            <w:r>
              <w:rPr>
                <w:rFonts w:ascii="Figtree" w:hAnsi="Figtree"/>
                <w:b w:val="0"/>
                <w:i w:val="0"/>
                <w:sz w:val="20"/>
              </w:rPr>
              <w:t>AES-256</w:t>
            </w:r>
          </w:p>
        </w:tc>
      </w:tr>
      <w:tr>
        <w:trPr>
          <w:trHeight w:val="425" w:hRule="atLeast"/>
        </w:trPr>
        <w:tc>
          <w:tcPr>
            <w:tcW w:type="dxa" w:w="4873"/>
            <w:vAlign w:val="center"/>
          </w:tcPr>
          <w:p>
            <w:pPr>
              <w:spacing w:line="276" w:lineRule="auto" w:before="0" w:after="0"/>
            </w:pPr>
            <w:r/>
            <w:r>
              <w:rPr>
                <w:rFonts w:ascii="Figtree" w:hAnsi="Figtree"/>
                <w:b/>
                <w:i w:val="0"/>
                <w:sz w:val="20"/>
              </w:rPr>
              <w:t>Secrets</w:t>
            </w:r>
          </w:p>
        </w:tc>
        <w:tc>
          <w:tcPr>
            <w:tcW w:type="dxa" w:w="4873"/>
            <w:vAlign w:val="center"/>
          </w:tcPr>
          <w:p>
            <w:pPr>
              <w:spacing w:line="276" w:lineRule="auto" w:before="0" w:after="0"/>
            </w:pPr>
            <w:r/>
            <w:r>
              <w:rPr>
                <w:rFonts w:ascii="Figtree" w:hAnsi="Figtree"/>
                <w:b w:val="0"/>
                <w:i w:val="0"/>
                <w:sz w:val="20"/>
              </w:rPr>
              <w:t>HashiCorp Vault or cloud KMS</w:t>
            </w:r>
          </w:p>
        </w:tc>
      </w:tr>
      <w:tr>
        <w:trPr>
          <w:trHeight w:val="425" w:hRule="atLeast"/>
        </w:trPr>
        <w:tc>
          <w:tcPr>
            <w:tcW w:type="dxa" w:w="4873"/>
            <w:vAlign w:val="center"/>
          </w:tcPr>
          <w:p>
            <w:pPr>
              <w:spacing w:line="276" w:lineRule="auto" w:before="0" w:after="0"/>
            </w:pPr>
            <w:r/>
            <w:r>
              <w:rPr>
                <w:rFonts w:ascii="Figtree" w:hAnsi="Figtree"/>
                <w:b/>
                <w:i w:val="0"/>
                <w:sz w:val="20"/>
              </w:rPr>
              <w:t>Field-Level</w:t>
            </w:r>
          </w:p>
        </w:tc>
        <w:tc>
          <w:tcPr>
            <w:tcW w:type="dxa" w:w="4873"/>
            <w:vAlign w:val="center"/>
          </w:tcPr>
          <w:p>
            <w:pPr>
              <w:spacing w:line="276" w:lineRule="auto" w:before="0" w:after="0"/>
            </w:pPr>
            <w:r/>
            <w:r>
              <w:rPr>
                <w:rFonts w:ascii="Figtree" w:hAnsi="Figtree"/>
                <w:b w:val="0"/>
                <w:i w:val="0"/>
                <w:sz w:val="20"/>
              </w:rPr>
              <w:t>Sensitive fields encrypted individually</w:t>
            </w:r>
          </w:p>
        </w:tc>
      </w:tr>
    </w:tbl>
    <w:p>
      <w:pPr>
        <w:spacing w:before="0" w:after="0" w:line="120" w:lineRule="exact"/>
      </w:pPr>
    </w:p>
    <w:p>
      <w:pPr>
        <w:pStyle w:val="H2"/>
        <w:numPr>
          <w:ilvl w:val="1"/>
          <w:numId w:val="1"/>
        </w:numPr>
      </w:pPr>
      <w:r>
        <w:t>8.5 Compliance Controls and Auditability</w:t>
      </w:r>
    </w:p>
    <w:p>
      <w:r>
        <w:rPr>
          <w:rFonts w:ascii="Figtree" w:hAnsi="Figtree"/>
          <w:b w:val="0"/>
          <w:i w:val="0"/>
          <w:sz w:val="22"/>
        </w:rPr>
        <w:t>Every action generates immutable audit events, SIEM integration exports standard formats, and reporting supports regulatory requirements.</w:t>
      </w:r>
    </w:p>
    <w:p>
      <w:pPr>
        <w:pStyle w:val="H2"/>
        <w:numPr>
          <w:ilvl w:val="1"/>
          <w:numId w:val="1"/>
        </w:numPr>
      </w:pPr>
      <w:r>
        <w:t>8.6 Testing and Assurance</w:t>
      </w:r>
    </w:p>
    <w:p>
      <w:r>
        <w:rPr>
          <w:rFonts w:ascii="Figtree" w:hAnsi="Figtree"/>
          <w:b w:val="0"/>
          <w:i w:val="0"/>
          <w:sz w:val="22"/>
        </w:rPr>
        <w:t>SettleMint conducts annual penetration testing by independent firms, maintains vulnerability management with regular scanning, and provides remediation governance with defined SLAs.</w:t>
      </w:r>
    </w:p>
    <w:p>
      <w:pPr>
        <w:pStyle w:val="H2"/>
        <w:numPr>
          <w:ilvl w:val="1"/>
          <w:numId w:val="1"/>
        </w:numPr>
      </w:pPr>
      <w:r>
        <w:t>8.7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5"/>
        <w:gridCol w:w="2061"/>
        <w:gridCol w:w="35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Client</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w:t>
            </w:r>
          </w:p>
        </w:tc>
        <w:tc>
          <w:tcPr>
            <w:tcW w:type="dxa" w:w="3249"/>
            <w:vAlign w:val="center"/>
          </w:tcPr>
          <w:p>
            <w:pPr>
              <w:spacing w:line="276" w:lineRule="auto" w:before="0" w:after="0"/>
            </w:pPr>
            <w:r/>
            <w:r>
              <w:rPr>
                <w:rFonts w:ascii="Figtree" w:hAnsi="Figtree"/>
                <w:b w:val="0"/>
                <w:i w:val="0"/>
                <w:sz w:val="20"/>
              </w:rPr>
              <w:t>Primary</w:t>
            </w:r>
          </w:p>
        </w:tc>
        <w:tc>
          <w:tcPr>
            <w:tcW w:type="dxa" w:w="3249"/>
            <w:vAlign w:val="center"/>
          </w:tcPr>
          <w:p>
            <w:pPr>
              <w:spacing w:line="276" w:lineRule="auto" w:before="0" w:after="0"/>
            </w:pPr>
            <w:r/>
            <w:r>
              <w:rPr>
                <w:rFonts w:ascii="Figtree" w:hAnsi="Figtree"/>
                <w:b w:val="0"/>
                <w:i w:val="0"/>
                <w:sz w:val="20"/>
              </w:rPr>
              <w:t>Secondary</w:t>
            </w:r>
          </w:p>
        </w:tc>
      </w:tr>
      <w:tr>
        <w:trPr>
          <w:trHeight w:val="425" w:hRule="atLeast"/>
        </w:trPr>
        <w:tc>
          <w:tcPr>
            <w:tcW w:type="dxa" w:w="3249"/>
            <w:vAlign w:val="center"/>
          </w:tcPr>
          <w:p>
            <w:pPr>
              <w:spacing w:line="276" w:lineRule="auto" w:before="0" w:after="0"/>
            </w:pPr>
            <w:r/>
            <w:r>
              <w:rPr>
                <w:rFonts w:ascii="Figtree" w:hAnsi="Figtree"/>
                <w:b w:val="0"/>
                <w:i w:val="0"/>
                <w:sz w:val="20"/>
              </w:rPr>
              <w:t>Network Security</w:t>
            </w:r>
          </w:p>
        </w:tc>
        <w:tc>
          <w:tcPr>
            <w:tcW w:type="dxa" w:w="3249"/>
            <w:vAlign w:val="center"/>
          </w:tcPr>
          <w:p>
            <w:pPr>
              <w:spacing w:line="276" w:lineRule="auto" w:before="0" w:after="0"/>
            </w:pPr>
            <w:r/>
            <w:r>
              <w:rPr>
                <w:rFonts w:ascii="Figtree" w:hAnsi="Figtree"/>
                <w:b w:val="0"/>
                <w:i w:val="0"/>
                <w:sz w:val="20"/>
              </w:rPr>
              <w:t>Primary</w:t>
            </w:r>
          </w:p>
        </w:tc>
        <w:tc>
          <w:tcPr>
            <w:tcW w:type="dxa" w:w="3249"/>
            <w:vAlign w:val="center"/>
          </w:tcPr>
          <w:p>
            <w:pPr>
              <w:spacing w:line="276" w:lineRule="auto" w:before="0" w:after="0"/>
            </w:pPr>
            <w:r/>
            <w:r>
              <w:rPr>
                <w:rFonts w:ascii="Figtree" w:hAnsi="Figtree"/>
                <w:b w:val="0"/>
                <w:i w:val="0"/>
                <w:sz w:val="20"/>
              </w:rPr>
              <w:t>Monitoring</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Custody Choices</w:t>
            </w:r>
          </w:p>
        </w:tc>
      </w:tr>
      <w:tr>
        <w:trPr>
          <w:trHeight w:val="425" w:hRule="atLeast"/>
        </w:trPr>
        <w:tc>
          <w:tcPr>
            <w:tcW w:type="dxa" w:w="3249"/>
            <w:vAlign w:val="center"/>
          </w:tcPr>
          <w:p>
            <w:pPr>
              <w:spacing w:line="276" w:lineRule="auto" w:before="0" w:after="0"/>
            </w:pPr>
            <w:r/>
            <w:r>
              <w:rPr>
                <w:rFonts w:ascii="Figtree" w:hAnsi="Figtree"/>
                <w:b w:val="0"/>
                <w:i w:val="0"/>
                <w:sz w:val="20"/>
              </w:rPr>
              <w:t>Access Management</w:t>
            </w:r>
          </w:p>
        </w:tc>
        <w:tc>
          <w:tcPr>
            <w:tcW w:type="dxa" w:w="3249"/>
            <w:vAlign w:val="center"/>
          </w:tcPr>
          <w:p>
            <w:pPr>
              <w:spacing w:line="276" w:lineRule="auto" w:before="0" w:after="0"/>
            </w:pPr>
            <w:r/>
            <w:r>
              <w:rPr>
                <w:rFonts w:ascii="Figtree" w:hAnsi="Figtree"/>
                <w:b w:val="0"/>
                <w:i w:val="0"/>
                <w:sz w:val="20"/>
              </w:rPr>
              <w:t>Primary</w:t>
            </w:r>
          </w:p>
        </w:tc>
        <w:tc>
          <w:tcPr>
            <w:tcW w:type="dxa" w:w="3249"/>
            <w:vAlign w:val="center"/>
          </w:tcPr>
          <w:p>
            <w:pPr>
              <w:spacing w:line="276" w:lineRule="auto" w:before="0" w:after="0"/>
            </w:pPr>
            <w:r/>
            <w:r>
              <w:rPr>
                <w:rFonts w:ascii="Figtree" w:hAnsi="Figtree"/>
                <w:b w:val="0"/>
                <w:i w:val="0"/>
                <w:sz w:val="20"/>
              </w:rPr>
              <w:t>User Provisioning</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w:t>
            </w:r>
          </w:p>
        </w:tc>
        <w:tc>
          <w:tcPr>
            <w:tcW w:type="dxa" w:w="3249"/>
            <w:vAlign w:val="center"/>
          </w:tcPr>
          <w:p>
            <w:pPr>
              <w:spacing w:line="276" w:lineRule="auto" w:before="0" w:after="0"/>
            </w:pPr>
            <w:r/>
            <w:r>
              <w:rPr>
                <w:rFonts w:ascii="Figtree" w:hAnsi="Figtree"/>
                <w:b w:val="0"/>
                <w:i w:val="0"/>
                <w:sz w:val="20"/>
              </w:rPr>
              <w:t>Primary</w:t>
            </w:r>
          </w:p>
        </w:tc>
        <w:tc>
          <w:tcPr>
            <w:tcW w:type="dxa" w:w="3249"/>
            <w:vAlign w:val="center"/>
          </w:tcPr>
          <w:p>
            <w:pPr>
              <w:spacing w:line="276" w:lineRule="auto" w:before="0" w:after="0"/>
            </w:pPr>
            <w:r/>
            <w:r>
              <w:rPr>
                <w:rFonts w:ascii="Figtree" w:hAnsi="Figtree"/>
                <w:b w:val="0"/>
                <w:i w:val="0"/>
                <w:sz w:val="20"/>
              </w:rPr>
              <w:t>Notification</w:t>
            </w:r>
          </w:p>
        </w:tc>
      </w:tr>
    </w:tbl>
    <w:p>
      <w:pPr>
        <w:spacing w:before="0" w:after="0" w:line="120" w:lineRule="exact"/>
      </w:pPr>
    </w:p>
    <w:p>
      <w:r>
        <w:br w:type="page"/>
      </w:r>
    </w:p>
    <w:p>
      <w:pPr>
        <w:pStyle w:val="H1"/>
        <w:numPr>
          <w:ilvl w:val="0"/>
          <w:numId w:val="1"/>
        </w:numPr>
      </w:pPr>
      <w:r>
        <w:t>9. Project Implementation &amp; Delivery</w:t>
      </w:r>
    </w:p>
    <w:p>
      <w:pPr>
        <w:pStyle w:val="H2"/>
        <w:numPr>
          <w:ilvl w:val="1"/>
          <w:numId w:val="1"/>
        </w:numPr>
      </w:pPr>
      <w:r>
        <w:t>9.1 Delivery Overview</w:t>
      </w:r>
    </w:p>
    <w:p>
      <w:r>
        <w:rPr>
          <w:rFonts w:ascii="Figtree" w:hAnsi="Figtree"/>
          <w:b w:val="0"/>
          <w:i w:val="0"/>
          <w:sz w:val="22"/>
        </w:rPr>
        <w:t>SettleMint employs a phased delivery methodology with stage-gate approvals ensuring governance alignment and risk management throughout the implementation.</w:t>
      </w:r>
    </w:p>
    <w:p>
      <w:pPr>
        <w:pStyle w:val="H2"/>
        <w:numPr>
          <w:ilvl w:val="1"/>
          <w:numId w:val="1"/>
        </w:numPr>
      </w:pPr>
      <w:r>
        <w:t>9.2 Phase Plan</w:t>
      </w:r>
    </w:p>
    <w:p>
      <w:pPr>
        <w:pStyle w:val="H3"/>
        <w:numPr>
          <w:ilvl w:val="2"/>
          <w:numId w:val="1"/>
        </w:numPr>
      </w:pPr>
      <w:r>
        <w:t>Phase 1: Discovery and Requirements (4 weeks)</w:t>
      </w:r>
    </w:p>
    <w:p>
      <w:r>
        <w:rPr>
          <w:rFonts w:ascii="Figtree" w:hAnsi="Figtree"/>
          <w:b/>
          <w:i w:val="0"/>
          <w:sz w:val="22"/>
        </w:rPr>
        <w:t>Objective:</w:t>
      </w:r>
      <w:r>
        <w:rPr>
          <w:rFonts w:ascii="Figtree" w:hAnsi="Figtree"/>
          <w:b w:val="0"/>
          <w:i w:val="0"/>
          <w:sz w:val="22"/>
        </w:rPr>
        <w:t xml:space="preserve"> Define scope, establish baselines, and create detailed design.</w:t>
      </w:r>
    </w:p>
    <w:p>
      <w:r>
        <w:rPr>
          <w:rFonts w:ascii="Figtree" w:hAnsi="Figtree"/>
          <w:b/>
          <w:i w:val="0"/>
          <w:sz w:val="22"/>
        </w:rPr>
        <w:t>Key Activities:</w:t>
      </w:r>
      <w:r>
        <w:rPr>
          <w:rFonts w:ascii="Figtree" w:hAnsi="Figtree"/>
          <w:b w:val="0"/>
          <w:i w:val="0"/>
          <w:sz w:val="22"/>
        </w:rPr>
        <w:t xml:space="preserve"> Requirements workshop, systems landscape analysis, regulatory requirements mapping, integration design sessions, and success criteria definition.</w:t>
      </w:r>
    </w:p>
    <w:p>
      <w:r>
        <w:rPr>
          <w:rFonts w:ascii="Figtree" w:hAnsi="Figtree"/>
          <w:b/>
          <w:i w:val="0"/>
          <w:sz w:val="22"/>
        </w:rPr>
        <w:t>Outputs:</w:t>
      </w:r>
      <w:r>
        <w:rPr>
          <w:rFonts w:ascii="Figtree" w:hAnsi="Figtree"/>
          <w:b w:val="0"/>
          <w:i w:val="0"/>
          <w:sz w:val="22"/>
        </w:rPr>
        <w:t xml:space="preserve"> Requirements document, integration specifications, control mapping, and project plan.</w:t>
      </w:r>
    </w:p>
    <w:p>
      <w:r>
        <w:rPr>
          <w:rFonts w:ascii="Figtree" w:hAnsi="Figtree"/>
          <w:b/>
          <w:i w:val="0"/>
          <w:sz w:val="22"/>
        </w:rPr>
        <w:t>Dependencies:</w:t>
      </w:r>
      <w:r>
        <w:rPr>
          <w:rFonts w:ascii="Figtree" w:hAnsi="Figtree"/>
          <w:b w:val="0"/>
          <w:i w:val="0"/>
          <w:sz w:val="22"/>
        </w:rPr>
        <w:t xml:space="preserve"> KfW stakeholder availability, access to current system documentation.</w:t>
      </w:r>
    </w:p>
    <w:p>
      <w:pPr>
        <w:pStyle w:val="H3"/>
        <w:numPr>
          <w:ilvl w:val="2"/>
          <w:numId w:val="1"/>
        </w:numPr>
      </w:pPr>
      <w:r>
        <w:t>Phase 2: Foundation and Setup (6 weeks)</w:t>
      </w:r>
    </w:p>
    <w:p>
      <w:r>
        <w:rPr>
          <w:rFonts w:ascii="Figtree" w:hAnsi="Figtree"/>
          <w:b/>
          <w:i w:val="0"/>
          <w:sz w:val="22"/>
        </w:rPr>
        <w:t>Objective:</w:t>
      </w:r>
      <w:r>
        <w:rPr>
          <w:rFonts w:ascii="Figtree" w:hAnsi="Figtree"/>
          <w:b w:val="0"/>
          <w:i w:val="0"/>
          <w:sz w:val="22"/>
        </w:rPr>
        <w:t xml:space="preserve"> Deploy platform infrastructure and establish operational foundations.</w:t>
      </w:r>
    </w:p>
    <w:p>
      <w:r>
        <w:rPr>
          <w:rFonts w:ascii="Figtree" w:hAnsi="Figtree"/>
          <w:b/>
          <w:i w:val="0"/>
          <w:sz w:val="22"/>
        </w:rPr>
        <w:t>Key Activities:</w:t>
      </w:r>
      <w:r>
        <w:rPr>
          <w:rFonts w:ascii="Figtree" w:hAnsi="Figtree"/>
          <w:b w:val="0"/>
          <w:i w:val="0"/>
          <w:sz w:val="22"/>
        </w:rPr>
        <w:t xml:space="preserve"> Environment provisioning, platform deployment, identity system setup, network configuration, and security hardening.</w:t>
      </w:r>
    </w:p>
    <w:p>
      <w:r>
        <w:rPr>
          <w:rFonts w:ascii="Figtree" w:hAnsi="Figtree"/>
          <w:b/>
          <w:i w:val="0"/>
          <w:sz w:val="22"/>
        </w:rPr>
        <w:t>Outputs:</w:t>
      </w:r>
      <w:r>
        <w:rPr>
          <w:rFonts w:ascii="Figtree" w:hAnsi="Figtree"/>
          <w:b w:val="0"/>
          <w:i w:val="0"/>
          <w:sz w:val="22"/>
        </w:rPr>
        <w:t xml:space="preserve"> Deployed platform in non-production environments, operational runbooks.</w:t>
      </w:r>
    </w:p>
    <w:p>
      <w:r>
        <w:rPr>
          <w:rFonts w:ascii="Figtree" w:hAnsi="Figtree"/>
          <w:b/>
          <w:i w:val="0"/>
          <w:sz w:val="22"/>
        </w:rPr>
        <w:t>Dependencies:</w:t>
      </w:r>
      <w:r>
        <w:rPr>
          <w:rFonts w:ascii="Figtree" w:hAnsi="Figtree"/>
          <w:b w:val="0"/>
          <w:i w:val="0"/>
          <w:sz w:val="22"/>
        </w:rPr>
        <w:t xml:space="preserve"> Phase 1 completion, infrastructure access.</w:t>
      </w:r>
    </w:p>
    <w:p>
      <w:pPr>
        <w:pStyle w:val="H3"/>
        <w:numPr>
          <w:ilvl w:val="2"/>
          <w:numId w:val="1"/>
        </w:numPr>
      </w:pPr>
      <w:r>
        <w:t>Phase 3: Configuration and Compliance (8 weeks)</w:t>
      </w:r>
    </w:p>
    <w:p>
      <w:r>
        <w:rPr>
          <w:rFonts w:ascii="Figtree" w:hAnsi="Figtree"/>
          <w:b/>
          <w:i w:val="0"/>
          <w:sz w:val="22"/>
        </w:rPr>
        <w:t>Objective:</w:t>
      </w:r>
      <w:r>
        <w:rPr>
          <w:rFonts w:ascii="Figtree" w:hAnsi="Figtree"/>
          <w:b w:val="0"/>
          <w:i w:val="0"/>
          <w:sz w:val="22"/>
        </w:rPr>
        <w:t xml:space="preserve"> Configure assets, compliance modules, and workflows.</w:t>
      </w:r>
    </w:p>
    <w:p>
      <w:r>
        <w:rPr>
          <w:rFonts w:ascii="Figtree" w:hAnsi="Figtree"/>
          <w:b/>
          <w:i w:val="0"/>
          <w:sz w:val="22"/>
        </w:rPr>
        <w:t>Key Activities:</w:t>
      </w:r>
      <w:r>
        <w:rPr>
          <w:rFonts w:ascii="Figtree" w:hAnsi="Figtree"/>
          <w:b w:val="0"/>
          <w:i w:val="0"/>
          <w:sz w:val="22"/>
        </w:rPr>
        <w:t xml:space="preserve"> Asset type configuration, compliance module setup, workflow design, role configuration, and integration mock development.</w:t>
      </w:r>
    </w:p>
    <w:p>
      <w:r>
        <w:rPr>
          <w:rFonts w:ascii="Figtree" w:hAnsi="Figtree"/>
          <w:b/>
          <w:i w:val="0"/>
          <w:sz w:val="22"/>
        </w:rPr>
        <w:t>Outputs:</w:t>
      </w:r>
      <w:r>
        <w:rPr>
          <w:rFonts w:ascii="Figtree" w:hAnsi="Figtree"/>
          <w:b w:val="0"/>
          <w:i w:val="0"/>
          <w:sz w:val="22"/>
        </w:rPr>
        <w:t xml:space="preserve"> Configured platform, compliance evidence package, workflow documentation.</w:t>
      </w:r>
    </w:p>
    <w:p>
      <w:r>
        <w:rPr>
          <w:rFonts w:ascii="Figtree" w:hAnsi="Figtree"/>
          <w:b/>
          <w:i w:val="0"/>
          <w:sz w:val="22"/>
        </w:rPr>
        <w:t>Dependencies:</w:t>
      </w:r>
      <w:r>
        <w:rPr>
          <w:rFonts w:ascii="Figtree" w:hAnsi="Figtree"/>
          <w:b w:val="0"/>
          <w:i w:val="0"/>
          <w:sz w:val="22"/>
        </w:rPr>
        <w:t xml:space="preserve"> Phase 2 completion, compliance requirements finalization.</w:t>
      </w:r>
    </w:p>
    <w:p>
      <w:pPr>
        <w:pStyle w:val="H3"/>
        <w:numPr>
          <w:ilvl w:val="2"/>
          <w:numId w:val="1"/>
        </w:numPr>
      </w:pPr>
      <w:r>
        <w:t>Phase 4: Integration and Testing (8 weeks)</w:t>
      </w:r>
    </w:p>
    <w:p>
      <w:r>
        <w:rPr>
          <w:rFonts w:ascii="Figtree" w:hAnsi="Figtree"/>
          <w:b/>
          <w:i w:val="0"/>
          <w:sz w:val="22"/>
        </w:rPr>
        <w:t>Objective:</w:t>
      </w:r>
      <w:r>
        <w:rPr>
          <w:rFonts w:ascii="Figtree" w:hAnsi="Figtree"/>
          <w:b w:val="0"/>
          <w:i w:val="0"/>
          <w:sz w:val="22"/>
        </w:rPr>
        <w:t xml:space="preserve"> Complete system integration and validate functionality.</w:t>
      </w:r>
    </w:p>
    <w:p>
      <w:r>
        <w:rPr>
          <w:rFonts w:ascii="Figtree" w:hAnsi="Figtree"/>
          <w:b/>
          <w:i w:val="0"/>
          <w:sz w:val="22"/>
        </w:rPr>
        <w:t>Key Activities:</w:t>
      </w:r>
      <w:r>
        <w:rPr>
          <w:rFonts w:ascii="Figtree" w:hAnsi="Figtree"/>
          <w:b w:val="0"/>
          <w:i w:val="0"/>
          <w:sz w:val="22"/>
        </w:rPr>
        <w:t xml:space="preserve"> System integration, SIT execution, UAT support, performance testing, and security testing.</w:t>
      </w:r>
    </w:p>
    <w:p>
      <w:r>
        <w:rPr>
          <w:rFonts w:ascii="Figtree" w:hAnsi="Figtree"/>
          <w:b/>
          <w:i w:val="0"/>
          <w:sz w:val="22"/>
        </w:rPr>
        <w:t>Outputs:</w:t>
      </w:r>
      <w:r>
        <w:rPr>
          <w:rFonts w:ascii="Figtree" w:hAnsi="Figtree"/>
          <w:b w:val="0"/>
          <w:i w:val="0"/>
          <w:sz w:val="22"/>
        </w:rPr>
        <w:t xml:space="preserve"> Integration test results, UAT sign-off, security assessment report.</w:t>
      </w:r>
    </w:p>
    <w:p>
      <w:r>
        <w:rPr>
          <w:rFonts w:ascii="Figtree" w:hAnsi="Figtree"/>
          <w:b/>
          <w:i w:val="0"/>
          <w:sz w:val="22"/>
        </w:rPr>
        <w:t>Dependencies:</w:t>
      </w:r>
      <w:r>
        <w:rPr>
          <w:rFonts w:ascii="Figtree" w:hAnsi="Figtree"/>
          <w:b w:val="0"/>
          <w:i w:val="0"/>
          <w:sz w:val="22"/>
        </w:rPr>
        <w:t xml:space="preserve"> Phase 3 completion, external system readiness.</w:t>
      </w:r>
    </w:p>
    <w:p>
      <w:pPr>
        <w:pStyle w:val="H3"/>
        <w:numPr>
          <w:ilvl w:val="2"/>
          <w:numId w:val="1"/>
        </w:numPr>
      </w:pPr>
      <w:r>
        <w:t>Phase 5: Go-Live (2 weeks)</w:t>
      </w:r>
    </w:p>
    <w:p>
      <w:r>
        <w:rPr>
          <w:rFonts w:ascii="Figtree" w:hAnsi="Figtree"/>
          <w:b/>
          <w:i w:val="0"/>
          <w:sz w:val="22"/>
        </w:rPr>
        <w:t>Objective:</w:t>
      </w:r>
      <w:r>
        <w:rPr>
          <w:rFonts w:ascii="Figtree" w:hAnsi="Figtree"/>
          <w:b w:val="0"/>
          <w:i w:val="0"/>
          <w:sz w:val="22"/>
        </w:rPr>
        <w:t xml:space="preserve"> Transition to production operation.</w:t>
      </w:r>
    </w:p>
    <w:p>
      <w:r>
        <w:rPr>
          <w:rFonts w:ascii="Figtree" w:hAnsi="Figtree"/>
          <w:b/>
          <w:i w:val="0"/>
          <w:sz w:val="22"/>
        </w:rPr>
        <w:t>Key Activities:</w:t>
      </w:r>
      <w:r>
        <w:rPr>
          <w:rFonts w:ascii="Figtree" w:hAnsi="Figtree"/>
          <w:b w:val="0"/>
          <w:i w:val="0"/>
          <w:sz w:val="22"/>
        </w:rPr>
        <w:t xml:space="preserve"> Production deployment, smoke testing, cutover execution, and production validation.</w:t>
      </w:r>
    </w:p>
    <w:p>
      <w:r>
        <w:rPr>
          <w:rFonts w:ascii="Figtree" w:hAnsi="Figtree"/>
          <w:b/>
          <w:i w:val="0"/>
          <w:sz w:val="22"/>
        </w:rPr>
        <w:t>Outputs:</w:t>
      </w:r>
      <w:r>
        <w:rPr>
          <w:rFonts w:ascii="Figtree" w:hAnsi="Figtree"/>
          <w:b w:val="0"/>
          <w:i w:val="0"/>
          <w:sz w:val="22"/>
        </w:rPr>
        <w:t xml:space="preserve"> Production environment, go-live sign-off.</w:t>
      </w:r>
    </w:p>
    <w:p>
      <w:r>
        <w:rPr>
          <w:rFonts w:ascii="Figtree" w:hAnsi="Figtree"/>
          <w:b/>
          <w:i w:val="0"/>
          <w:sz w:val="22"/>
        </w:rPr>
        <w:t>Dependencies:</w:t>
      </w:r>
      <w:r>
        <w:rPr>
          <w:rFonts w:ascii="Figtree" w:hAnsi="Figtree"/>
          <w:b w:val="0"/>
          <w:i w:val="0"/>
          <w:sz w:val="22"/>
        </w:rPr>
        <w:t xml:space="preserve"> Phase 4 completion, acceptance criteria met.</w:t>
      </w:r>
    </w:p>
    <w:p>
      <w:pPr>
        <w:pStyle w:val="H3"/>
        <w:numPr>
          <w:ilvl w:val="2"/>
          <w:numId w:val="1"/>
        </w:numPr>
      </w:pPr>
      <w:r>
        <w:t>Phase 6: Hypercare (4 weeks)</w:t>
      </w:r>
    </w:p>
    <w:p>
      <w:r>
        <w:rPr>
          <w:rFonts w:ascii="Figtree" w:hAnsi="Figtree"/>
          <w:b/>
          <w:i w:val="0"/>
          <w:sz w:val="22"/>
        </w:rPr>
        <w:t>Objective:</w:t>
      </w:r>
      <w:r>
        <w:rPr>
          <w:rFonts w:ascii="Figtree" w:hAnsi="Figtree"/>
          <w:b w:val="0"/>
          <w:i w:val="0"/>
          <w:sz w:val="22"/>
        </w:rPr>
        <w:t xml:space="preserve"> Stabilize production operations and transfer knowledge.</w:t>
      </w:r>
    </w:p>
    <w:p>
      <w:r>
        <w:rPr>
          <w:rFonts w:ascii="Figtree" w:hAnsi="Figtree"/>
          <w:b/>
          <w:i w:val="0"/>
          <w:sz w:val="22"/>
        </w:rPr>
        <w:t>Key Activities:</w:t>
      </w:r>
      <w:r>
        <w:rPr>
          <w:rFonts w:ascii="Figtree" w:hAnsi="Figtree"/>
          <w:b w:val="0"/>
          <w:i w:val="0"/>
          <w:sz w:val="22"/>
        </w:rPr>
        <w:t xml:space="preserve"> Production support, issue resolution, optimization, and knowledge transfer.</w:t>
      </w:r>
    </w:p>
    <w:p>
      <w:r>
        <w:rPr>
          <w:rFonts w:ascii="Figtree" w:hAnsi="Figtree"/>
          <w:b/>
          <w:i w:val="0"/>
          <w:sz w:val="22"/>
        </w:rPr>
        <w:t>Outputs:</w:t>
      </w:r>
      <w:r>
        <w:rPr>
          <w:rFonts w:ascii="Figtree" w:hAnsi="Figtree"/>
          <w:b w:val="0"/>
          <w:i w:val="0"/>
          <w:sz w:val="22"/>
        </w:rPr>
        <w:t xml:space="preserve"> Stable production operation, trained operations team.</w:t>
      </w:r>
    </w:p>
    <w:p>
      <w:r>
        <w:rPr>
          <w:rFonts w:ascii="Figtree" w:hAnsi="Figtree"/>
          <w:b/>
          <w:i w:val="0"/>
          <w:sz w:val="22"/>
        </w:rPr>
        <w:t>Dependencies:</w:t>
      </w:r>
      <w:r>
        <w:rPr>
          <w:rFonts w:ascii="Figtree" w:hAnsi="Figtree"/>
          <w:b w:val="0"/>
          <w:i w:val="0"/>
          <w:sz w:val="22"/>
        </w:rPr>
        <w:t xml:space="preserve"> Phase 5 completion.</w:t>
      </w:r>
    </w:p>
    <w:p>
      <w:pPr>
        <w:pStyle w:val="H2"/>
        <w:numPr>
          <w:ilvl w:val="1"/>
          <w:numId w:val="1"/>
        </w:numPr>
      </w:pPr>
      <w:r>
        <w:t>9.3 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4"/>
        <w:gridCol w:w="2697"/>
        <w:gridCol w:w="42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Gate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Criteria</w:t>
            </w:r>
          </w:p>
        </w:tc>
      </w:tr>
      <w:tr>
        <w:trPr>
          <w:trHeight w:val="425" w:hRule="atLeast"/>
        </w:trPr>
        <w:tc>
          <w:tcPr>
            <w:tcW w:type="dxa" w:w="3249"/>
            <w:vAlign w:val="center"/>
          </w:tcPr>
          <w:p>
            <w:pPr>
              <w:spacing w:line="276" w:lineRule="auto" w:before="0" w:after="0"/>
            </w:pPr>
            <w:r/>
            <w:r>
              <w:rPr>
                <w:rFonts w:ascii="Figtree" w:hAnsi="Figtree"/>
                <w:b w:val="0"/>
                <w:i w:val="0"/>
                <w:sz w:val="20"/>
              </w:rPr>
              <w:t>Design Review</w:t>
            </w:r>
          </w:p>
        </w:tc>
        <w:tc>
          <w:tcPr>
            <w:tcW w:type="dxa" w:w="3249"/>
            <w:vAlign w:val="center"/>
          </w:tcPr>
          <w:p>
            <w:pPr>
              <w:spacing w:line="276" w:lineRule="auto" w:before="0" w:after="0"/>
            </w:pPr>
            <w:r/>
            <w:r>
              <w:rPr>
                <w:rFonts w:ascii="Figtree" w:hAnsi="Figtree"/>
                <w:b w:val="0"/>
                <w:i w:val="0"/>
                <w:sz w:val="20"/>
              </w:rPr>
              <w:t>Architecture Committee</w:t>
            </w:r>
          </w:p>
        </w:tc>
        <w:tc>
          <w:tcPr>
            <w:tcW w:type="dxa" w:w="3249"/>
            <w:vAlign w:val="center"/>
          </w:tcPr>
          <w:p>
            <w:pPr>
              <w:spacing w:line="276" w:lineRule="auto" w:before="0" w:after="0"/>
            </w:pPr>
            <w:r/>
            <w:r>
              <w:rPr>
                <w:rFonts w:ascii="Figtree" w:hAnsi="Figtree"/>
                <w:b w:val="0"/>
                <w:i w:val="0"/>
                <w:sz w:val="20"/>
              </w:rPr>
              <w:t>Technical design meets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w:t>
            </w:r>
          </w:p>
        </w:tc>
        <w:tc>
          <w:tcPr>
            <w:tcW w:type="dxa" w:w="3249"/>
            <w:vAlign w:val="center"/>
          </w:tcPr>
          <w:p>
            <w:pPr>
              <w:spacing w:line="276" w:lineRule="auto" w:before="0" w:after="0"/>
            </w:pPr>
            <w:r/>
            <w:r>
              <w:rPr>
                <w:rFonts w:ascii="Figtree" w:hAnsi="Figtree"/>
                <w:b w:val="0"/>
                <w:i w:val="0"/>
                <w:sz w:val="20"/>
              </w:rPr>
              <w:t>CISO</w:t>
            </w:r>
          </w:p>
        </w:tc>
        <w:tc>
          <w:tcPr>
            <w:tcW w:type="dxa" w:w="3249"/>
            <w:vAlign w:val="center"/>
          </w:tcPr>
          <w:p>
            <w:pPr>
              <w:spacing w:line="276" w:lineRule="auto" w:before="0" w:after="0"/>
            </w:pPr>
            <w:r/>
            <w:r>
              <w:rPr>
                <w:rFonts w:ascii="Figtree" w:hAnsi="Figtree"/>
                <w:b w:val="0"/>
                <w:i w:val="0"/>
                <w:sz w:val="20"/>
              </w:rPr>
              <w:t>Security controls adequate</w:t>
            </w:r>
          </w:p>
        </w:tc>
      </w:tr>
      <w:tr>
        <w:trPr>
          <w:trHeight w:val="425" w:hRule="atLeast"/>
        </w:trPr>
        <w:tc>
          <w:tcPr>
            <w:tcW w:type="dxa" w:w="3249"/>
            <w:vAlign w:val="center"/>
          </w:tcPr>
          <w:p>
            <w:pPr>
              <w:spacing w:line="276" w:lineRule="auto" w:before="0" w:after="0"/>
            </w:pPr>
            <w:r/>
            <w:r>
              <w:rPr>
                <w:rFonts w:ascii="Figtree" w:hAnsi="Figtree"/>
                <w:b w:val="0"/>
                <w:i w:val="0"/>
                <w:sz w:val="20"/>
              </w:rPr>
              <w:t>Compliance Review</w:t>
            </w:r>
          </w:p>
        </w:tc>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Regulatory alignment confirmed</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Business</w:t>
            </w:r>
          </w:p>
        </w:tc>
        <w:tc>
          <w:tcPr>
            <w:tcW w:type="dxa" w:w="3249"/>
            <w:vAlign w:val="center"/>
          </w:tcPr>
          <w:p>
            <w:pPr>
              <w:spacing w:line="276" w:lineRule="auto" w:before="0" w:after="0"/>
            </w:pPr>
            <w:r/>
            <w:r>
              <w:rPr>
                <w:rFonts w:ascii="Figtree" w:hAnsi="Figtree"/>
                <w:b w:val="0"/>
                <w:i w:val="0"/>
                <w:sz w:val="20"/>
              </w:rPr>
              <w:t>Functional requirements met</w:t>
            </w:r>
          </w:p>
        </w:tc>
      </w:tr>
      <w:tr>
        <w:trPr>
          <w:trHeight w:val="425" w:hRule="atLeast"/>
        </w:trPr>
        <w:tc>
          <w:tcPr>
            <w:tcW w:type="dxa" w:w="3249"/>
            <w:vAlign w:val="center"/>
          </w:tcPr>
          <w:p>
            <w:pPr>
              <w:spacing w:line="276" w:lineRule="auto" w:before="0" w:after="0"/>
            </w:pPr>
            <w:r/>
            <w:r>
              <w:rPr>
                <w:rFonts w:ascii="Figtree" w:hAnsi="Figtree"/>
                <w:b w:val="0"/>
                <w:i w:val="0"/>
                <w:sz w:val="20"/>
              </w:rPr>
              <w:t>Go-Live Approval</w:t>
            </w:r>
          </w:p>
        </w:tc>
        <w:tc>
          <w:tcPr>
            <w:tcW w:type="dxa" w:w="3249"/>
            <w:vAlign w:val="center"/>
          </w:tcPr>
          <w:p>
            <w:pPr>
              <w:spacing w:line="276" w:lineRule="auto" w:before="0" w:after="0"/>
            </w:pPr>
            <w:r/>
            <w:r>
              <w:rPr>
                <w:rFonts w:ascii="Figtree" w:hAnsi="Figtree"/>
                <w:b w:val="0"/>
                <w:i w:val="0"/>
                <w:sz w:val="20"/>
              </w:rPr>
              <w:t>Steering Committee</w:t>
            </w:r>
          </w:p>
        </w:tc>
        <w:tc>
          <w:tcPr>
            <w:tcW w:type="dxa" w:w="3249"/>
            <w:vAlign w:val="center"/>
          </w:tcPr>
          <w:p>
            <w:pPr>
              <w:spacing w:line="276" w:lineRule="auto" w:before="0" w:after="0"/>
            </w:pPr>
            <w:r/>
            <w:r>
              <w:rPr>
                <w:rFonts w:ascii="Figtree" w:hAnsi="Figtree"/>
                <w:b w:val="0"/>
                <w:i w:val="0"/>
                <w:sz w:val="20"/>
              </w:rPr>
              <w:t>All gates passed</w:t>
            </w:r>
          </w:p>
        </w:tc>
      </w:tr>
    </w:tbl>
    <w:p>
      <w:pPr>
        <w:spacing w:before="0" w:after="0" w:line="120" w:lineRule="exact"/>
      </w:pPr>
    </w:p>
    <w:p>
      <w:pPr>
        <w:pStyle w:val="H2"/>
        <w:numPr>
          <w:ilvl w:val="1"/>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1814"/>
        <w:gridCol w:w="1814"/>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1-2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3-4</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5-6</w:t>
            </w:r>
          </w:p>
        </w:tc>
      </w:tr>
      <w:tr>
        <w:trPr>
          <w:trHeight w:val="425" w:hRule="atLeast"/>
        </w:trPr>
        <w:tc>
          <w:tcPr>
            <w:tcW w:type="dxa" w:w="2436"/>
            <w:vAlign w:val="center"/>
          </w:tcPr>
          <w:p>
            <w:pPr>
              <w:spacing w:line="276" w:lineRule="auto" w:before="0" w:after="0"/>
            </w:pPr>
            <w:r/>
            <w:r>
              <w:rPr>
                <w:rFonts w:ascii="Figtree" w:hAnsi="Figtree"/>
                <w:b w:val="0"/>
                <w:i w:val="0"/>
                <w:sz w:val="20"/>
              </w:rPr>
              <w:t>Project Manager</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1.0</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0.5</w:t>
            </w:r>
          </w:p>
        </w:tc>
        <w:tc>
          <w:tcPr>
            <w:tcW w:type="dxa" w:w="2436"/>
            <w:vAlign w:val="center"/>
          </w:tcPr>
          <w:p>
            <w:pPr>
              <w:spacing w:line="276" w:lineRule="auto" w:before="0" w:after="0"/>
            </w:pPr>
            <w:r/>
            <w:r>
              <w:rPr>
                <w:rFonts w:ascii="Figtree" w:hAnsi="Figtree"/>
                <w:b w:val="0"/>
                <w:i w:val="0"/>
                <w:sz w:val="20"/>
              </w:rPr>
              <w:t>0.5</w:t>
            </w:r>
          </w:p>
        </w:tc>
        <w:tc>
          <w:tcPr>
            <w:tcW w:type="dxa" w:w="2436"/>
            <w:vAlign w:val="center"/>
          </w:tcPr>
          <w:p>
            <w:pPr>
              <w:spacing w:line="276" w:lineRule="auto" w:before="0" w:after="0"/>
            </w:pPr>
            <w:r/>
            <w:r>
              <w:rPr>
                <w:rFonts w:ascii="Figtree" w:hAnsi="Figtree"/>
                <w:b w:val="0"/>
                <w:i w:val="0"/>
                <w:sz w:val="20"/>
              </w:rPr>
              <w:t>0.25</w:t>
            </w:r>
          </w:p>
        </w:tc>
      </w:tr>
      <w:tr>
        <w:trPr>
          <w:trHeight w:val="425" w:hRule="atLeast"/>
        </w:trPr>
        <w:tc>
          <w:tcPr>
            <w:tcW w:type="dxa" w:w="2436"/>
            <w:vAlign w:val="center"/>
          </w:tcPr>
          <w:p>
            <w:pPr>
              <w:spacing w:line="276" w:lineRule="auto" w:before="0" w:after="0"/>
            </w:pPr>
            <w:r/>
            <w:r>
              <w:rPr>
                <w:rFonts w:ascii="Figtree" w:hAnsi="Figtree"/>
                <w:b w:val="0"/>
                <w:i w:val="0"/>
                <w:sz w:val="20"/>
              </w:rPr>
              <w:t>Integration Lead</w:t>
            </w:r>
          </w:p>
        </w:tc>
        <w:tc>
          <w:tcPr>
            <w:tcW w:type="dxa" w:w="2436"/>
            <w:vAlign w:val="center"/>
          </w:tcPr>
          <w:p>
            <w:pPr>
              <w:spacing w:line="276" w:lineRule="auto" w:before="0" w:after="0"/>
            </w:pPr>
            <w:r/>
            <w:r>
              <w:rPr>
                <w:rFonts w:ascii="Figtree" w:hAnsi="Figtree"/>
                <w:b w:val="0"/>
                <w:i w:val="0"/>
                <w:sz w:val="20"/>
              </w:rPr>
              <w:t>0.5</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0.5</w:t>
            </w:r>
          </w:p>
        </w:tc>
      </w:tr>
      <w:tr>
        <w:trPr>
          <w:trHeight w:val="425" w:hRule="atLeast"/>
        </w:trPr>
        <w:tc>
          <w:tcPr>
            <w:tcW w:type="dxa" w:w="2436"/>
            <w:vAlign w:val="center"/>
          </w:tcPr>
          <w:p>
            <w:pPr>
              <w:spacing w:line="276" w:lineRule="auto" w:before="0" w:after="0"/>
            </w:pPr>
            <w:r/>
            <w:r>
              <w:rPr>
                <w:rFonts w:ascii="Figtree" w:hAnsi="Figtree"/>
                <w:b w:val="0"/>
                <w:i w:val="0"/>
                <w:sz w:val="20"/>
              </w:rPr>
              <w:t>Technical Lead</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1.0</w:t>
            </w:r>
          </w:p>
        </w:tc>
      </w:tr>
      <w:tr>
        <w:trPr>
          <w:trHeight w:val="425" w:hRule="atLeast"/>
        </w:trPr>
        <w:tc>
          <w:tcPr>
            <w:tcW w:type="dxa" w:w="2436"/>
            <w:vAlign w:val="center"/>
          </w:tcPr>
          <w:p>
            <w:pPr>
              <w:spacing w:line="276" w:lineRule="auto" w:before="0" w:after="0"/>
            </w:pPr>
            <w:r/>
            <w:r>
              <w:rPr>
                <w:rFonts w:ascii="Figtree" w:hAnsi="Figtree"/>
                <w:b w:val="0"/>
                <w:i w:val="0"/>
                <w:sz w:val="20"/>
              </w:rPr>
              <w:t>Developers</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4.0</w:t>
            </w:r>
          </w:p>
        </w:tc>
        <w:tc>
          <w:tcPr>
            <w:tcW w:type="dxa" w:w="2436"/>
            <w:vAlign w:val="center"/>
          </w:tcPr>
          <w:p>
            <w:pPr>
              <w:spacing w:line="276" w:lineRule="auto" w:before="0" w:after="0"/>
            </w:pPr>
            <w:r/>
            <w:r>
              <w:rPr>
                <w:rFonts w:ascii="Figtree" w:hAnsi="Figtree"/>
                <w:b w:val="0"/>
                <w:i w:val="0"/>
                <w:sz w:val="20"/>
              </w:rPr>
              <w:t>1.0</w:t>
            </w:r>
          </w:p>
        </w:tc>
      </w:tr>
      <w:tr>
        <w:trPr>
          <w:trHeight w:val="425" w:hRule="atLeast"/>
        </w:trPr>
        <w:tc>
          <w:tcPr>
            <w:tcW w:type="dxa" w:w="2436"/>
            <w:vAlign w:val="center"/>
          </w:tcPr>
          <w:p>
            <w:pPr>
              <w:spacing w:line="276" w:lineRule="auto" w:before="0" w:after="0"/>
            </w:pPr>
            <w:r/>
            <w:r>
              <w:rPr>
                <w:rFonts w:ascii="Figtree" w:hAnsi="Figtree"/>
                <w:b w:val="0"/>
                <w:i w:val="0"/>
                <w:sz w:val="20"/>
              </w:rPr>
              <w:t>QA Engineer</w:t>
            </w:r>
          </w:p>
        </w:tc>
        <w:tc>
          <w:tcPr>
            <w:tcW w:type="dxa" w:w="2436"/>
            <w:vAlign w:val="center"/>
          </w:tcPr>
          <w:p>
            <w:pPr>
              <w:spacing w:line="276" w:lineRule="auto" w:before="0" w:after="0"/>
            </w:pPr>
            <w:r/>
            <w:r>
              <w:rPr>
                <w:rFonts w:ascii="Figtree" w:hAnsi="Figtree"/>
                <w:b w:val="0"/>
                <w:i w:val="0"/>
                <w:sz w:val="20"/>
              </w:rPr>
              <w:t>0.5</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1.0</w:t>
            </w:r>
          </w:p>
        </w:tc>
      </w:tr>
      <w:tr>
        <w:trPr>
          <w:trHeight w:val="425" w:hRule="atLeast"/>
        </w:trPr>
        <w:tc>
          <w:tcPr>
            <w:tcW w:type="dxa" w:w="2436"/>
            <w:vAlign w:val="center"/>
          </w:tcPr>
          <w:p>
            <w:pPr>
              <w:spacing w:line="276" w:lineRule="auto" w:before="0" w:after="0"/>
            </w:pPr>
            <w:r/>
            <w:r>
              <w:rPr>
                <w:rFonts w:ascii="Figtree" w:hAnsi="Figtree"/>
                <w:b w:val="0"/>
                <w:i w:val="0"/>
                <w:sz w:val="20"/>
              </w:rPr>
              <w:t>Security Engineer</w:t>
            </w:r>
          </w:p>
        </w:tc>
        <w:tc>
          <w:tcPr>
            <w:tcW w:type="dxa" w:w="2436"/>
            <w:vAlign w:val="center"/>
          </w:tcPr>
          <w:p>
            <w:pPr>
              <w:spacing w:line="276" w:lineRule="auto" w:before="0" w:after="0"/>
            </w:pPr>
            <w:r/>
            <w:r>
              <w:rPr>
                <w:rFonts w:ascii="Figtree" w:hAnsi="Figtree"/>
                <w:b w:val="0"/>
                <w:i w:val="0"/>
                <w:sz w:val="20"/>
              </w:rPr>
              <w:t>0.25</w:t>
            </w:r>
          </w:p>
        </w:tc>
        <w:tc>
          <w:tcPr>
            <w:tcW w:type="dxa" w:w="2436"/>
            <w:vAlign w:val="center"/>
          </w:tcPr>
          <w:p>
            <w:pPr>
              <w:spacing w:line="276" w:lineRule="auto" w:before="0" w:after="0"/>
            </w:pPr>
            <w:r/>
            <w:r>
              <w:rPr>
                <w:rFonts w:ascii="Figtree" w:hAnsi="Figtree"/>
                <w:b w:val="0"/>
                <w:i w:val="0"/>
                <w:sz w:val="20"/>
              </w:rPr>
              <w:t>0.5</w:t>
            </w:r>
          </w:p>
        </w:tc>
        <w:tc>
          <w:tcPr>
            <w:tcW w:type="dxa" w:w="2436"/>
            <w:vAlign w:val="center"/>
          </w:tcPr>
          <w:p>
            <w:pPr>
              <w:spacing w:line="276" w:lineRule="auto" w:before="0" w:after="0"/>
            </w:pPr>
            <w:r/>
            <w:r>
              <w:rPr>
                <w:rFonts w:ascii="Figtree" w:hAnsi="Figtree"/>
                <w:b w:val="0"/>
                <w:i w:val="0"/>
                <w:sz w:val="20"/>
              </w:rPr>
              <w:t>0.25</w:t>
            </w:r>
          </w:p>
        </w:tc>
      </w:tr>
    </w:tbl>
    <w:p>
      <w:pPr>
        <w:spacing w:before="0" w:after="0" w:line="120" w:lineRule="exact"/>
      </w:pPr>
    </w:p>
    <w:p>
      <w:r>
        <w:br w:type="page"/>
      </w:r>
    </w:p>
    <w:p>
      <w:pPr>
        <w:pStyle w:val="H1"/>
        <w:numPr>
          <w:ilvl w:val="0"/>
          <w:numId w:val="1"/>
        </w:numPr>
      </w:pPr>
      <w:r>
        <w:t>10. Deployment</w:t>
      </w:r>
    </w:p>
    <w:p>
      <w:pPr>
        <w:pStyle w:val="H2"/>
        <w:numPr>
          <w:ilvl w:val="1"/>
          <w:numId w:val="1"/>
        </w:numPr>
      </w:pPr>
      <w:r>
        <w:t>10.1 Deployment Principles</w:t>
      </w:r>
    </w:p>
    <w:p>
      <w:r>
        <w:rPr>
          <w:rFonts w:ascii="Figtree" w:hAnsi="Figtree"/>
          <w:b w:val="0"/>
          <w:i w:val="0"/>
          <w:sz w:val="22"/>
        </w:rPr>
        <w:t>DALP supports portability across deployment models with consistent platform capabilities, security and residency alignment to requirements, and operational control for institutional users.</w:t>
      </w:r>
    </w:p>
    <w:p>
      <w:pPr>
        <w:pStyle w:val="H2"/>
        <w:numPr>
          <w:ilvl w:val="1"/>
          <w:numId w:val="1"/>
        </w:numPr>
      </w:pPr>
      <w:r>
        <w:t>10.2 Recommended Deployment Model</w:t>
      </w:r>
    </w:p>
    <w:p>
      <w:r>
        <w:rPr>
          <w:rFonts w:ascii="Figtree" w:hAnsi="Figtree"/>
          <w:b w:val="0"/>
          <w:i w:val="0"/>
          <w:sz w:val="22"/>
        </w:rPr>
        <w:t xml:space="preserve">For KfW, we recommend </w:t>
      </w:r>
      <w:r>
        <w:rPr>
          <w:rFonts w:ascii="Figtree" w:hAnsi="Figtree"/>
          <w:b/>
          <w:i w:val="0"/>
          <w:sz w:val="22"/>
        </w:rPr>
        <w:t>Private Cloud / Dedicated Deployment</w:t>
      </w:r>
      <w:r>
        <w:rPr>
          <w:rFonts w:ascii="Figtree" w:hAnsi="Figtree"/>
          <w:b w:val="0"/>
          <w:i w:val="0"/>
          <w:sz w:val="22"/>
        </w:rPr>
        <w:t xml:space="preserve"> with the following characteristics: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5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Characteristic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4873"/>
            <w:vAlign w:val="center"/>
          </w:tcPr>
          <w:p>
            <w:pPr>
              <w:spacing w:line="276" w:lineRule="auto" w:before="0" w:after="0"/>
            </w:pPr>
            <w:r/>
            <w:r>
              <w:rPr>
                <w:rFonts w:ascii="Figtree" w:hAnsi="Figtree"/>
                <w:b/>
                <w:i w:val="0"/>
                <w:sz w:val="20"/>
              </w:rPr>
              <w:t>Location</w:t>
            </w:r>
          </w:p>
        </w:tc>
        <w:tc>
          <w:tcPr>
            <w:tcW w:type="dxa" w:w="4873"/>
            <w:vAlign w:val="center"/>
          </w:tcPr>
          <w:p>
            <w:pPr>
              <w:spacing w:line="276" w:lineRule="auto" w:before="0" w:after="0"/>
            </w:pPr>
            <w:r/>
            <w:r>
              <w:rPr>
                <w:rFonts w:ascii="Figtree" w:hAnsi="Figtree"/>
                <w:b w:val="0"/>
                <w:i w:val="0"/>
                <w:sz w:val="20"/>
              </w:rPr>
              <w:t>Germany (EU)</w:t>
            </w:r>
          </w:p>
        </w:tc>
      </w:tr>
      <w:tr>
        <w:trPr>
          <w:trHeight w:val="425" w:hRule="atLeast"/>
        </w:trPr>
        <w:tc>
          <w:tcPr>
            <w:tcW w:type="dxa" w:w="4873"/>
            <w:vAlign w:val="center"/>
          </w:tcPr>
          <w:p>
            <w:pPr>
              <w:spacing w:line="276" w:lineRule="auto" w:before="0" w:after="0"/>
            </w:pPr>
            <w:r/>
            <w:r>
              <w:rPr>
                <w:rFonts w:ascii="Figtree" w:hAnsi="Figtree"/>
                <w:b/>
                <w:i w:val="0"/>
                <w:sz w:val="20"/>
              </w:rPr>
              <w:t>Cloud Provider</w:t>
            </w:r>
          </w:p>
        </w:tc>
        <w:tc>
          <w:tcPr>
            <w:tcW w:type="dxa" w:w="4873"/>
            <w:vAlign w:val="center"/>
          </w:tcPr>
          <w:p>
            <w:pPr>
              <w:spacing w:line="276" w:lineRule="auto" w:before="0" w:after="0"/>
            </w:pPr>
            <w:r/>
            <w:r>
              <w:rPr>
                <w:rFonts w:ascii="Figtree" w:hAnsi="Figtree"/>
                <w:b w:val="0"/>
                <w:i w:val="0"/>
                <w:sz w:val="20"/>
              </w:rPr>
              <w:t>Customer choice (AWS, Azure, GCP)</w:t>
            </w:r>
          </w:p>
        </w:tc>
      </w:tr>
      <w:tr>
        <w:trPr>
          <w:trHeight w:val="425" w:hRule="atLeast"/>
        </w:trPr>
        <w:tc>
          <w:tcPr>
            <w:tcW w:type="dxa" w:w="4873"/>
            <w:vAlign w:val="center"/>
          </w:tcPr>
          <w:p>
            <w:pPr>
              <w:spacing w:line="276" w:lineRule="auto" w:before="0" w:after="0"/>
            </w:pPr>
            <w:r/>
            <w:r>
              <w:rPr>
                <w:rFonts w:ascii="Figtree" w:hAnsi="Figtree"/>
                <w:b/>
                <w:i w:val="0"/>
                <w:sz w:val="20"/>
              </w:rPr>
              <w:t>Isolation</w:t>
            </w:r>
          </w:p>
        </w:tc>
        <w:tc>
          <w:tcPr>
            <w:tcW w:type="dxa" w:w="4873"/>
            <w:vAlign w:val="center"/>
          </w:tcPr>
          <w:p>
            <w:pPr>
              <w:spacing w:line="276" w:lineRule="auto" w:before="0" w:after="0"/>
            </w:pPr>
            <w:r/>
            <w:r>
              <w:rPr>
                <w:rFonts w:ascii="Figtree" w:hAnsi="Figtree"/>
                <w:b w:val="0"/>
                <w:i w:val="0"/>
                <w:sz w:val="20"/>
              </w:rPr>
              <w:t>Dedicated cluster</w:t>
            </w:r>
          </w:p>
        </w:tc>
      </w:tr>
      <w:tr>
        <w:trPr>
          <w:trHeight w:val="425" w:hRule="atLeast"/>
        </w:trPr>
        <w:tc>
          <w:tcPr>
            <w:tcW w:type="dxa" w:w="4873"/>
            <w:vAlign w:val="center"/>
          </w:tcPr>
          <w:p>
            <w:pPr>
              <w:spacing w:line="276" w:lineRule="auto" w:before="0" w:after="0"/>
            </w:pPr>
            <w:r/>
            <w:r>
              <w:rPr>
                <w:rFonts w:ascii="Figtree" w:hAnsi="Figtree"/>
                <w:b/>
                <w:i w:val="0"/>
                <w:sz w:val="20"/>
              </w:rPr>
              <w:t>Data Residency</w:t>
            </w:r>
          </w:p>
        </w:tc>
        <w:tc>
          <w:tcPr>
            <w:tcW w:type="dxa" w:w="4873"/>
            <w:vAlign w:val="center"/>
          </w:tcPr>
          <w:p>
            <w:pPr>
              <w:spacing w:line="276" w:lineRule="auto" w:before="0" w:after="0"/>
            </w:pPr>
            <w:r/>
            <w:r>
              <w:rPr>
                <w:rFonts w:ascii="Figtree" w:hAnsi="Figtree"/>
                <w:b w:val="0"/>
                <w:i w:val="0"/>
                <w:sz w:val="20"/>
              </w:rPr>
              <w:t>EU only</w:t>
            </w:r>
          </w:p>
        </w:tc>
      </w:tr>
      <w:tr>
        <w:trPr>
          <w:trHeight w:val="425" w:hRule="atLeast"/>
        </w:trPr>
        <w:tc>
          <w:tcPr>
            <w:tcW w:type="dxa" w:w="4873"/>
            <w:vAlign w:val="center"/>
          </w:tcPr>
          <w:p>
            <w:pPr>
              <w:spacing w:line="276" w:lineRule="auto" w:before="0" w:after="0"/>
            </w:pPr>
            <w:r/>
            <w:r>
              <w:rPr>
                <w:rFonts w:ascii="Figtree" w:hAnsi="Figtree"/>
                <w:b/>
                <w:i w:val="0"/>
                <w:sz w:val="20"/>
              </w:rPr>
              <w:t>Management</w:t>
            </w:r>
          </w:p>
        </w:tc>
        <w:tc>
          <w:tcPr>
            <w:tcW w:type="dxa" w:w="4873"/>
            <w:vAlign w:val="center"/>
          </w:tcPr>
          <w:p>
            <w:pPr>
              <w:spacing w:line="276" w:lineRule="auto" w:before="0" w:after="0"/>
            </w:pPr>
            <w:r/>
            <w:r>
              <w:rPr>
                <w:rFonts w:ascii="Figtree" w:hAnsi="Figtree"/>
                <w:b w:val="0"/>
                <w:i w:val="0"/>
                <w:sz w:val="20"/>
              </w:rPr>
              <w:t>Shared responsibility</w:t>
            </w:r>
          </w:p>
        </w:tc>
      </w:tr>
    </w:tbl>
    <w:p>
      <w:pPr>
        <w:spacing w:before="0" w:after="0" w:line="120" w:lineRule="exact"/>
      </w:pPr>
    </w:p>
    <w:p>
      <w:pPr>
        <w:pStyle w:val="H2"/>
        <w:numPr>
          <w:ilvl w:val="1"/>
          <w:numId w:val="1"/>
        </w:numPr>
      </w:pPr>
      <w:r>
        <w:t>10.3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4"/>
        <w:gridCol w:w="1225"/>
        <w:gridCol w:w="1838"/>
        <w:gridCol w:w="1471"/>
        <w:gridCol w:w="245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Connectivity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Best For</w:t>
            </w:r>
          </w:p>
        </w:tc>
      </w:tr>
      <w:tr>
        <w:trPr>
          <w:trHeight w:val="425" w:hRule="atLeast"/>
        </w:trPr>
        <w:tc>
          <w:tcPr>
            <w:tcW w:type="dxa" w:w="1949"/>
            <w:vAlign w:val="center"/>
          </w:tcPr>
          <w:p>
            <w:pPr>
              <w:spacing w:line="276" w:lineRule="auto" w:before="0" w:after="0"/>
            </w:pPr>
            <w:r/>
            <w:r>
              <w:rPr>
                <w:rFonts w:ascii="Figtree" w:hAnsi="Figtree"/>
                <w:b/>
                <w:i w:val="0"/>
                <w:sz w:val="20"/>
              </w:rPr>
              <w:t>Managed SaaS</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EU/US</w:t>
            </w:r>
          </w:p>
        </w:tc>
        <w:tc>
          <w:tcPr>
            <w:tcW w:type="dxa" w:w="1949"/>
            <w:vAlign w:val="center"/>
          </w:tcPr>
          <w:p>
            <w:pPr>
              <w:spacing w:line="276" w:lineRule="auto" w:before="0" w:after="0"/>
            </w:pPr>
            <w:r/>
            <w:r>
              <w:rPr>
                <w:rFonts w:ascii="Figtree" w:hAnsi="Figtree"/>
                <w:b w:val="0"/>
                <w:i w:val="0"/>
                <w:sz w:val="20"/>
              </w:rPr>
              <w:t>Public</w:t>
            </w:r>
          </w:p>
        </w:tc>
        <w:tc>
          <w:tcPr>
            <w:tcW w:type="dxa" w:w="1949"/>
            <w:vAlign w:val="center"/>
          </w:tcPr>
          <w:p>
            <w:pPr>
              <w:spacing w:line="276" w:lineRule="auto" w:before="0" w:after="0"/>
            </w:pPr>
            <w:r/>
            <w:r>
              <w:rPr>
                <w:rFonts w:ascii="Figtree" w:hAnsi="Figtree"/>
                <w:b w:val="0"/>
                <w:i w:val="0"/>
                <w:sz w:val="20"/>
              </w:rPr>
              <w:t>Speed to market</w:t>
            </w:r>
          </w:p>
        </w:tc>
      </w:tr>
      <w:tr>
        <w:trPr>
          <w:trHeight w:val="425" w:hRule="atLeast"/>
        </w:trPr>
        <w:tc>
          <w:tcPr>
            <w:tcW w:type="dxa" w:w="1949"/>
            <w:vAlign w:val="center"/>
          </w:tcPr>
          <w:p>
            <w:pPr>
              <w:spacing w:line="276" w:lineRule="auto" w:before="0" w:after="0"/>
            </w:pPr>
            <w:r/>
            <w:r>
              <w:rPr>
                <w:rFonts w:ascii="Figtree" w:hAnsi="Figtree"/>
                <w:b/>
                <w:i w:val="0"/>
                <w:sz w:val="20"/>
              </w:rPr>
              <w:t>Private Cloud</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Customer region</w:t>
            </w:r>
          </w:p>
        </w:tc>
        <w:tc>
          <w:tcPr>
            <w:tcW w:type="dxa" w:w="1949"/>
            <w:vAlign w:val="center"/>
          </w:tcPr>
          <w:p>
            <w:pPr>
              <w:spacing w:line="276" w:lineRule="auto" w:before="0" w:after="0"/>
            </w:pPr>
            <w:r/>
            <w:r>
              <w:rPr>
                <w:rFonts w:ascii="Figtree" w:hAnsi="Figtree"/>
                <w:b w:val="0"/>
                <w:i w:val="0"/>
                <w:sz w:val="20"/>
              </w:rPr>
              <w:t>Private link</w:t>
            </w:r>
          </w:p>
        </w:tc>
        <w:tc>
          <w:tcPr>
            <w:tcW w:type="dxa" w:w="1949"/>
            <w:vAlign w:val="center"/>
          </w:tcPr>
          <w:p>
            <w:pPr>
              <w:spacing w:line="276" w:lineRule="auto" w:before="0" w:after="0"/>
            </w:pPr>
            <w:r/>
            <w:r>
              <w:rPr>
                <w:rFonts w:ascii="Figtree" w:hAnsi="Figtree"/>
                <w:b w:val="0"/>
                <w:i w:val="0"/>
                <w:sz w:val="20"/>
              </w:rPr>
              <w:t>Control + efficiency</w:t>
            </w:r>
          </w:p>
        </w:tc>
      </w:tr>
      <w:tr>
        <w:trPr>
          <w:trHeight w:val="425" w:hRule="atLeast"/>
        </w:trPr>
        <w:tc>
          <w:tcPr>
            <w:tcW w:type="dxa" w:w="1949"/>
            <w:vAlign w:val="center"/>
          </w:tcPr>
          <w:p>
            <w:pPr>
              <w:spacing w:line="276" w:lineRule="auto" w:before="0" w:after="0"/>
            </w:pPr>
            <w:r/>
            <w:r>
              <w:rPr>
                <w:rFonts w:ascii="Figtree" w:hAnsi="Figtree"/>
                <w:b/>
                <w:i w:val="0"/>
                <w:sz w:val="20"/>
              </w:rPr>
              <w:t>On-Premises</w:t>
            </w:r>
          </w:p>
        </w:tc>
        <w:tc>
          <w:tcPr>
            <w:tcW w:type="dxa" w:w="1949"/>
            <w:vAlign w:val="center"/>
          </w:tcPr>
          <w:p>
            <w:pPr>
              <w:spacing w:line="276" w:lineRule="auto" w:before="0" w:after="0"/>
            </w:pPr>
            <w:r/>
            <w:r>
              <w:rPr>
                <w:rFonts w:ascii="Figtree" w:hAnsi="Figtree"/>
                <w:b w:val="0"/>
                <w:i w:val="0"/>
                <w:sz w:val="20"/>
              </w:rPr>
              <w:t>Customer</w:t>
            </w:r>
          </w:p>
        </w:tc>
        <w:tc>
          <w:tcPr>
            <w:tcW w:type="dxa" w:w="1949"/>
            <w:vAlign w:val="center"/>
          </w:tcPr>
          <w:p>
            <w:pPr>
              <w:spacing w:line="276" w:lineRule="auto" w:before="0" w:after="0"/>
            </w:pPr>
            <w:r/>
            <w:r>
              <w:rPr>
                <w:rFonts w:ascii="Figtree" w:hAnsi="Figtree"/>
                <w:b w:val="0"/>
                <w:i w:val="0"/>
                <w:sz w:val="20"/>
              </w:rPr>
              <w:t>On-site</w:t>
            </w:r>
          </w:p>
        </w:tc>
        <w:tc>
          <w:tcPr>
            <w:tcW w:type="dxa" w:w="1949"/>
            <w:vAlign w:val="center"/>
          </w:tcPr>
          <w:p>
            <w:pPr>
              <w:spacing w:line="276" w:lineRule="auto" w:before="0" w:after="0"/>
            </w:pPr>
            <w:r/>
            <w:r>
              <w:rPr>
                <w:rFonts w:ascii="Figtree" w:hAnsi="Figtree"/>
                <w:b w:val="0"/>
                <w:i w:val="0"/>
                <w:sz w:val="20"/>
              </w:rPr>
              <w:t>Internal</w:t>
            </w:r>
          </w:p>
        </w:tc>
        <w:tc>
          <w:tcPr>
            <w:tcW w:type="dxa" w:w="1949"/>
            <w:vAlign w:val="center"/>
          </w:tcPr>
          <w:p>
            <w:pPr>
              <w:spacing w:line="276" w:lineRule="auto" w:before="0" w:after="0"/>
            </w:pPr>
            <w:r/>
            <w:r>
              <w:rPr>
                <w:rFonts w:ascii="Figtree" w:hAnsi="Figtree"/>
                <w:b w:val="0"/>
                <w:i w:val="0"/>
                <w:sz w:val="20"/>
              </w:rPr>
              <w:t>Maximum control</w:t>
            </w:r>
          </w:p>
        </w:tc>
      </w:tr>
    </w:tbl>
    <w:p>
      <w:pPr>
        <w:spacing w:before="0" w:after="0" w:line="120" w:lineRule="exact"/>
      </w:pPr>
    </w:p>
    <w:p>
      <w:pPr>
        <w:pStyle w:val="H2"/>
        <w:numPr>
          <w:ilvl w:val="1"/>
          <w:numId w:val="1"/>
        </w:numPr>
      </w:pPr>
      <w:r>
        <w:t>10.4 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i w:val="0"/>
                <w:sz w:val="20"/>
              </w:rPr>
              <w:t>Compute</w:t>
            </w:r>
          </w:p>
        </w:tc>
        <w:tc>
          <w:tcPr>
            <w:tcW w:type="dxa" w:w="4873"/>
            <w:vAlign w:val="center"/>
          </w:tcPr>
          <w:p>
            <w:pPr>
              <w:spacing w:line="276" w:lineRule="auto" w:before="0" w:after="0"/>
            </w:pPr>
            <w:r/>
            <w:r>
              <w:rPr>
                <w:rFonts w:ascii="Figtree" w:hAnsi="Figtree"/>
                <w:b w:val="0"/>
                <w:i w:val="0"/>
                <w:sz w:val="20"/>
              </w:rPr>
              <w:t>Kubernetes (K8s) cluster</w:t>
            </w:r>
          </w:p>
        </w:tc>
      </w:tr>
      <w:tr>
        <w:trPr>
          <w:trHeight w:val="425" w:hRule="atLeast"/>
        </w:trPr>
        <w:tc>
          <w:tcPr>
            <w:tcW w:type="dxa" w:w="4873"/>
            <w:vAlign w:val="center"/>
          </w:tcPr>
          <w:p>
            <w:pPr>
              <w:spacing w:line="276" w:lineRule="auto" w:before="0" w:after="0"/>
            </w:pPr>
            <w:r/>
            <w:r>
              <w:rPr>
                <w:rFonts w:ascii="Figtree" w:hAnsi="Figtree"/>
                <w:b/>
                <w:i w:val="0"/>
                <w:sz w:val="20"/>
              </w:rPr>
              <w:t>Database</w:t>
            </w:r>
          </w:p>
        </w:tc>
        <w:tc>
          <w:tcPr>
            <w:tcW w:type="dxa" w:w="4873"/>
            <w:vAlign w:val="center"/>
          </w:tcPr>
          <w:p>
            <w:pPr>
              <w:spacing w:line="276" w:lineRule="auto" w:before="0" w:after="0"/>
            </w:pPr>
            <w:r/>
            <w:r>
              <w:rPr>
                <w:rFonts w:ascii="Figtree" w:hAnsi="Figtree"/>
                <w:b w:val="0"/>
                <w:i w:val="0"/>
                <w:sz w:val="20"/>
              </w:rPr>
              <w:t>PostgreSQL 14+</w:t>
            </w:r>
          </w:p>
        </w:tc>
      </w:tr>
      <w:tr>
        <w:trPr>
          <w:trHeight w:val="425" w:hRule="atLeast"/>
        </w:trPr>
        <w:tc>
          <w:tcPr>
            <w:tcW w:type="dxa" w:w="4873"/>
            <w:vAlign w:val="center"/>
          </w:tcPr>
          <w:p>
            <w:pPr>
              <w:spacing w:line="276" w:lineRule="auto" w:before="0" w:after="0"/>
            </w:pPr>
            <w:r/>
            <w:r>
              <w:rPr>
                <w:rFonts w:ascii="Figtree" w:hAnsi="Figtree"/>
                <w:b/>
                <w:i w:val="0"/>
                <w:sz w:val="20"/>
              </w:rPr>
              <w:t>Cache</w:t>
            </w:r>
          </w:p>
        </w:tc>
        <w:tc>
          <w:tcPr>
            <w:tcW w:type="dxa" w:w="4873"/>
            <w:vAlign w:val="center"/>
          </w:tcPr>
          <w:p>
            <w:pPr>
              <w:spacing w:line="276" w:lineRule="auto" w:before="0" w:after="0"/>
            </w:pPr>
            <w:r/>
            <w:r>
              <w:rPr>
                <w:rFonts w:ascii="Figtree" w:hAnsi="Figtree"/>
                <w:b w:val="0"/>
                <w:i w:val="0"/>
                <w:sz w:val="20"/>
              </w:rPr>
              <w:t>Redis 7+</w:t>
            </w:r>
          </w:p>
        </w:tc>
      </w:tr>
      <w:tr>
        <w:trPr>
          <w:trHeight w:val="425" w:hRule="atLeast"/>
        </w:trPr>
        <w:tc>
          <w:tcPr>
            <w:tcW w:type="dxa" w:w="4873"/>
            <w:vAlign w:val="center"/>
          </w:tcPr>
          <w:p>
            <w:pPr>
              <w:spacing w:line="276" w:lineRule="auto" w:before="0" w:after="0"/>
            </w:pPr>
            <w:r/>
            <w:r>
              <w:rPr>
                <w:rFonts w:ascii="Figtree" w:hAnsi="Figtree"/>
                <w:b/>
                <w:i w:val="0"/>
                <w:sz w:val="20"/>
              </w:rPr>
              <w:t>Storage</w:t>
            </w:r>
          </w:p>
        </w:tc>
        <w:tc>
          <w:tcPr>
            <w:tcW w:type="dxa" w:w="4873"/>
            <w:vAlign w:val="center"/>
          </w:tcPr>
          <w:p>
            <w:pPr>
              <w:spacing w:line="276" w:lineRule="auto" w:before="0" w:after="0"/>
            </w:pPr>
            <w:r/>
            <w:r>
              <w:rPr>
                <w:rFonts w:ascii="Figtree" w:hAnsi="Figtree"/>
                <w:b w:val="0"/>
                <w:i w:val="0"/>
                <w:sz w:val="20"/>
              </w:rPr>
              <w:t>S3-compatible object storage</w:t>
            </w:r>
          </w:p>
        </w:tc>
      </w:tr>
      <w:tr>
        <w:trPr>
          <w:trHeight w:val="425" w:hRule="atLeast"/>
        </w:trPr>
        <w:tc>
          <w:tcPr>
            <w:tcW w:type="dxa" w:w="4873"/>
            <w:vAlign w:val="center"/>
          </w:tcPr>
          <w:p>
            <w:pPr>
              <w:spacing w:line="276" w:lineRule="auto" w:before="0" w:after="0"/>
            </w:pPr>
            <w:r/>
            <w:r>
              <w:rPr>
                <w:rFonts w:ascii="Figtree" w:hAnsi="Figtree"/>
                <w:b/>
                <w:i w:val="0"/>
                <w:sz w:val="20"/>
              </w:rPr>
              <w:t>Networking</w:t>
            </w:r>
          </w:p>
        </w:tc>
        <w:tc>
          <w:tcPr>
            <w:tcW w:type="dxa" w:w="4873"/>
            <w:vAlign w:val="center"/>
          </w:tcPr>
          <w:p>
            <w:pPr>
              <w:spacing w:line="276" w:lineRule="auto" w:before="0" w:after="0"/>
            </w:pPr>
            <w:r/>
            <w:r>
              <w:rPr>
                <w:rFonts w:ascii="Figtree" w:hAnsi="Figtree"/>
                <w:b w:val="0"/>
                <w:i w:val="0"/>
                <w:sz w:val="20"/>
              </w:rPr>
              <w:t>Load balancer, WAF</w:t>
            </w:r>
          </w:p>
        </w:tc>
      </w:tr>
    </w:tbl>
    <w:p>
      <w:pPr>
        <w:spacing w:before="0" w:after="0" w:line="120" w:lineRule="exact"/>
      </w:pPr>
    </w:p>
    <w:p>
      <w:pPr>
        <w:pStyle w:val="H2"/>
        <w:numPr>
          <w:ilvl w:val="1"/>
          <w:numId w:val="1"/>
        </w:numPr>
      </w:pPr>
      <w:r>
        <w:t>10.5 Availability, Resilience, and DR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6"/>
        <w:gridCol w:w="60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i w:val="0"/>
                <w:sz w:val="20"/>
              </w:rPr>
              <w:t>Availability</w:t>
            </w:r>
          </w:p>
        </w:tc>
        <w:tc>
          <w:tcPr>
            <w:tcW w:type="dxa" w:w="4873"/>
            <w:vAlign w:val="center"/>
          </w:tcPr>
          <w:p>
            <w:pPr>
              <w:spacing w:line="276" w:lineRule="auto" w:before="0" w:after="0"/>
            </w:pPr>
            <w:r/>
            <w:r>
              <w:rPr>
                <w:rFonts w:ascii="Figtree" w:hAnsi="Figtree"/>
                <w:b w:val="0"/>
                <w:i w:val="0"/>
                <w:sz w:val="20"/>
              </w:rPr>
              <w:t>99.9% (excluding planned maintenance)</w:t>
            </w:r>
          </w:p>
        </w:tc>
      </w:tr>
      <w:tr>
        <w:trPr>
          <w:trHeight w:val="425" w:hRule="atLeast"/>
        </w:trPr>
        <w:tc>
          <w:tcPr>
            <w:tcW w:type="dxa" w:w="4873"/>
            <w:vAlign w:val="center"/>
          </w:tcPr>
          <w:p>
            <w:pPr>
              <w:spacing w:line="276" w:lineRule="auto" w:before="0" w:after="0"/>
            </w:pPr>
            <w:r/>
            <w:r>
              <w:rPr>
                <w:rFonts w:ascii="Figtree" w:hAnsi="Figtree"/>
                <w:b/>
                <w:i w:val="0"/>
                <w:sz w:val="20"/>
              </w:rPr>
              <w:t>RTO</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i w:val="0"/>
                <w:sz w:val="20"/>
              </w:rPr>
              <w:t>RPO</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i w:val="0"/>
                <w:sz w:val="20"/>
              </w:rPr>
              <w:t>Recovery</w:t>
            </w:r>
          </w:p>
        </w:tc>
        <w:tc>
          <w:tcPr>
            <w:tcW w:type="dxa" w:w="4873"/>
            <w:vAlign w:val="center"/>
          </w:tcPr>
          <w:p>
            <w:pPr>
              <w:spacing w:line="276" w:lineRule="auto" w:before="0" w:after="0"/>
            </w:pPr>
            <w:r/>
            <w:r>
              <w:rPr>
                <w:rFonts w:ascii="Figtree" w:hAnsi="Figtree"/>
                <w:b w:val="0"/>
                <w:i w:val="0"/>
                <w:sz w:val="20"/>
              </w:rPr>
              <w:t>Automated failover to DR site</w:t>
            </w:r>
          </w:p>
        </w:tc>
      </w:tr>
    </w:tbl>
    <w:p>
      <w:pPr>
        <w:spacing w:before="0" w:after="0" w:line="120" w:lineRule="exact"/>
      </w:pPr>
    </w:p>
    <w:p>
      <w:pPr>
        <w:pStyle w:val="H2"/>
        <w:numPr>
          <w:ilvl w:val="1"/>
          <w:numId w:val="1"/>
        </w:numPr>
      </w:pPr>
      <w:r>
        <w:t>10.6 Data Residency and Sovereignty</w:t>
      </w:r>
    </w:p>
    <w:p>
      <w:r>
        <w:rPr>
          <w:rFonts w:ascii="Figtree" w:hAnsi="Figtree"/>
          <w:b w:val="0"/>
          <w:i w:val="0"/>
          <w:sz w:val="22"/>
        </w:rPr>
        <w:t>All customer data remains in the specified region. No data leaves the designated geographic boundary without explicit configuration. Backup storage maintains the same residency requirements.</w:t>
      </w:r>
    </w:p>
    <w:p>
      <w:r>
        <w:br w:type="page"/>
      </w:r>
    </w:p>
    <w:p>
      <w:pPr>
        <w:pStyle w:val="H1"/>
        <w:numPr>
          <w:ilvl w:val="0"/>
          <w:numId w:val="1"/>
        </w:numPr>
      </w:pPr>
      <w:r>
        <w:t>11. Training and Knowledge Transfer</w:t>
      </w:r>
    </w:p>
    <w:p>
      <w:pPr>
        <w:pStyle w:val="H2"/>
        <w:numPr>
          <w:ilvl w:val="1"/>
          <w:numId w:val="1"/>
        </w:numPr>
      </w:pPr>
      <w:r>
        <w:t>11.1 Training Strategy</w:t>
      </w:r>
    </w:p>
    <w:p>
      <w:r>
        <w:rPr>
          <w:rFonts w:ascii="Figtree" w:hAnsi="Figtree"/>
          <w:b w:val="0"/>
          <w:i w:val="0"/>
          <w:sz w:val="22"/>
        </w:rPr>
        <w:t>Training is delivered through a combination of instructor-led sessions, hands-on labs, documentation, and shadowing periods. All training is role-specific.</w:t>
      </w:r>
    </w:p>
    <w:p>
      <w:pPr>
        <w:pStyle w:val="H2"/>
        <w:numPr>
          <w:ilvl w:val="1"/>
          <w:numId w:val="1"/>
        </w:numPr>
      </w:pPr>
      <w:r>
        <w:t>11.2 Administrator Track</w:t>
      </w:r>
    </w:p>
    <w:p>
      <w:r>
        <w:rPr>
          <w:rFonts w:ascii="Figtree" w:hAnsi="Figtree"/>
          <w:b/>
          <w:i w:val="0"/>
          <w:sz w:val="22"/>
        </w:rPr>
        <w:t>Duration:</w:t>
      </w:r>
      <w:r>
        <w:rPr>
          <w:rFonts w:ascii="Figtree" w:hAnsi="Figtree"/>
          <w:b w:val="0"/>
          <w:i w:val="0"/>
          <w:sz w:val="22"/>
        </w:rPr>
        <w:t xml:space="preserve"> 5 days</w:t>
      </w:r>
    </w:p>
    <w:p>
      <w:r>
        <w:rPr>
          <w:rFonts w:ascii="Figtree" w:hAnsi="Figtree"/>
          <w:b/>
          <w:i w:val="0"/>
          <w:sz w:val="22"/>
        </w:rPr>
        <w:t>Topics:</w:t>
      </w:r>
      <w:r>
        <w:rPr>
          <w:rFonts w:ascii="Figtree" w:hAnsi="Figtree"/>
          <w:b w:val="0"/>
          <w:i w:val="0"/>
          <w:sz w:val="22"/>
        </w:rPr>
        <w:t xml:space="preserve"> Platform architecture, system configuration, user management, compliance configuration, monitoring, troubleshooting, and backup/restore procedures.</w:t>
      </w:r>
    </w:p>
    <w:p>
      <w:pPr>
        <w:pStyle w:val="H2"/>
        <w:numPr>
          <w:ilvl w:val="1"/>
          <w:numId w:val="1"/>
        </w:numPr>
      </w:pPr>
      <w:r>
        <w:t>11.3 Developer / Integration Track</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Topics:</w:t>
      </w:r>
      <w:r>
        <w:rPr>
          <w:rFonts w:ascii="Figtree" w:hAnsi="Figtree"/>
          <w:b w:val="0"/>
          <w:i w:val="0"/>
          <w:sz w:val="22"/>
        </w:rPr>
        <w:t xml:space="preserve"> API usage, SDK integration, event handling, custom integration patterns, and debugging techniques.</w:t>
      </w:r>
    </w:p>
    <w:p>
      <w:pPr>
        <w:pStyle w:val="H2"/>
        <w:numPr>
          <w:ilvl w:val="1"/>
          <w:numId w:val="1"/>
        </w:numPr>
      </w:pPr>
      <w:r>
        <w:t>11.4 End-User / Operations Track</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Topics:</w:t>
      </w:r>
      <w:r>
        <w:rPr>
          <w:rFonts w:ascii="Figtree" w:hAnsi="Figtree"/>
          <w:b w:val="0"/>
          <w:i w:val="0"/>
          <w:sz w:val="22"/>
        </w:rPr>
        <w:t xml:space="preserve"> Asset Console navigation, asset issuance, transfer processing, compliance monitoring, reporting, and daily operations procedures.</w:t>
      </w:r>
    </w:p>
    <w:p>
      <w:pPr>
        <w:pStyle w:val="H2"/>
        <w:numPr>
          <w:ilvl w:val="1"/>
          <w:numId w:val="1"/>
        </w:numPr>
      </w:pPr>
      <w:r>
        <w:t>11.5 Knowledge Transfer Method</w:t>
      </w:r>
    </w:p>
    <w:p>
      <w:r>
        <w:rPr>
          <w:rFonts w:ascii="Figtree" w:hAnsi="Figtree"/>
          <w:b w:val="0"/>
          <w:i w:val="0"/>
          <w:sz w:val="22"/>
        </w:rPr>
        <w:t>Knowledge transfer includes production shadowing periods where KfW staff observe operations, guided labs with hands-on exercises, comprehensive runbooks for all procedures, and operational readiness assessment before go-live.</w:t>
      </w:r>
    </w:p>
    <w:p>
      <w:r>
        <w:br w:type="page"/>
      </w:r>
    </w:p>
    <w:p>
      <w:pPr>
        <w:pStyle w:val="H1"/>
        <w:numPr>
          <w:ilvl w:val="0"/>
          <w:numId w:val="1"/>
        </w:numPr>
      </w:pPr>
      <w:r>
        <w:t>12. Support &amp; SLA</w:t>
      </w:r>
    </w:p>
    <w:p>
      <w:pPr>
        <w:pStyle w:val="H2"/>
        <w:numPr>
          <w:ilvl w:val="1"/>
          <w:numId w:val="1"/>
        </w:numPr>
      </w:pPr>
      <w:r>
        <w:t>12.1 Support Model Overview</w:t>
      </w:r>
    </w:p>
    <w:p>
      <w:r>
        <w:rPr>
          <w:rFonts w:ascii="Figtree" w:hAnsi="Figtree"/>
          <w:b w:val="0"/>
          <w:i w:val="0"/>
          <w:sz w:val="22"/>
        </w:rPr>
        <w:t>SettleMint provides tiered support aligned to deployment criticality with defined channels, response times, and escalation paths.</w:t>
      </w:r>
    </w:p>
    <w:p>
      <w:pPr>
        <w:pStyle w:val="H2"/>
        <w:numPr>
          <w:ilvl w:val="1"/>
          <w:numId w:val="1"/>
        </w:numPr>
      </w:pPr>
      <w:r>
        <w:t>12.2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1"/>
        <w:gridCol w:w="2761"/>
        <w:gridCol w:w="986"/>
        <w:gridCol w:w="25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Hours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r>
      <w:tr>
        <w:trPr>
          <w:trHeight w:val="425" w:hRule="atLeast"/>
        </w:trPr>
        <w:tc>
          <w:tcPr>
            <w:tcW w:type="dxa" w:w="2436"/>
            <w:vAlign w:val="center"/>
          </w:tcPr>
          <w:p>
            <w:pPr>
              <w:spacing w:line="276" w:lineRule="auto" w:before="0" w:after="0"/>
            </w:pPr>
            <w:r/>
            <w:r>
              <w:rPr>
                <w:rFonts w:ascii="Figtree" w:hAnsi="Figtree"/>
                <w:b/>
                <w:i w:val="0"/>
                <w:sz w:val="20"/>
              </w:rPr>
              <w:t>Standard</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8x5</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i w:val="0"/>
                <w:sz w:val="20"/>
              </w:rPr>
              <w:t>Premium</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16x5</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Enterprise</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1 hour</w:t>
            </w:r>
          </w:p>
        </w:tc>
      </w:tr>
    </w:tbl>
    <w:p>
      <w:pPr>
        <w:spacing w:before="0" w:after="0" w:line="120" w:lineRule="exact"/>
      </w:pPr>
    </w:p>
    <w:p>
      <w:r>
        <w:rPr>
          <w:rFonts w:ascii="Figtree" w:hAnsi="Figtree"/>
          <w:b w:val="0"/>
          <w:i w:val="0"/>
          <w:sz w:val="22"/>
        </w:rPr>
        <w:t xml:space="preserve">For KfW, we recommend </w:t>
      </w:r>
      <w:r>
        <w:rPr>
          <w:rFonts w:ascii="Figtree" w:hAnsi="Figtree"/>
          <w:b/>
          <w:i w:val="0"/>
          <w:sz w:val="22"/>
        </w:rPr>
        <w:t>Enterprise</w:t>
      </w:r>
      <w:r>
        <w:rPr>
          <w:rFonts w:ascii="Figtree" w:hAnsi="Figtree"/>
          <w:b w:val="0"/>
          <w:i w:val="0"/>
          <w:sz w:val="22"/>
        </w:rPr>
        <w:t xml:space="preserve"> tier given the production criticality and regulatory requirements.</w:t>
      </w:r>
    </w:p>
    <w:p>
      <w:pPr>
        <w:pStyle w:val="H2"/>
        <w:numPr>
          <w:ilvl w:val="1"/>
          <w:numId w:val="1"/>
        </w:numPr>
      </w:pPr>
      <w:r>
        <w:t>12.3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2"/>
        <w:gridCol w:w="3559"/>
        <w:gridCol w:w="1607"/>
        <w:gridCol w:w="19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Production down, no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Major functionality impaired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Minor functionality affected</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General inquiries, minor issues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12.4 Escalation and Incident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60"/>
        <w:gridCol w:w="4309"/>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Escalation Time</w:t>
            </w:r>
          </w:p>
        </w:tc>
      </w:tr>
      <w:tr>
        <w:trPr>
          <w:trHeight w:val="425" w:hRule="atLeast"/>
        </w:trPr>
        <w:tc>
          <w:tcPr>
            <w:tcW w:type="dxa" w:w="3249"/>
            <w:vAlign w:val="center"/>
          </w:tcPr>
          <w:p>
            <w:pPr>
              <w:spacing w:line="276" w:lineRule="auto" w:before="0" w:after="0"/>
            </w:pPr>
            <w:r/>
            <w:r>
              <w:rPr>
                <w:rFonts w:ascii="Figtree" w:hAnsi="Figtree"/>
                <w:b/>
                <w:i w:val="0"/>
                <w:sz w:val="20"/>
              </w:rPr>
              <w:t>L1</w:t>
            </w:r>
          </w:p>
        </w:tc>
        <w:tc>
          <w:tcPr>
            <w:tcW w:type="dxa" w:w="3249"/>
            <w:vAlign w:val="center"/>
          </w:tcPr>
          <w:p>
            <w:pPr>
              <w:spacing w:line="276" w:lineRule="auto" w:before="0" w:after="0"/>
            </w:pPr>
            <w:r/>
            <w:r>
              <w:rPr>
                <w:rFonts w:ascii="Figtree" w:hAnsi="Figtree"/>
                <w:b w:val="0"/>
                <w:i w:val="0"/>
                <w:sz w:val="20"/>
              </w:rPr>
              <w:t>Support Team</w:t>
            </w:r>
          </w:p>
        </w:tc>
        <w:tc>
          <w:tcPr>
            <w:tcW w:type="dxa" w:w="3249"/>
            <w:vAlign w:val="center"/>
          </w:tcPr>
          <w:p>
            <w:pPr>
              <w:spacing w:line="276" w:lineRule="auto" w:before="0" w:after="0"/>
            </w:pPr>
            <w:r/>
            <w:r>
              <w:rPr>
                <w:rFonts w:ascii="Figtree" w:hAnsi="Figtree"/>
                <w:b w:val="0"/>
                <w:i w:val="0"/>
                <w:sz w:val="20"/>
              </w:rPr>
              <w:t>Immediate</w:t>
            </w:r>
          </w:p>
        </w:tc>
      </w:tr>
      <w:tr>
        <w:trPr>
          <w:trHeight w:val="425" w:hRule="atLeast"/>
        </w:trPr>
        <w:tc>
          <w:tcPr>
            <w:tcW w:type="dxa" w:w="3249"/>
            <w:vAlign w:val="center"/>
          </w:tcPr>
          <w:p>
            <w:pPr>
              <w:spacing w:line="276" w:lineRule="auto" w:before="0" w:after="0"/>
            </w:pPr>
            <w:r/>
            <w:r>
              <w:rPr>
                <w:rFonts w:ascii="Figtree" w:hAnsi="Figtree"/>
                <w:b/>
                <w:i w:val="0"/>
                <w:sz w:val="20"/>
              </w:rPr>
              <w:t>L2</w:t>
            </w:r>
          </w:p>
        </w:tc>
        <w:tc>
          <w:tcPr>
            <w:tcW w:type="dxa" w:w="3249"/>
            <w:vAlign w:val="center"/>
          </w:tcPr>
          <w:p>
            <w:pPr>
              <w:spacing w:line="276" w:lineRule="auto" w:before="0" w:after="0"/>
            </w:pPr>
            <w:r/>
            <w:r>
              <w:rPr>
                <w:rFonts w:ascii="Figtree" w:hAnsi="Figtree"/>
                <w:b w:val="0"/>
                <w:i w:val="0"/>
                <w:sz w:val="20"/>
              </w:rPr>
              <w:t>Technical Lead</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i w:val="0"/>
                <w:sz w:val="20"/>
              </w:rPr>
              <w:t>L3</w:t>
            </w:r>
          </w:p>
        </w:tc>
        <w:tc>
          <w:tcPr>
            <w:tcW w:type="dxa" w:w="3249"/>
            <w:vAlign w:val="center"/>
          </w:tcPr>
          <w:p>
            <w:pPr>
              <w:spacing w:line="276" w:lineRule="auto" w:before="0" w:after="0"/>
            </w:pPr>
            <w:r/>
            <w:r>
              <w:rPr>
                <w:rFonts w:ascii="Figtree" w:hAnsi="Figtree"/>
                <w:b w:val="0"/>
                <w:i w:val="0"/>
                <w:sz w:val="20"/>
              </w:rPr>
              <w:t>Engineering Manager</w:t>
            </w:r>
          </w:p>
        </w:tc>
        <w:tc>
          <w:tcPr>
            <w:tcW w:type="dxa" w:w="3249"/>
            <w:vAlign w:val="center"/>
          </w:tcPr>
          <w:p>
            <w:pPr>
              <w:spacing w:line="276" w:lineRule="auto" w:before="0" w:after="0"/>
            </w:pPr>
            <w:r/>
            <w:r>
              <w:rPr>
                <w:rFonts w:ascii="Figtree" w:hAnsi="Figtree"/>
                <w:b w:val="0"/>
                <w:i w:val="0"/>
                <w:sz w:val="20"/>
              </w:rPr>
              <w:t>8 hours</w:t>
            </w:r>
          </w:p>
        </w:tc>
      </w:tr>
      <w:tr>
        <w:trPr>
          <w:trHeight w:val="425" w:hRule="atLeast"/>
        </w:trPr>
        <w:tc>
          <w:tcPr>
            <w:tcW w:type="dxa" w:w="3249"/>
            <w:vAlign w:val="center"/>
          </w:tcPr>
          <w:p>
            <w:pPr>
              <w:spacing w:line="276" w:lineRule="auto" w:before="0" w:after="0"/>
            </w:pPr>
            <w:r/>
            <w:r>
              <w:rPr>
                <w:rFonts w:ascii="Figtree" w:hAnsi="Figtree"/>
                <w:b/>
                <w:i w:val="0"/>
                <w:sz w:val="20"/>
              </w:rPr>
              <w:t>L4</w:t>
            </w:r>
          </w:p>
        </w:tc>
        <w:tc>
          <w:tcPr>
            <w:tcW w:type="dxa" w:w="3249"/>
            <w:vAlign w:val="center"/>
          </w:tcPr>
          <w:p>
            <w:pPr>
              <w:spacing w:line="276" w:lineRule="auto" w:before="0" w:after="0"/>
            </w:pPr>
            <w:r/>
            <w:r>
              <w:rPr>
                <w:rFonts w:ascii="Figtree" w:hAnsi="Figtree"/>
                <w:b w:val="0"/>
                <w:i w:val="0"/>
                <w:sz w:val="20"/>
              </w:rPr>
              <w:t>VP Engineering</w:t>
            </w:r>
          </w:p>
        </w:tc>
        <w:tc>
          <w:tcPr>
            <w:tcW w:type="dxa" w:w="3249"/>
            <w:vAlign w:val="center"/>
          </w:tcPr>
          <w:p>
            <w:pPr>
              <w:spacing w:line="276" w:lineRule="auto" w:before="0" w:after="0"/>
            </w:pPr>
            <w:r/>
            <w:r>
              <w:rPr>
                <w:rFonts w:ascii="Figtree" w:hAnsi="Figtree"/>
                <w:b w:val="0"/>
                <w:i w:val="0"/>
                <w:sz w:val="20"/>
              </w:rPr>
              <w:t>24 hours</w:t>
            </w:r>
          </w:p>
        </w:tc>
      </w:tr>
    </w:tbl>
    <w:p>
      <w:pPr>
        <w:spacing w:before="0" w:after="0" w:line="120" w:lineRule="exact"/>
      </w:pPr>
    </w:p>
    <w:p>
      <w:pPr>
        <w:pStyle w:val="H2"/>
        <w:numPr>
          <w:ilvl w:val="1"/>
          <w:numId w:val="1"/>
        </w:numPr>
      </w:pPr>
      <w:r>
        <w:t>12.5 Maintenance and Update Policy</w:t>
      </w:r>
    </w:p>
    <w:p>
      <w:r>
        <w:rPr>
          <w:rFonts w:ascii="Figtree" w:hAnsi="Figtree"/>
          <w:b w:val="0"/>
          <w:i w:val="0"/>
          <w:sz w:val="22"/>
        </w:rPr>
        <w:t>Scheduled maintenance occurs monthly during agreed windows with 5 business days notice. Emergency security patches may be applied with notification. All changes follow change management process.</w:t>
      </w:r>
    </w:p>
    <w:p>
      <w:pPr>
        <w:pStyle w:val="H2"/>
        <w:numPr>
          <w:ilvl w:val="1"/>
          <w:numId w:val="1"/>
        </w:numPr>
      </w:pPr>
      <w:r>
        <w:t>12.6 Service Reporting</w:t>
      </w:r>
    </w:p>
    <w:p>
      <w:r>
        <w:rPr>
          <w:rFonts w:ascii="Figtree" w:hAnsi="Figtree"/>
          <w:b w:val="0"/>
          <w:i w:val="0"/>
          <w:sz w:val="22"/>
        </w:rPr>
        <w:t>Monthly service reports include uptime metrics, incident summary, and performance indicators. Quarterly business reviews cover roadmap updates and optimization recommendations.</w:t>
      </w:r>
    </w:p>
    <w:p>
      <w:r>
        <w:br w:type="page"/>
      </w:r>
    </w:p>
    <w:p>
      <w:pPr>
        <w:pStyle w:val="H1"/>
        <w:numPr>
          <w:ilvl w:val="0"/>
          <w:numId w:val="1"/>
        </w:numPr>
      </w:pPr>
      <w:r>
        <w:t>13. Risk Management</w:t>
      </w:r>
    </w:p>
    <w:p>
      <w:pPr>
        <w:pStyle w:val="H2"/>
        <w:numPr>
          <w:ilvl w:val="1"/>
          <w:numId w:val="1"/>
        </w:numPr>
      </w:pPr>
      <w:r>
        <w:t>13.1 Risk Management Approach</w:t>
      </w:r>
    </w:p>
    <w:p>
      <w:r>
        <w:rPr>
          <w:rFonts w:ascii="Figtree" w:hAnsi="Figtree"/>
          <w:b w:val="0"/>
          <w:i w:val="0"/>
          <w:sz w:val="22"/>
        </w:rPr>
        <w:t>Risks are identified, assessed, and managed throughout the project lifecycle with regular review at steering committee meetings.</w:t>
      </w:r>
    </w:p>
    <w:p>
      <w:pPr>
        <w:pStyle w:val="H2"/>
        <w:numPr>
          <w:ilvl w:val="1"/>
          <w:numId w:val="1"/>
        </w:numPr>
      </w:pPr>
      <w:r>
        <w:t>13.2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2"/>
        <w:gridCol w:w="2671"/>
        <w:gridCol w:w="667"/>
        <w:gridCol w:w="662"/>
        <w:gridCol w:w="3739"/>
        <w:gridCol w:w="66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R1</w:t>
            </w:r>
          </w:p>
        </w:tc>
        <w:tc>
          <w:tcPr>
            <w:tcW w:type="dxa" w:w="1624"/>
            <w:vAlign w:val="center"/>
          </w:tcPr>
          <w:p>
            <w:pPr>
              <w:spacing w:line="276" w:lineRule="auto" w:before="0" w:after="0"/>
            </w:pPr>
            <w:r/>
            <w:r>
              <w:rPr>
                <w:rFonts w:ascii="Figtree" w:hAnsi="Figtree"/>
                <w:b w:val="0"/>
                <w:i w:val="0"/>
                <w:sz w:val="20"/>
              </w:rPr>
              <w:t>Regulatory change during 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Modular compliance design, regular regulatory monitoring</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R2</w:t>
            </w:r>
          </w:p>
        </w:tc>
        <w:tc>
          <w:tcPr>
            <w:tcW w:type="dxa" w:w="1624"/>
            <w:vAlign w:val="center"/>
          </w:tcPr>
          <w:p>
            <w:pPr>
              <w:spacing w:line="276" w:lineRule="auto" w:before="0" w:after="0"/>
            </w:pPr>
            <w:r/>
            <w:r>
              <w:rPr>
                <w:rFonts w:ascii="Figtree" w:hAnsi="Figtree"/>
                <w:b w:val="0"/>
                <w:i w:val="0"/>
                <w:sz w:val="20"/>
              </w:rPr>
              <w:t>Integration complexity exceeds estimates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integration prototyping, buffer in timeline</w:t>
            </w:r>
          </w:p>
        </w:tc>
        <w:tc>
          <w:tcPr>
            <w:tcW w:type="dxa" w:w="1624"/>
            <w:vAlign w:val="center"/>
          </w:tcPr>
          <w:p>
            <w:pPr>
              <w:spacing w:line="276" w:lineRule="auto" w:before="0" w:after="0"/>
            </w:pPr>
            <w:r/>
            <w:r>
              <w:rPr>
                <w:rFonts w:ascii="Figtree" w:hAnsi="Figtree"/>
                <w:b w:val="0"/>
                <w:i w:val="0"/>
                <w:sz w:val="20"/>
              </w:rPr>
              <w:t>Shared</w:t>
            </w:r>
          </w:p>
        </w:tc>
      </w:tr>
      <w:tr>
        <w:trPr>
          <w:trHeight w:val="425" w:hRule="atLeast"/>
        </w:trPr>
        <w:tc>
          <w:tcPr>
            <w:tcW w:type="dxa" w:w="1624"/>
            <w:vAlign w:val="center"/>
          </w:tcPr>
          <w:p>
            <w:pPr>
              <w:spacing w:line="276" w:lineRule="auto" w:before="0" w:after="0"/>
            </w:pPr>
            <w:r/>
            <w:r>
              <w:rPr>
                <w:rFonts w:ascii="Figtree" w:hAnsi="Figtree"/>
                <w:b w:val="0"/>
                <w:i w:val="0"/>
                <w:sz w:val="20"/>
              </w:rPr>
              <w:t>R3</w:t>
            </w:r>
          </w:p>
        </w:tc>
        <w:tc>
          <w:tcPr>
            <w:tcW w:type="dxa" w:w="1624"/>
            <w:vAlign w:val="center"/>
          </w:tcPr>
          <w:p>
            <w:pPr>
              <w:spacing w:line="276" w:lineRule="auto" w:before="0" w:after="0"/>
            </w:pPr>
            <w:r/>
            <w:r>
              <w:rPr>
                <w:rFonts w:ascii="Figtree" w:hAnsi="Figtree"/>
                <w:b w:val="0"/>
                <w:i w:val="0"/>
                <w:sz w:val="20"/>
              </w:rPr>
              <w:t>Client resource availability delays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Clear dependency tracking, executive sponsorship</w:t>
            </w:r>
          </w:p>
        </w:tc>
        <w:tc>
          <w:tcPr>
            <w:tcW w:type="dxa" w:w="1624"/>
            <w:vAlign w:val="center"/>
          </w:tcPr>
          <w:p>
            <w:pPr>
              <w:spacing w:line="276" w:lineRule="auto" w:before="0" w:after="0"/>
            </w:pPr>
            <w:r/>
            <w:r>
              <w:rPr>
                <w:rFonts w:ascii="Figtree" w:hAnsi="Figtree"/>
                <w:b w:val="0"/>
                <w:i w:val="0"/>
                <w:sz w:val="20"/>
              </w:rPr>
              <w:t>KfW</w:t>
            </w:r>
          </w:p>
        </w:tc>
      </w:tr>
      <w:tr>
        <w:trPr>
          <w:trHeight w:val="425" w:hRule="atLeast"/>
        </w:trPr>
        <w:tc>
          <w:tcPr>
            <w:tcW w:type="dxa" w:w="1624"/>
            <w:vAlign w:val="center"/>
          </w:tcPr>
          <w:p>
            <w:pPr>
              <w:spacing w:line="276" w:lineRule="auto" w:before="0" w:after="0"/>
            </w:pPr>
            <w:r/>
            <w:r>
              <w:rPr>
                <w:rFonts w:ascii="Figtree" w:hAnsi="Figtree"/>
                <w:b w:val="0"/>
                <w:i w:val="0"/>
                <w:sz w:val="20"/>
              </w:rPr>
              <w:t>R4</w:t>
            </w:r>
          </w:p>
        </w:tc>
        <w:tc>
          <w:tcPr>
            <w:tcW w:type="dxa" w:w="1624"/>
            <w:vAlign w:val="center"/>
          </w:tcPr>
          <w:p>
            <w:pPr>
              <w:spacing w:line="276" w:lineRule="auto" w:before="0" w:after="0"/>
            </w:pPr>
            <w:r/>
            <w:r>
              <w:rPr>
                <w:rFonts w:ascii="Figtree" w:hAnsi="Figtree"/>
                <w:b w:val="0"/>
                <w:i w:val="0"/>
                <w:sz w:val="20"/>
              </w:rPr>
              <w:t>Third-party security review delays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parallel workstreams</w:t>
            </w:r>
          </w:p>
        </w:tc>
        <w:tc>
          <w:tcPr>
            <w:tcW w:type="dxa" w:w="1624"/>
            <w:vAlign w:val="center"/>
          </w:tcPr>
          <w:p>
            <w:pPr>
              <w:spacing w:line="276" w:lineRule="auto" w:before="0" w:after="0"/>
            </w:pPr>
            <w:r/>
            <w:r>
              <w:rPr>
                <w:rFonts w:ascii="Figtree" w:hAnsi="Figtree"/>
                <w:b w:val="0"/>
                <w:i w:val="0"/>
                <w:sz w:val="20"/>
              </w:rPr>
              <w:t>Shared</w:t>
            </w:r>
          </w:p>
        </w:tc>
      </w:tr>
      <w:tr>
        <w:trPr>
          <w:trHeight w:val="425" w:hRule="atLeast"/>
        </w:trPr>
        <w:tc>
          <w:tcPr>
            <w:tcW w:type="dxa" w:w="1624"/>
            <w:vAlign w:val="center"/>
          </w:tcPr>
          <w:p>
            <w:pPr>
              <w:spacing w:line="276" w:lineRule="auto" w:before="0" w:after="0"/>
            </w:pPr>
            <w:r/>
            <w:r>
              <w:rPr>
                <w:rFonts w:ascii="Figtree" w:hAnsi="Figtree"/>
                <w:b w:val="0"/>
                <w:i w:val="0"/>
                <w:sz w:val="20"/>
              </w:rPr>
              <w:t>R5</w:t>
            </w:r>
          </w:p>
        </w:tc>
        <w:tc>
          <w:tcPr>
            <w:tcW w:type="dxa" w:w="1624"/>
            <w:vAlign w:val="center"/>
          </w:tcPr>
          <w:p>
            <w:pPr>
              <w:spacing w:line="276" w:lineRule="auto" w:before="0" w:after="0"/>
            </w:pPr>
            <w:r/>
            <w:r>
              <w:rPr>
                <w:rFonts w:ascii="Figtree" w:hAnsi="Figtree"/>
                <w:b w:val="0"/>
                <w:i w:val="0"/>
                <w:sz w:val="20"/>
              </w:rPr>
              <w:t>Custodian integration challenges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Fireblocks/DFNS experience, fallback options</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pPr>
        <w:pStyle w:val="H2"/>
        <w:numPr>
          <w:ilvl w:val="1"/>
          <w:numId w:val="1"/>
        </w:numPr>
      </w:pPr>
      <w:r>
        <w:t>13.3 Governance of Risks</w:t>
      </w:r>
    </w:p>
    <w:p>
      <w:r>
        <w:rPr>
          <w:rFonts w:ascii="Figtree" w:hAnsi="Figtree"/>
          <w:b w:val="0"/>
          <w:i w:val="0"/>
          <w:sz w:val="22"/>
        </w:rPr>
        <w:t>Risk status is reviewed weekly in project meetings and monthly in steering committee. Triggers and contingency actions are defined for each major risk.</w:t>
      </w:r>
    </w:p>
    <w:p>
      <w:r>
        <w:br w:type="page"/>
      </w:r>
    </w:p>
    <w:p>
      <w:pPr>
        <w:pStyle w:val="H1"/>
        <w:numPr>
          <w:ilvl w:val="0"/>
          <w:numId w:val="1"/>
        </w:numPr>
      </w:pPr>
      <w:r>
        <w:t>14. Compliance Matrix</w:t>
      </w:r>
    </w:p>
    <w:p>
      <w:pPr>
        <w:pStyle w:val="H2"/>
        <w:numPr>
          <w:ilvl w:val="1"/>
          <w:numId w:val="1"/>
        </w:numPr>
      </w:pPr>
      <w:r>
        <w:t>14.1 Usage Instructions</w:t>
      </w:r>
    </w:p>
    <w:p>
      <w:r>
        <w:rPr>
          <w:rFonts w:ascii="Figtree" w:hAnsi="Figtree"/>
          <w:b w:val="0"/>
          <w:i w:val="0"/>
          <w:sz w:val="22"/>
        </w:rPr>
        <w:t>The following matrix maps KfW's requirements to DALP capabilities. Status codes: Full (F), Partial (P), Configurable (C), Assumption (A), Out of Scope (O).</w:t>
      </w:r>
    </w:p>
    <w:p>
      <w:pPr>
        <w:pStyle w:val="H2"/>
        <w:numPr>
          <w:ilvl w:val="1"/>
          <w:numId w:val="1"/>
        </w:numPr>
      </w:pPr>
      <w:r>
        <w:t>14.2 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8"/>
        <w:gridCol w:w="2550"/>
        <w:gridCol w:w="678"/>
        <w:gridCol w:w="2996"/>
        <w:gridCol w:w="21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management</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Full lifecycle from issuance through retirement</w:t>
            </w:r>
          </w:p>
        </w:tc>
        <w:tc>
          <w:tcPr>
            <w:tcW w:type="dxa" w:w="1949"/>
            <w:vAlign w:val="center"/>
          </w:tcPr>
          <w:p>
            <w:pPr>
              <w:spacing w:line="276" w:lineRule="auto" w:before="0" w:after="0"/>
            </w:pPr>
            <w:r/>
            <w:r>
              <w:rPr>
                <w:rFonts w:ascii="Figtree" w:hAnsi="Figtree"/>
                <w:b w:val="0"/>
                <w:i w:val="0"/>
                <w:sz w:val="20"/>
              </w:rPr>
              <w:t>Architecture, Asset Lifecycle docs</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Documented APIs and event interfaces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REST API, Webhooks, SDK, CLI</w:t>
            </w:r>
          </w:p>
        </w:tc>
        <w:tc>
          <w:tcPr>
            <w:tcW w:type="dxa" w:w="1949"/>
            <w:vAlign w:val="center"/>
          </w:tcPr>
          <w:p>
            <w:pPr>
              <w:spacing w:line="276" w:lineRule="auto" w:before="0" w:after="0"/>
            </w:pPr>
            <w:r/>
            <w:r>
              <w:rPr>
                <w:rFonts w:ascii="Figtree" w:hAnsi="Figtree"/>
                <w:b w:val="0"/>
                <w:i w:val="0"/>
                <w:sz w:val="20"/>
              </w:rPr>
              <w:t>API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RBAC, dual control, approval workflows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5 roles, maker-checker, workflow engine</w:t>
            </w:r>
          </w:p>
        </w:tc>
        <w:tc>
          <w:tcPr>
            <w:tcW w:type="dxa" w:w="1949"/>
            <w:vAlign w:val="center"/>
          </w:tcPr>
          <w:p>
            <w:pPr>
              <w:spacing w:line="276" w:lineRule="auto" w:before="0" w:after="0"/>
            </w:pPr>
            <w:r/>
            <w:r>
              <w:rPr>
                <w:rFonts w:ascii="Figtree" w:hAnsi="Figtree"/>
                <w:b w:val="0"/>
                <w:i w:val="0"/>
                <w:sz w:val="20"/>
              </w:rPr>
              <w:t>Security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Configurable smart-instrument templates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DALPAsset with 32 pluggable features</w:t>
            </w:r>
          </w:p>
        </w:tc>
        <w:tc>
          <w:tcPr>
            <w:tcW w:type="dxa" w:w="1949"/>
            <w:vAlign w:val="center"/>
          </w:tcPr>
          <w:p>
            <w:pPr>
              <w:spacing w:line="276" w:lineRule="auto" w:before="0" w:after="0"/>
            </w:pPr>
            <w:r/>
            <w:r>
              <w:rPr>
                <w:rFonts w:ascii="Figtree" w:hAnsi="Figtree"/>
                <w:b w:val="0"/>
                <w:i w:val="0"/>
                <w:sz w:val="20"/>
              </w:rPr>
              <w:t>Asset Lifecycle docs</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Immutable audit trails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On-chain events, off-chain logging</w:t>
            </w:r>
          </w:p>
        </w:tc>
        <w:tc>
          <w:tcPr>
            <w:tcW w:type="dxa" w:w="1949"/>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Resilient deployment across environments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Dev, test, pre-prod, DR, prod</w:t>
            </w:r>
          </w:p>
        </w:tc>
        <w:tc>
          <w:tcPr>
            <w:tcW w:type="dxa" w:w="1949"/>
            <w:vAlign w:val="center"/>
          </w:tcPr>
          <w:p>
            <w:pPr>
              <w:spacing w:line="276" w:lineRule="auto" w:before="0" w:after="0"/>
            </w:pPr>
            <w:r/>
            <w:r>
              <w:rPr>
                <w:rFonts w:ascii="Figtree" w:hAnsi="Figtree"/>
                <w:b w:val="0"/>
                <w:i w:val="0"/>
                <w:sz w:val="20"/>
              </w:rPr>
              <w:t>Deployment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Interoperability with external networks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Fireblocks, DFNS, payment rails</w:t>
            </w:r>
          </w:p>
        </w:tc>
        <w:tc>
          <w:tcPr>
            <w:tcW w:type="dxa" w:w="1949"/>
            <w:vAlign w:val="center"/>
          </w:tcPr>
          <w:p>
            <w:pPr>
              <w:spacing w:line="276" w:lineRule="auto" w:before="0" w:after="0"/>
            </w:pPr>
            <w:r/>
            <w:r>
              <w:rPr>
                <w:rFonts w:ascii="Figtree" w:hAnsi="Figtree"/>
                <w:b w:val="0"/>
                <w:i w:val="0"/>
                <w:sz w:val="20"/>
              </w:rPr>
              <w:t>Integration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Configurable dashboards and reports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Grafana dashboards, custom reports</w:t>
            </w:r>
          </w:p>
        </w:tc>
        <w:tc>
          <w:tcPr>
            <w:tcW w:type="dxa" w:w="1949"/>
            <w:vAlign w:val="center"/>
          </w:tcPr>
          <w:p>
            <w:pPr>
              <w:spacing w:line="276" w:lineRule="auto" w:before="0" w:after="0"/>
            </w:pPr>
            <w:r/>
            <w:r>
              <w:rPr>
                <w:rFonts w:ascii="Figtree" w:hAnsi="Figtree"/>
                <w:b w:val="0"/>
                <w:i w:val="0"/>
                <w:sz w:val="20"/>
              </w:rPr>
              <w:t>Observability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Data export, regulator-ready reporting</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Event export, regulatory templates</w:t>
            </w:r>
          </w:p>
        </w:tc>
        <w:tc>
          <w:tcPr>
            <w:tcW w:type="dxa" w:w="1949"/>
            <w:vAlign w:val="center"/>
          </w:tcPr>
          <w:p>
            <w:pPr>
              <w:spacing w:line="276" w:lineRule="auto" w:before="0" w:after="0"/>
            </w:pPr>
            <w:r/>
            <w:r>
              <w:rPr>
                <w:rFonts w:ascii="Figtree" w:hAnsi="Figtree"/>
                <w:b w:val="0"/>
                <w:i w:val="0"/>
                <w:sz w:val="20"/>
              </w:rPr>
              <w:t>Reporting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Advanced analytics and simulation</w:t>
            </w:r>
          </w:p>
        </w:tc>
        <w:tc>
          <w:tcPr>
            <w:tcW w:type="dxa" w:w="1949"/>
            <w:vAlign w:val="center"/>
          </w:tcPr>
          <w:p>
            <w:pPr>
              <w:spacing w:line="276" w:lineRule="auto" w:before="0" w:after="0"/>
            </w:pPr>
            <w:r/>
            <w:r>
              <w:rPr>
                <w:rFonts w:ascii="Figtree" w:hAnsi="Figtree"/>
                <w:b w:val="0"/>
                <w:i w:val="0"/>
                <w:sz w:val="20"/>
              </w:rPr>
              <w:t>P</w:t>
            </w:r>
          </w:p>
        </w:tc>
        <w:tc>
          <w:tcPr>
            <w:tcW w:type="dxa" w:w="1949"/>
            <w:vAlign w:val="center"/>
          </w:tcPr>
          <w:p>
            <w:pPr>
              <w:spacing w:line="276" w:lineRule="auto" w:before="0" w:after="0"/>
            </w:pPr>
            <w:r/>
            <w:r>
              <w:rPr>
                <w:rFonts w:ascii="Figtree" w:hAnsi="Figtree"/>
                <w:b w:val="0"/>
                <w:i w:val="0"/>
                <w:sz w:val="20"/>
              </w:rPr>
              <w:t>Roadmap capability</w:t>
            </w:r>
          </w:p>
        </w:tc>
        <w:tc>
          <w:tcPr>
            <w:tcW w:type="dxa" w:w="1949"/>
            <w:vAlign w:val="center"/>
          </w:tcPr>
          <w:p>
            <w:pPr>
              <w:spacing w:line="276" w:lineRule="auto" w:before="0" w:after="0"/>
            </w:pPr>
            <w:r/>
            <w:r>
              <w:rPr>
                <w:rFonts w:ascii="Figtree" w:hAnsi="Figtree"/>
                <w:b w:val="0"/>
                <w:i w:val="0"/>
                <w:sz w:val="20"/>
              </w:rPr>
              <w:t>Product roadmap</w:t>
            </w:r>
          </w:p>
        </w:tc>
      </w:tr>
      <w:tr>
        <w:trPr>
          <w:trHeight w:val="425" w:hRule="atLeast"/>
        </w:trPr>
        <w:tc>
          <w:tcPr>
            <w:tcW w:type="dxa" w:w="1949"/>
            <w:vAlign w:val="center"/>
          </w:tcPr>
          <w:p>
            <w:pPr>
              <w:spacing w:line="276" w:lineRule="auto" w:before="0" w:after="0"/>
            </w:pPr>
            <w:r/>
            <w:r>
              <w:rPr>
                <w:rFonts w:ascii="Figtree" w:hAnsi="Figtree"/>
                <w:b w:val="0"/>
                <w:i w:val="0"/>
                <w:sz w:val="20"/>
              </w:rPr>
              <w:t>SR-01</w:t>
            </w:r>
          </w:p>
        </w:tc>
        <w:tc>
          <w:tcPr>
            <w:tcW w:type="dxa" w:w="1949"/>
            <w:vAlign w:val="center"/>
          </w:tcPr>
          <w:p>
            <w:pPr>
              <w:spacing w:line="276" w:lineRule="auto" w:before="0" w:after="0"/>
            </w:pPr>
            <w:r/>
            <w:r>
              <w:rPr>
                <w:rFonts w:ascii="Figtree" w:hAnsi="Figtree"/>
                <w:b w:val="0"/>
                <w:i w:val="0"/>
                <w:sz w:val="20"/>
              </w:rPr>
              <w:t>ISO 27001 or equivalent</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Security credentials</w:t>
            </w:r>
          </w:p>
        </w:tc>
      </w:tr>
      <w:tr>
        <w:trPr>
          <w:trHeight w:val="425" w:hRule="atLeast"/>
        </w:trPr>
        <w:tc>
          <w:tcPr>
            <w:tcW w:type="dxa" w:w="1949"/>
            <w:vAlign w:val="center"/>
          </w:tcPr>
          <w:p>
            <w:pPr>
              <w:spacing w:line="276" w:lineRule="auto" w:before="0" w:after="0"/>
            </w:pPr>
            <w:r/>
            <w:r>
              <w:rPr>
                <w:rFonts w:ascii="Figtree" w:hAnsi="Figtree"/>
                <w:b w:val="0"/>
                <w:i w:val="0"/>
                <w:sz w:val="20"/>
              </w:rPr>
              <w:t>SR-02</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TLS 1.3, AES-256</w:t>
            </w:r>
          </w:p>
        </w:tc>
        <w:tc>
          <w:tcPr>
            <w:tcW w:type="dxa" w:w="1949"/>
            <w:vAlign w:val="center"/>
          </w:tcPr>
          <w:p>
            <w:pPr>
              <w:spacing w:line="276" w:lineRule="auto" w:before="0" w:after="0"/>
            </w:pPr>
            <w:r/>
            <w:r>
              <w:rPr>
                <w:rFonts w:ascii="Figtree" w:hAnsi="Figtree"/>
                <w:b w:val="0"/>
                <w:i w:val="0"/>
                <w:sz w:val="20"/>
              </w:rPr>
              <w:t>Security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SR-03</w:t>
            </w:r>
          </w:p>
        </w:tc>
        <w:tc>
          <w:tcPr>
            <w:tcW w:type="dxa" w:w="1949"/>
            <w:vAlign w:val="center"/>
          </w:tcPr>
          <w:p>
            <w:pPr>
              <w:spacing w:line="276" w:lineRule="auto" w:before="0" w:after="0"/>
            </w:pPr>
            <w:r/>
            <w:r>
              <w:rPr>
                <w:rFonts w:ascii="Figtree" w:hAnsi="Figtree"/>
                <w:b w:val="0"/>
                <w:i w:val="0"/>
                <w:sz w:val="20"/>
              </w:rPr>
              <w:t>Privileged access management</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Vault integration, break-glass controls</w:t>
            </w:r>
          </w:p>
        </w:tc>
        <w:tc>
          <w:tcPr>
            <w:tcW w:type="dxa" w:w="1949"/>
            <w:vAlign w:val="center"/>
          </w:tcPr>
          <w:p>
            <w:pPr>
              <w:spacing w:line="276" w:lineRule="auto" w:before="0" w:after="0"/>
            </w:pPr>
            <w:r/>
            <w:r>
              <w:rPr>
                <w:rFonts w:ascii="Figtree" w:hAnsi="Figtree"/>
                <w:b w:val="0"/>
                <w:i w:val="0"/>
                <w:sz w:val="20"/>
              </w:rPr>
              <w:t>Security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SR-04</w:t>
            </w:r>
          </w:p>
        </w:tc>
        <w:tc>
          <w:tcPr>
            <w:tcW w:type="dxa" w:w="1949"/>
            <w:vAlign w:val="center"/>
          </w:tcPr>
          <w:p>
            <w:pPr>
              <w:spacing w:line="276" w:lineRule="auto" w:before="0" w:after="0"/>
            </w:pPr>
            <w:r/>
            <w:r>
              <w:rPr>
                <w:rFonts w:ascii="Figtree" w:hAnsi="Figtree"/>
                <w:b w:val="0"/>
                <w:i w:val="0"/>
                <w:sz w:val="20"/>
              </w:rPr>
              <w:t>Vulnerability management</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Annual pen testing, regular scanning</w:t>
            </w:r>
          </w:p>
        </w:tc>
        <w:tc>
          <w:tcPr>
            <w:tcW w:type="dxa" w:w="1949"/>
            <w:vAlign w:val="center"/>
          </w:tcPr>
          <w:p>
            <w:pPr>
              <w:spacing w:line="276" w:lineRule="auto" w:before="0" w:after="0"/>
            </w:pPr>
            <w:r/>
            <w:r>
              <w:rPr>
                <w:rFonts w:ascii="Figtree" w:hAnsi="Figtree"/>
                <w:b w:val="0"/>
                <w:i w:val="0"/>
                <w:sz w:val="20"/>
              </w:rPr>
              <w:t>Security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SR-05</w:t>
            </w:r>
          </w:p>
        </w:tc>
        <w:tc>
          <w:tcPr>
            <w:tcW w:type="dxa" w:w="1949"/>
            <w:vAlign w:val="center"/>
          </w:tcPr>
          <w:p>
            <w:pPr>
              <w:spacing w:line="276" w:lineRule="auto" w:before="0" w:after="0"/>
            </w:pPr>
            <w:r/>
            <w:r>
              <w:rPr>
                <w:rFonts w:ascii="Figtree" w:hAnsi="Figtree"/>
                <w:b w:val="0"/>
                <w:i w:val="0"/>
                <w:sz w:val="20"/>
              </w:rPr>
              <w:t>Data residency options</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EU, regional deployments</w:t>
            </w:r>
          </w:p>
        </w:tc>
        <w:tc>
          <w:tcPr>
            <w:tcW w:type="dxa" w:w="1949"/>
            <w:vAlign w:val="center"/>
          </w:tcPr>
          <w:p>
            <w:pPr>
              <w:spacing w:line="276" w:lineRule="auto" w:before="0" w:after="0"/>
            </w:pPr>
            <w:r/>
            <w:r>
              <w:rPr>
                <w:rFonts w:ascii="Figtree" w:hAnsi="Figtree"/>
                <w:b w:val="0"/>
                <w:i w:val="0"/>
                <w:sz w:val="20"/>
              </w:rPr>
              <w:t>Deployment options</w:t>
            </w:r>
          </w:p>
        </w:tc>
      </w:tr>
      <w:tr>
        <w:trPr>
          <w:trHeight w:val="425" w:hRule="atLeast"/>
        </w:trPr>
        <w:tc>
          <w:tcPr>
            <w:tcW w:type="dxa" w:w="1949"/>
            <w:vAlign w:val="center"/>
          </w:tcPr>
          <w:p>
            <w:pPr>
              <w:spacing w:line="276" w:lineRule="auto" w:before="0" w:after="0"/>
            </w:pPr>
            <w:r/>
            <w:r>
              <w:rPr>
                <w:rFonts w:ascii="Figtree" w:hAnsi="Figtree"/>
                <w:b w:val="0"/>
                <w:i w:val="0"/>
                <w:sz w:val="20"/>
              </w:rPr>
              <w:t>SR-06</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w:t>
            </w:r>
          </w:p>
        </w:tc>
        <w:tc>
          <w:tcPr>
            <w:tcW w:type="dxa" w:w="1949"/>
            <w:vAlign w:val="center"/>
          </w:tcPr>
          <w:p>
            <w:pPr>
              <w:spacing w:line="276" w:lineRule="auto" w:before="0" w:after="0"/>
            </w:pPr>
            <w:r/>
            <w:r>
              <w:rPr>
                <w:rFonts w:ascii="Figtree" w:hAnsi="Figtree"/>
                <w:b w:val="0"/>
                <w:i w:val="0"/>
                <w:sz w:val="20"/>
              </w:rPr>
              <w:t>Syslog, JSON event export</w:t>
            </w:r>
          </w:p>
        </w:tc>
        <w:tc>
          <w:tcPr>
            <w:tcW w:type="dxa" w:w="1949"/>
            <w:vAlign w:val="center"/>
          </w:tcPr>
          <w:p>
            <w:pPr>
              <w:spacing w:line="276" w:lineRule="auto" w:before="0" w:after="0"/>
            </w:pPr>
            <w:r/>
            <w:r>
              <w:rPr>
                <w:rFonts w:ascii="Figtree" w:hAnsi="Figtree"/>
                <w:b w:val="0"/>
                <w:i w:val="0"/>
                <w:sz w:val="20"/>
              </w:rPr>
              <w:t>Integration documentation</w:t>
            </w:r>
          </w:p>
        </w:tc>
      </w:tr>
    </w:tbl>
    <w:p>
      <w:pPr>
        <w:spacing w:before="0" w:after="0" w:line="120" w:lineRule="exact"/>
      </w:pPr>
    </w:p>
    <w:p>
      <w:r>
        <w:br w:type="page"/>
      </w:r>
    </w:p>
    <w:p>
      <w:pPr>
        <w:pStyle w:val="H2"/>
        <w:numPr>
          <w:ilvl w:val="1"/>
          <w:numId w:val="1"/>
        </w:numPr>
      </w:pPr>
      <w:r>
        <w:t>Additional Technical Diagrams</w:t>
      </w:r>
    </w:p>
    <w:p>
      <w:pPr>
        <w:pStyle w:val="H3"/>
        <w:numPr>
          <w:ilvl w:val="2"/>
          <w:numId w:val="1"/>
        </w:numPr>
      </w:pPr>
      <w:r>
        <w:t>Transaction Processing Flow</w:t>
      </w:r>
    </w:p>
    <w:p>
      <w:pPr>
        <w:jc w:val="center"/>
      </w:pPr>
      <w:r>
        <w:drawing>
          <wp:inline xmlns:a="http://schemas.openxmlformats.org/drawingml/2006/main" xmlns:pic="http://schemas.openxmlformats.org/drawingml/2006/picture">
            <wp:extent cx="5486400" cy="3757904"/>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757904"/>
                    </a:xfrm>
                    <a:prstGeom prst="rect"/>
                  </pic:spPr>
                </pic:pic>
              </a:graphicData>
            </a:graphic>
          </wp:inline>
        </w:drawing>
      </w:r>
    </w:p>
    <w:p>
      <w:pPr>
        <w:pStyle w:val="H3"/>
        <w:numPr>
          <w:ilvl w:val="2"/>
          <w:numId w:val="1"/>
        </w:numPr>
      </w:pPr>
      <w:r>
        <w:t>Integration Architecture</w:t>
      </w:r>
    </w:p>
    <w:p>
      <w:pPr>
        <w:jc w:val="center"/>
      </w:pPr>
      <w:r>
        <w:drawing>
          <wp:inline xmlns:a="http://schemas.openxmlformats.org/drawingml/2006/main" xmlns:pic="http://schemas.openxmlformats.org/drawingml/2006/picture">
            <wp:extent cx="5486400" cy="669704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697047"/>
                    </a:xfrm>
                    <a:prstGeom prst="rect"/>
                  </pic:spPr>
                </pic:pic>
              </a:graphicData>
            </a:graphic>
          </wp:inline>
        </w:drawing>
      </w:r>
    </w:p>
    <w:p>
      <w:pPr>
        <w:pStyle w:val="H3"/>
        <w:numPr>
          <w:ilvl w:val="2"/>
          <w:numId w:val="1"/>
        </w:numPr>
      </w:pPr>
      <w:r>
        <w:t>Deployment Topology</w:t>
      </w:r>
    </w:p>
    <w:p>
      <w:pPr>
        <w:jc w:val="center"/>
      </w:pPr>
      <w:r>
        <w:drawing>
          <wp:inline xmlns:a="http://schemas.openxmlformats.org/drawingml/2006/main" xmlns:pic="http://schemas.openxmlformats.org/drawingml/2006/picture">
            <wp:extent cx="5486400" cy="679714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797144"/>
                    </a:xfrm>
                    <a:prstGeom prst="rect"/>
                  </pic:spPr>
                </pic:pic>
              </a:graphicData>
            </a:graphic>
          </wp:inline>
        </w:drawing>
      </w:r>
    </w:p>
    <w:p>
      <w:pPr>
        <w:pStyle w:val="H3"/>
        <w:numPr>
          <w:ilvl w:val="2"/>
          <w:numId w:val="1"/>
        </w:numPr>
      </w:pPr>
      <w:r>
        <w:t>Security Architecture</w:t>
      </w:r>
    </w:p>
    <w:p>
      <w:pPr>
        <w:jc w:val="center"/>
      </w:pPr>
      <w:r>
        <w:drawing>
          <wp:inline xmlns:a="http://schemas.openxmlformats.org/drawingml/2006/main" xmlns:pic="http://schemas.openxmlformats.org/drawingml/2006/picture">
            <wp:extent cx="1940943" cy="82295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1940943" cy="8229598"/>
                    </a:xfrm>
                    <a:prstGeom prst="rect"/>
                  </pic:spPr>
                </pic:pic>
              </a:graphicData>
            </a:graphic>
          </wp:inline>
        </w:drawing>
      </w:r>
    </w:p>
    <w:p>
      <w:pPr>
        <w:pStyle w:val="H3"/>
        <w:numPr>
          <w:ilvl w:val="2"/>
          <w:numId w:val="1"/>
        </w:numPr>
      </w:pPr>
      <w:r>
        <w:t>Support Escalation Process</w:t>
      </w:r>
    </w:p>
    <w:p>
      <w:pPr>
        <w:jc w:val="center"/>
      </w:pPr>
      <w:r>
        <w:drawing>
          <wp:inline xmlns:a="http://schemas.openxmlformats.org/drawingml/2006/main" xmlns:pic="http://schemas.openxmlformats.org/drawingml/2006/picture">
            <wp:extent cx="5084323" cy="822960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084323" cy="8229600"/>
                    </a:xfrm>
                    <a:prstGeom prst="rect"/>
                  </pic:spPr>
                </pic:pic>
              </a:graphicData>
            </a:graphic>
          </wp:inline>
        </w:drawing>
      </w:r>
    </w:p>
    <w:p>
      <w:pPr>
        <w:pStyle w:val="H3"/>
        <w:numPr>
          <w:ilvl w:val="2"/>
          <w:numId w:val="1"/>
        </w:numPr>
      </w:pPr>
      <w:r>
        <w:t>Implementation Timeline</w:t>
      </w:r>
    </w:p>
    <w:p>
      <w:pPr>
        <w:jc w:val="center"/>
      </w:pPr>
      <w:r>
        <w:drawing>
          <wp:inline xmlns:a="http://schemas.openxmlformats.org/drawingml/2006/main" xmlns:pic="http://schemas.openxmlformats.org/drawingml/2006/picture">
            <wp:extent cx="5486400" cy="170750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707502"/>
                    </a:xfrm>
                    <a:prstGeom prst="rect"/>
                  </pic:spPr>
                </pic:pic>
              </a:graphicData>
            </a:graphic>
          </wp:inline>
        </w:drawing>
      </w:r>
    </w:p>
    <w:p>
      <w:pPr>
        <w:pStyle w:val="H3"/>
        <w:numPr>
          <w:ilvl w:val="2"/>
          <w:numId w:val="1"/>
        </w:numPr>
      </w:pPr>
      <w:r>
        <w:t>Data Flow Architecture</w:t>
      </w:r>
    </w:p>
    <w:p>
      <w:pPr>
        <w:jc w:val="center"/>
      </w:pPr>
      <w:r>
        <w:drawing>
          <wp:inline xmlns:a="http://schemas.openxmlformats.org/drawingml/2006/main" xmlns:pic="http://schemas.openxmlformats.org/drawingml/2006/picture">
            <wp:extent cx="5486400" cy="311409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3114092"/>
                    </a:xfrm>
                    <a:prstGeom prst="rect"/>
                  </pic:spPr>
                </pic:pic>
              </a:graphicData>
            </a:graphic>
          </wp:inline>
        </w:drawing>
      </w:r>
    </w:p>
    <w:p>
      <w:r>
        <w:br w:type="page"/>
      </w:r>
    </w:p>
    <w:p>
      <w:r>
        <w:rPr>
          <w:rFonts w:ascii="Figtree" w:hAnsi="Figtree"/>
          <w:b w:val="0"/>
          <w:i/>
          <w:sz w:val="22"/>
        </w:rPr>
        <w:t>End of Technical Proposal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