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Architecture</w:t>
          </w:r>
          <w:r>
            <w:tab/>
          </w:r>
          <w:r>
            <w:t xml:space="preserve">4</w:t>
          </w:r>
        </w:p>
        <w:p>
          <w:pPr>
            <w:pStyle w:val="TOC3"/>
            <w:tabs>
              <w:tab w:val="right" w:leader="dot" w:pos="9072"/>
            </w:tabs>
          </w:pPr>
          <w:r>
            <w:t xml:space="preserve">Platform Components</w:t>
          </w:r>
          <w:r>
            <w:tab/>
          </w:r>
          <w:r>
            <w:t xml:space="preserve">5</w:t>
          </w:r>
        </w:p>
        <w:p>
          <w:pPr>
            <w:pStyle w:val="TOC2"/>
            <w:tabs>
              <w:tab w:val="right" w:leader="dot" w:pos="9072"/>
            </w:tabs>
          </w:pPr>
          <w:r>
            <w:t xml:space="preserve">Equities Support</w:t>
          </w:r>
          <w:r>
            <w:tab/>
          </w:r>
          <w:r>
            <w:t xml:space="preserve">6</w:t>
          </w:r>
        </w:p>
        <w:p>
          <w:pPr>
            <w:pStyle w:val="TOC3"/>
            <w:tabs>
              <w:tab w:val="right" w:leader="dot" w:pos="9072"/>
            </w:tabs>
          </w:pPr>
          <w:r>
            <w:t xml:space="preserve">Features</w:t>
          </w:r>
          <w:r>
            <w:tab/>
          </w:r>
          <w:r>
            <w:t xml:space="preserve">7</w:t>
          </w:r>
        </w:p>
        <w:p>
          <w:pPr>
            <w:pStyle w:val="TOC2"/>
            <w:tabs>
              <w:tab w:val="right" w:leader="dot" w:pos="9072"/>
            </w:tabs>
          </w:pPr>
          <w:r>
            <w:t xml:space="preserve">Trading Integration</w:t>
          </w:r>
          <w:r>
            <w:tab/>
          </w:r>
          <w:r>
            <w:t xml:space="preserve">8</w:t>
          </w:r>
        </w:p>
        <w:p>
          <w:pPr>
            <w:pStyle w:val="TOC3"/>
            <w:tabs>
              <w:tab w:val="right" w:leader="dot" w:pos="9072"/>
            </w:tabs>
          </w:pPr>
          <w:r>
            <w:t xml:space="preserve">Exchange Connectivity</w:t>
          </w:r>
          <w:r>
            <w:tab/>
          </w:r>
          <w:r>
            <w:t xml:space="preserve">9</w:t>
          </w:r>
        </w:p>
        <w:p>
          <w:pPr>
            <w:pStyle w:val="TOC3"/>
            <w:tabs>
              <w:tab w:val="right" w:leader="dot" w:pos="9072"/>
            </w:tabs>
          </w:pPr>
          <w:r>
            <w:t xml:space="preserve">Settlement</w:t>
          </w:r>
          <w:r>
            <w:tab/>
          </w:r>
          <w:r>
            <w:t xml:space="preserve">10</w:t>
          </w:r>
        </w:p>
        <w:p>
          <w:pPr>
            <w:pStyle w:val="TOC2"/>
            <w:tabs>
              <w:tab w:val="right" w:leader="dot" w:pos="9072"/>
            </w:tabs>
          </w:pPr>
          <w:r>
            <w:t xml:space="preserve">Compliance</w:t>
          </w:r>
          <w:r>
            <w:tab/>
          </w:r>
          <w:r>
            <w:t xml:space="preserve">11</w:t>
          </w:r>
        </w:p>
        <w:p>
          <w:pPr>
            <w:pStyle w:val="TOC3"/>
            <w:tabs>
              <w:tab w:val="right" w:leader="dot" w:pos="9072"/>
            </w:tabs>
          </w:pPr>
          <w:r>
            <w:t xml:space="preserve">Regulatory Coverage</w:t>
          </w:r>
          <w:r>
            <w:tab/>
          </w:r>
          <w:r>
            <w:t xml:space="preserve">12</w:t>
          </w:r>
        </w:p>
        <w:p>
          <w:pPr>
            <w:pStyle w:val="TOC2"/>
            <w:tabs>
              <w:tab w:val="right" w:leader="dot" w:pos="9072"/>
            </w:tabs>
          </w:pPr>
          <w:r>
            <w:t xml:space="preserve">Implementation</w:t>
          </w:r>
          <w:r>
            <w:tab/>
          </w:r>
          <w:r>
            <w:t xml:space="preserve">13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3"/>
        <w:gridCol w:w="70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Equities Trading and Settlement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UBS</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UBS-RFP-TOKENIZED-EQUITIES-TRADING-202603</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UBS is establishing a platform for tokenized equities trading and settlement to modernize its equity markets infrastructure and serve institutional investors through digital channels.</w:t>
      </w:r>
    </w:p>
    <w:p>
      <w:r>
        <w:rPr>
          <w:rFonts w:ascii="Figtree" w:hAnsi="Figtree"/>
          <w:b w:val="0"/>
          <w:i w:val="0"/>
          <w:sz w:val="22"/>
        </w:rPr>
        <w:t>SettleMint's DALP provides complete equity lifecycle management with exchange connectivity and settlement integration.</w:t>
      </w:r>
    </w:p>
    <w:p>
      <w:r>
        <w:rPr>
          <w:rFonts w:ascii="Figtree" w:hAnsi="Figtree"/>
          <w:b/>
          <w:i w:val="0"/>
          <w:sz w:val="22"/>
        </w:rPr>
        <w:t>Key Points:</w:t>
      </w:r>
    </w:p>
    <w:p>
      <w:pPr>
        <w:pStyle w:val="ListParagraph"/>
        <w:numPr>
          <w:ilvl w:val="0"/>
          <w:numId w:val="4"/>
        </w:numPr>
      </w:pPr>
      <w:r>
        <w:rPr>
          <w:rFonts w:ascii="Figtree" w:hAnsi="Figtree"/>
          <w:b w:val="0"/>
          <w:i w:val="0"/>
          <w:sz w:val="22"/>
        </w:rPr>
        <w:t>Equity tokenization</w:t>
      </w:r>
    </w:p>
    <w:p>
      <w:pPr>
        <w:pStyle w:val="ListParagraph"/>
        <w:numPr>
          <w:ilvl w:val="0"/>
          <w:numId w:val="4"/>
        </w:numPr>
      </w:pPr>
      <w:r>
        <w:rPr>
          <w:rFonts w:ascii="Figtree" w:hAnsi="Figtree"/>
          <w:b w:val="0"/>
          <w:i w:val="0"/>
          <w:sz w:val="22"/>
        </w:rPr>
        <w:t>Exchange integration</w:t>
      </w:r>
    </w:p>
    <w:p>
      <w:pPr>
        <w:pStyle w:val="ListParagraph"/>
        <w:numPr>
          <w:ilvl w:val="0"/>
          <w:numId w:val="4"/>
        </w:numPr>
      </w:pPr>
      <w:r>
        <w:rPr>
          <w:rFonts w:ascii="Figtree" w:hAnsi="Figtree"/>
          <w:b w:val="0"/>
          <w:i w:val="0"/>
          <w:sz w:val="22"/>
        </w:rPr>
        <w:t>T+0 settlement</w:t>
      </w:r>
    </w:p>
    <w:p>
      <w:pPr>
        <w:pStyle w:val="ListParagraph"/>
        <w:numPr>
          <w:ilvl w:val="0"/>
          <w:numId w:val="4"/>
        </w:numPr>
      </w:pPr>
      <w:r>
        <w:rPr>
          <w:rFonts w:ascii="Figtree" w:hAnsi="Figtree"/>
          <w:b w:val="0"/>
          <w:i w:val="0"/>
          <w:sz w:val="22"/>
        </w:rPr>
        <w:t>Regulatory compliance (FINMA, SEC)</w:t>
      </w:r>
    </w:p>
    <w:p>
      <w:r>
        <w:br w:type="page"/>
      </w:r>
    </w:p>
    <w:p>
      <w:pPr>
        <w:pStyle w:val="H2"/>
        <w:numPr>
          <w:ilvl w:val="1"/>
          <w:numId w:val="1"/>
        </w:numPr>
      </w:pPr>
      <w:r>
        <w:t>Architecture</w:t>
      </w:r>
    </w:p>
    <w:p>
      <w:pPr>
        <w:pStyle w:val="H3"/>
        <w:numPr>
          <w:ilvl w:val="2"/>
          <w:numId w:val="1"/>
        </w:numPr>
      </w:pPr>
      <w:r>
        <w:t>Platform Components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54"/>
        <w:gridCol w:w="511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Function</w:t>
            </w:r>
          </w:p>
        </w:tc>
      </w:tr>
      <w:tr>
        <w:trPr>
          <w:trHeight w:val="425" w:hRule="atLeast"/>
        </w:trPr>
        <w:tc>
          <w:tcPr>
            <w:tcW w:type="dxa" w:w="4873"/>
            <w:vAlign w:val="center"/>
          </w:tcPr>
          <w:p>
            <w:pPr>
              <w:spacing w:line="276" w:lineRule="auto" w:before="0" w:after="0"/>
            </w:pPr>
            <w:r/>
            <w:r>
              <w:rPr>
                <w:rFonts w:ascii="Figtree" w:hAnsi="Figtree"/>
                <w:b w:val="0"/>
                <w:i w:val="0"/>
                <w:sz w:val="20"/>
              </w:rPr>
              <w:t>Equity Designer</w:t>
            </w:r>
          </w:p>
        </w:tc>
        <w:tc>
          <w:tcPr>
            <w:tcW w:type="dxa" w:w="4873"/>
            <w:vAlign w:val="center"/>
          </w:tcPr>
          <w:p>
            <w:pPr>
              <w:spacing w:line="276" w:lineRule="auto" w:before="0" w:after="0"/>
            </w:pPr>
            <w:r/>
            <w:r>
              <w:rPr>
                <w:rFonts w:ascii="Figtree" w:hAnsi="Figtree"/>
                <w:b w:val="0"/>
                <w:i w:val="0"/>
                <w:sz w:val="20"/>
              </w:rPr>
              <w:t>Token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Trading Engine</w:t>
            </w:r>
          </w:p>
        </w:tc>
        <w:tc>
          <w:tcPr>
            <w:tcW w:type="dxa" w:w="4873"/>
            <w:vAlign w:val="center"/>
          </w:tcPr>
          <w:p>
            <w:pPr>
              <w:spacing w:line="276" w:lineRule="auto" w:before="0" w:after="0"/>
            </w:pPr>
            <w:r/>
            <w:r>
              <w:rPr>
                <w:rFonts w:ascii="Figtree" w:hAnsi="Figtree"/>
                <w:b w:val="0"/>
                <w:i w:val="0"/>
                <w:sz w:val="20"/>
              </w:rPr>
              <w:t>Order matching support</w:t>
            </w:r>
          </w:p>
        </w:tc>
      </w:tr>
      <w:tr>
        <w:trPr>
          <w:trHeight w:val="425" w:hRule="atLeast"/>
        </w:trPr>
        <w:tc>
          <w:tcPr>
            <w:tcW w:type="dxa" w:w="4873"/>
            <w:vAlign w:val="center"/>
          </w:tcPr>
          <w:p>
            <w:pPr>
              <w:spacing w:line="276" w:lineRule="auto" w:before="0" w:after="0"/>
            </w:pPr>
            <w:r/>
            <w:r>
              <w:rPr>
                <w:rFonts w:ascii="Figtree" w:hAnsi="Figtree"/>
                <w:b w:val="0"/>
                <w:i w:val="0"/>
                <w:sz w:val="20"/>
              </w:rPr>
              <w:t>Settlement Engine</w:t>
            </w:r>
          </w:p>
        </w:tc>
        <w:tc>
          <w:tcPr>
            <w:tcW w:type="dxa" w:w="4873"/>
            <w:vAlign w:val="center"/>
          </w:tcPr>
          <w:p>
            <w:pPr>
              <w:spacing w:line="276" w:lineRule="auto" w:before="0" w:after="0"/>
            </w:pPr>
            <w:r/>
            <w:r>
              <w:rPr>
                <w:rFonts w:ascii="Figtree" w:hAnsi="Figtree"/>
                <w:b w:val="0"/>
                <w:i w:val="0"/>
                <w:sz w:val="20"/>
              </w:rPr>
              <w:t>DvP settlement</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Regulatory enforcement</w:t>
            </w:r>
          </w:p>
        </w:tc>
      </w:tr>
    </w:tbl>
    <w:p>
      <w:pPr>
        <w:spacing w:before="0" w:after="0" w:line="120" w:lineRule="exact"/>
      </w:pPr>
    </w:p>
    <w:p>
      <w:r>
        <w:br w:type="page"/>
      </w:r>
    </w:p>
    <w:p>
      <w:pPr>
        <w:pStyle w:val="H2"/>
        <w:numPr>
          <w:ilvl w:val="1"/>
          <w:numId w:val="1"/>
        </w:numPr>
      </w:pPr>
      <w:r>
        <w:t>Equities Support</w:t>
      </w:r>
    </w:p>
    <w:p>
      <w:pPr>
        <w:pStyle w:val="H3"/>
        <w:numPr>
          <w:ilvl w:val="2"/>
          <w:numId w:val="1"/>
        </w:numPr>
      </w:pPr>
      <w:r>
        <w:t>Features</w:t>
      </w:r>
    </w:p>
    <w:p>
      <w:pPr>
        <w:pStyle w:val="ListParagraph"/>
        <w:numPr>
          <w:ilvl w:val="0"/>
          <w:numId w:val="4"/>
        </w:numPr>
      </w:pPr>
      <w:r>
        <w:rPr>
          <w:rFonts w:ascii="Figtree" w:hAnsi="Figtree"/>
          <w:b w:val="0"/>
          <w:i w:val="0"/>
          <w:sz w:val="22"/>
        </w:rPr>
        <w:t>Dividend distribution</w:t>
      </w:r>
    </w:p>
    <w:p>
      <w:pPr>
        <w:pStyle w:val="ListParagraph"/>
        <w:numPr>
          <w:ilvl w:val="0"/>
          <w:numId w:val="4"/>
        </w:numPr>
      </w:pPr>
      <w:r>
        <w:rPr>
          <w:rFonts w:ascii="Figtree" w:hAnsi="Figtree"/>
          <w:b w:val="0"/>
          <w:i w:val="0"/>
          <w:sz w:val="22"/>
        </w:rPr>
        <w:t>Voting rights (ERC-5805)</w:t>
      </w:r>
    </w:p>
    <w:p>
      <w:pPr>
        <w:pStyle w:val="ListParagraph"/>
        <w:numPr>
          <w:ilvl w:val="0"/>
          <w:numId w:val="4"/>
        </w:numPr>
      </w:pPr>
      <w:r>
        <w:rPr>
          <w:rFonts w:ascii="Figtree" w:hAnsi="Figtree"/>
          <w:b w:val="0"/>
          <w:i w:val="0"/>
          <w:sz w:val="22"/>
        </w:rPr>
        <w:t>Stock splits</w:t>
      </w:r>
    </w:p>
    <w:p>
      <w:pPr>
        <w:pStyle w:val="ListParagraph"/>
        <w:numPr>
          <w:ilvl w:val="0"/>
          <w:numId w:val="4"/>
        </w:numPr>
      </w:pPr>
      <w:r>
        <w:rPr>
          <w:rFonts w:ascii="Figtree" w:hAnsi="Figtree"/>
          <w:b w:val="0"/>
          <w:i w:val="0"/>
          <w:sz w:val="22"/>
        </w:rPr>
        <w:t>Corporate actions</w:t>
      </w:r>
    </w:p>
    <w:p>
      <w:r>
        <w:br w:type="page"/>
      </w:r>
    </w:p>
    <w:p>
      <w:pPr>
        <w:pStyle w:val="H2"/>
        <w:numPr>
          <w:ilvl w:val="1"/>
          <w:numId w:val="1"/>
        </w:numPr>
      </w:pPr>
      <w:r>
        <w:t>Trading Integration</w:t>
      </w:r>
    </w:p>
    <w:p>
      <w:pPr>
        <w:pStyle w:val="H3"/>
        <w:numPr>
          <w:ilvl w:val="2"/>
          <w:numId w:val="1"/>
        </w:numPr>
      </w:pPr>
      <w:r>
        <w:t>Exchange Connectivity</w:t>
      </w:r>
    </w:p>
    <w:p>
      <w:pPr>
        <w:pStyle w:val="ListParagraph"/>
        <w:numPr>
          <w:ilvl w:val="0"/>
          <w:numId w:val="4"/>
        </w:numPr>
      </w:pPr>
      <w:r>
        <w:rPr>
          <w:rFonts w:ascii="Figtree" w:hAnsi="Figtree"/>
          <w:b w:val="0"/>
          <w:i w:val="0"/>
          <w:sz w:val="22"/>
        </w:rPr>
        <w:t>SIX Digital Exchange</w:t>
      </w:r>
    </w:p>
    <w:p>
      <w:pPr>
        <w:pStyle w:val="ListParagraph"/>
        <w:numPr>
          <w:ilvl w:val="0"/>
          <w:numId w:val="4"/>
        </w:numPr>
      </w:pPr>
      <w:r>
        <w:rPr>
          <w:rFonts w:ascii="Figtree" w:hAnsi="Figtree"/>
          <w:b w:val="0"/>
          <w:i w:val="0"/>
          <w:sz w:val="22"/>
        </w:rPr>
        <w:t>Direct integration support</w:t>
      </w:r>
    </w:p>
    <w:p>
      <w:pPr>
        <w:pStyle w:val="H3"/>
        <w:numPr>
          <w:ilvl w:val="2"/>
          <w:numId w:val="1"/>
        </w:numPr>
      </w:pPr>
      <w:r>
        <w:t>Settlement</w:t>
      </w:r>
    </w:p>
    <w:p>
      <w:pPr>
        <w:pStyle w:val="ListParagraph"/>
        <w:numPr>
          <w:ilvl w:val="0"/>
          <w:numId w:val="4"/>
        </w:numPr>
      </w:pPr>
      <w:r>
        <w:rPr>
          <w:rFonts w:ascii="Figtree" w:hAnsi="Figtree"/>
          <w:b w:val="0"/>
          <w:i w:val="0"/>
          <w:sz w:val="22"/>
        </w:rPr>
        <w:t>T+0 finality</w:t>
      </w:r>
    </w:p>
    <w:p>
      <w:pPr>
        <w:pStyle w:val="ListParagraph"/>
        <w:numPr>
          <w:ilvl w:val="0"/>
          <w:numId w:val="4"/>
        </w:numPr>
      </w:pPr>
      <w:r>
        <w:rPr>
          <w:rFonts w:ascii="Figtree" w:hAnsi="Figtree"/>
          <w:b w:val="0"/>
          <w:i w:val="0"/>
          <w:sz w:val="22"/>
        </w:rPr>
        <w:t>DvP support</w:t>
      </w:r>
    </w:p>
    <w:p>
      <w:pPr>
        <w:pStyle w:val="ListParagraph"/>
        <w:numPr>
          <w:ilvl w:val="0"/>
          <w:numId w:val="4"/>
        </w:numPr>
      </w:pPr>
      <w:r>
        <w:rPr>
          <w:rFonts w:ascii="Figtree" w:hAnsi="Figtree"/>
          <w:b w:val="0"/>
          <w:i w:val="0"/>
          <w:sz w:val="22"/>
        </w:rPr>
        <w:t>CSD integration</w:t>
      </w:r>
    </w:p>
    <w:p>
      <w:r>
        <w:br w:type="page"/>
      </w:r>
    </w:p>
    <w:p>
      <w:pPr>
        <w:pStyle w:val="H2"/>
        <w:numPr>
          <w:ilvl w:val="1"/>
          <w:numId w:val="1"/>
        </w:numPr>
      </w:pPr>
      <w:r>
        <w:t>Compliance</w:t>
      </w:r>
    </w:p>
    <w:p>
      <w:pPr>
        <w:pStyle w:val="H3"/>
        <w:numPr>
          <w:ilvl w:val="2"/>
          <w:numId w:val="1"/>
        </w:numPr>
      </w:pPr>
      <w:r>
        <w:t>Regulatory Coverage</w:t>
      </w:r>
    </w:p>
    <w:p>
      <w:pPr>
        <w:pStyle w:val="ListParagraph"/>
        <w:numPr>
          <w:ilvl w:val="0"/>
          <w:numId w:val="4"/>
        </w:numPr>
      </w:pPr>
      <w:r>
        <w:rPr>
          <w:rFonts w:ascii="Figtree" w:hAnsi="Figtree"/>
          <w:b w:val="0"/>
          <w:i w:val="0"/>
          <w:sz w:val="22"/>
        </w:rPr>
        <w:t>FINMA (Switzerland)</w:t>
      </w:r>
    </w:p>
    <w:p>
      <w:pPr>
        <w:pStyle w:val="ListParagraph"/>
        <w:numPr>
          <w:ilvl w:val="0"/>
          <w:numId w:val="4"/>
        </w:numPr>
      </w:pPr>
      <w:r>
        <w:rPr>
          <w:rFonts w:ascii="Figtree" w:hAnsi="Figtree"/>
          <w:b w:val="0"/>
          <w:i w:val="0"/>
          <w:sz w:val="22"/>
        </w:rPr>
        <w:t>SEC (US)</w:t>
      </w:r>
    </w:p>
    <w:p>
      <w:pPr>
        <w:pStyle w:val="ListParagraph"/>
        <w:numPr>
          <w:ilvl w:val="0"/>
          <w:numId w:val="4"/>
        </w:numPr>
      </w:pPr>
      <w:r>
        <w:rPr>
          <w:rFonts w:ascii="Figtree" w:hAnsi="Figtree"/>
          <w:b w:val="0"/>
          <w:i w:val="0"/>
          <w:sz w:val="22"/>
        </w:rPr>
        <w:t>FCA (UK)</w:t>
      </w:r>
    </w:p>
    <w:p>
      <w:r>
        <w:br w:type="page"/>
      </w:r>
    </w:p>
    <w:p>
      <w:pPr>
        <w:pStyle w:val="H2"/>
        <w:numPr>
          <w:ilvl w:val="1"/>
          <w:numId w:val="1"/>
        </w:numPr>
      </w:pPr>
      <w:r>
        <w:t>Implementation</w:t>
      </w:r>
    </w:p>
    <w:p>
      <w:r>
        <w:rPr>
          <w:rFonts w:ascii="Figtree" w:hAnsi="Figtree"/>
          <w:b w:val="0"/>
          <w:i w:val="0"/>
          <w:sz w:val="22"/>
        </w:rPr>
        <w:t>19-week deployment with dedicated cloud.</w:t>
      </w:r>
    </w:p>
    <w:p>
      <w:r>
        <w:br w:type="page"/>
      </w:r>
    </w:p>
    <w:p>
      <w:r>
        <w:rPr>
          <w:rFonts w:ascii="Figtree" w:hAnsi="Figtree"/>
          <w:b w:val="0"/>
          <w:i/>
          <w:sz w:val="22"/>
        </w:rPr>
        <w:t>End of Technical Proposal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