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joint-response</w:t>
      </w:r>
    </w:p>
    <w:p>
      <w:r>
        <w:rPr>
          <w:rFonts w:ascii="Figtree" w:hAnsi="Figtree"/>
          <w:b w:val="0"/>
          <w:i w:val="0"/>
          <w:sz w:val="22"/>
        </w:rPr>
        <w:t>variant: medium</w:t>
      </w:r>
    </w:p>
    <w:p>
      <w:r>
        <w:rPr>
          <w:rFonts w:ascii="Figtree" w:hAnsi="Figtree"/>
          <w:b w:val="0"/>
          <w:i w:val="0"/>
          <w:sz w:val="22"/>
        </w:rPr>
        <w:t>target-pages: "40-60"</w:t>
      </w:r>
    </w:p>
    <w:p>
      <w:r>
        <w:rPr>
          <w:rFonts w:ascii="Figtree" w:hAnsi="Figtree"/>
          <w:b w:val="0"/>
          <w:i w:val="0"/>
          <w:sz w:val="22"/>
        </w:rPr>
        <w:t>target-words: "12000-18000"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Joint Response Blueprint — Medium</w:t>
      </w:r>
    </w:p>
    <w:p>
      <w:pPr>
        <w:pStyle w:val="H2"/>
        <w:numPr>
          <w:ilvl w:val="1"/>
          <w:numId w:val="1"/>
        </w:numPr>
      </w:pPr>
      <w:r>
        <w:t>Blueprint Rules</w:t>
      </w:r>
    </w:p>
    <w:p>
      <w:pPr>
        <w:pStyle w:val="ListParagraph"/>
        <w:numPr>
          <w:ilvl w:val="0"/>
          <w:numId w:val="4"/>
        </w:numPr>
      </w:pPr>
      <w:r>
        <w:rPr>
          <w:rFonts w:ascii="Figtree" w:hAnsi="Figtree"/>
          <w:b w:val="0"/>
          <w:i w:val="0"/>
          <w:sz w:val="22"/>
        </w:rPr>
        <w:t>[Target: 180-300 words]</w:t>
      </w:r>
    </w:p>
    <w:p>
      <w:pPr>
        <w:pStyle w:val="ListParagraph"/>
        <w:numPr>
          <w:ilvl w:val="0"/>
          <w:numId w:val="4"/>
        </w:numPr>
      </w:pPr>
      <w:r>
        <w:rPr>
          <w:rFonts w:ascii="Figtree" w:hAnsi="Figtree"/>
          <w:b w:val="0"/>
          <w:i w:val="0"/>
          <w:sz w:val="22"/>
        </w:rPr>
        <w:t>[Source: reusable/about-settlemint.md; reusable/about-dalp.md; reusable/reference-projects.md; reusable/implementation-plan.md;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Medium variant preserves the joint-response logic in a shorter evaluator-friendly form.</w:t>
      </w:r>
    </w:p>
    <w:p>
      <w:pPr>
        <w:pStyle w:val="ListParagraph"/>
        <w:numPr>
          <w:ilvl w:val="1"/>
          <w:numId w:val="4"/>
        </w:numPr>
      </w:pPr>
      <w:r>
        <w:rPr>
          <w:rFonts w:ascii="Figtree" w:hAnsi="Figtree"/>
          <w:b w:val="0"/>
          <w:i w:val="0"/>
          <w:sz w:val="22"/>
        </w:rPr>
        <w:t>Responsibility Matrix remains full-strength; supporting sections are condensed.</w:t>
      </w:r>
    </w:p>
    <w:p>
      <w:pPr>
        <w:pStyle w:val="ListParagraph"/>
        <w:numPr>
          <w:ilvl w:val="1"/>
          <w:numId w:val="4"/>
        </w:numPr>
      </w:pPr>
      <w:r>
        <w:rPr>
          <w:rFonts w:ascii="Figtree" w:hAnsi="Figtree"/>
          <w:b w:val="0"/>
          <w:i w:val="0"/>
          <w:sz w:val="22"/>
        </w:rPr>
        <w:t>The document must still show one credible consortium offer with explicit boundaries.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Optional section-purpose map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Condense through tables and merged sections, not by deleting ownership clarity.</w:t>
      </w:r>
    </w:p>
    <w:p>
      <w:pPr>
        <w:pStyle w:val="ListParagraph"/>
        <w:numPr>
          <w:ilvl w:val="1"/>
          <w:numId w:val="4"/>
        </w:numPr>
      </w:pPr>
      <w:r>
        <w:rPr>
          <w:rFonts w:ascii="Figtree" w:hAnsi="Figtree"/>
          <w:b w:val="0"/>
          <w:i w:val="0"/>
          <w:sz w:val="22"/>
        </w:rPr>
        <w:t>Use `[PARTNER: ...]` placeholders for all partner-supplied content.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finished proposal prose.</w:t>
      </w:r>
    </w:p>
    <w:p>
      <w:pPr>
        <w:pStyle w:val="ListParagraph"/>
        <w:numPr>
          <w:ilvl w:val="1"/>
          <w:numId w:val="4"/>
        </w:numPr>
      </w:pPr>
      <w:r>
        <w:rPr>
          <w:rFonts w:ascii="Figtree" w:hAnsi="Figtree"/>
          <w:b w:val="0"/>
          <w:i w:val="0"/>
          <w:sz w:val="22"/>
        </w:rPr>
        <w:t>Remove the scope split logic.</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Executive Summary</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reusable/about-settlemint.md; reusable/about-dalp.md; [PARTNER: executive positioning]; [PARTNER: role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Present the joint value proposition quickly.</w:t>
      </w:r>
    </w:p>
    <w:p>
      <w:pPr>
        <w:pStyle w:val="ListParagraph"/>
        <w:numPr>
          <w:ilvl w:val="1"/>
          <w:numId w:val="4"/>
        </w:numPr>
      </w:pPr>
      <w:r>
        <w:rPr>
          <w:rFonts w:ascii="Figtree" w:hAnsi="Figtree"/>
          <w:b w:val="0"/>
          <w:i w:val="0"/>
          <w:sz w:val="22"/>
        </w:rPr>
        <w:t>Summarize why the consortium is relevant, how responsibilities split, and how the solutions work together.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Executive snapshot table with columns: Buyer objective | SettleMint | Partner | Joint result.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three compact blocks: joint rationale, responsibility split, delivery confidence.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this into two company bios.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the Consortium</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reusable/about-settlemint.md; [PARTNER: consortium rationale]; [PARTNER: company profile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Explain who the partners are and why this combination works for the bid.</w:t>
      </w:r>
    </w:p>
    <w:p>
      <w:pPr>
        <w:pStyle w:val="ListParagraph"/>
        <w:numPr>
          <w:ilvl w:val="1"/>
          <w:numId w:val="4"/>
        </w:numPr>
      </w:pPr>
      <w:r>
        <w:rPr>
          <w:rFonts w:ascii="Figtree" w:hAnsi="Figtree"/>
          <w:b w:val="0"/>
          <w:i w:val="0"/>
          <w:sz w:val="22"/>
        </w:rPr>
        <w:t>Show complementarity across platform, adjacent systems, and delivery.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Capability split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essentials: membership, rationale, combined strengths, delivery model summary.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Drift into a long alliance narrative.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SettleMint</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Institutional credibility, platform-company positioning, and bid relevance.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Proof-point mini-table.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core vendor-selection evidence only.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Include broad corporate history.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About DALP</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DALP capabilities relevant to the joint scope.</w:t>
      </w:r>
    </w:p>
    <w:p>
      <w:pPr>
        <w:pStyle w:val="ListParagraph"/>
        <w:numPr>
          <w:ilvl w:val="1"/>
          <w:numId w:val="4"/>
        </w:numPr>
      </w:pPr>
      <w:r>
        <w:rPr>
          <w:rFonts w:ascii="Figtree" w:hAnsi="Figtree"/>
          <w:b w:val="0"/>
          <w:i w:val="0"/>
          <w:sz w:val="22"/>
        </w:rPr>
        <w:t>Make the DALP-to-partner interface visible.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summary graphic.</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lifecycle breadth in compressed form.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into full technical architecture.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About [Partner]</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[PARTNER: company overview]; [PARTNER: role summary]; [PARTNER: proof points]]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partner credentials and owned scope.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mini-facts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only partner-provided evidence.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unsupported credentials.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References</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reusable/reference-projects.md; [PARTNER: references]; [PARTNER: approvals]]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that both consortium members bring relevant delivery proof.</w:t>
      </w:r>
    </w:p>
    <w:p>
      <w:pPr>
        <w:pStyle w:val="ListParagraph"/>
        <w:numPr>
          <w:ilvl w:val="1"/>
          <w:numId w:val="4"/>
        </w:numPr>
      </w:pPr>
      <w:r>
        <w:rPr>
          <w:rFonts w:ascii="Figtree" w:hAnsi="Figtree"/>
          <w:b w:val="0"/>
          <w:i w:val="0"/>
          <w:sz w:val="22"/>
        </w:rPr>
        <w:t>Include a SettleMint summary table, 1-2 expanded SettleMint examples if needed, and a partner placeholder block.</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Combined references table with owner column.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evaluator focus on scope relevance, not long case-study storytelling.</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SettleMint and partner references without labeling ownership.</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Understanding of Requirements</w:t>
      </w:r>
    </w:p>
    <w:p>
      <w:pPr>
        <w:pStyle w:val="ListParagraph"/>
        <w:numPr>
          <w:ilvl w:val="0"/>
          <w:numId w:val="4"/>
        </w:numPr>
      </w:pPr>
      <w:r>
        <w:rPr>
          <w:rFonts w:ascii="Figtree" w:hAnsi="Figtree"/>
          <w:b w:val="0"/>
          <w:i w:val="0"/>
          <w:sz w:val="22"/>
        </w:rPr>
        <w:t>[Target: 800-1200 words]</w:t>
      </w:r>
    </w:p>
    <w:p>
      <w:pPr>
        <w:pStyle w:val="ListParagraph"/>
        <w:numPr>
          <w:ilvl w:val="0"/>
          <w:numId w:val="4"/>
        </w:numPr>
      </w:pPr>
      <w:r>
        <w:rPr>
          <w:rFonts w:ascii="Figtree" w:hAnsi="Figtree"/>
          <w:b w:val="0"/>
          <w:i w:val="0"/>
          <w:sz w:val="22"/>
        </w:rPr>
        <w:t>[Source: content/; [PARTNER: requirement interpretation]]</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Capture the buyer challenge in a compact joint frame.</w:t>
      </w:r>
    </w:p>
    <w:p>
      <w:pPr>
        <w:pStyle w:val="ListParagraph"/>
        <w:numPr>
          <w:ilvl w:val="1"/>
          <w:numId w:val="4"/>
        </w:numPr>
      </w:pPr>
      <w:r>
        <w:rPr>
          <w:rFonts w:ascii="Figtree" w:hAnsi="Figtree"/>
          <w:b w:val="0"/>
          <w:i w:val="0"/>
          <w:sz w:val="22"/>
        </w:rPr>
        <w:t>Set up the responsibility split naturally.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Requirement theme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Group requirements into 4-6 domains only.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Copy the RFP word for word.</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Responsibility Matrix</w:t>
      </w:r>
    </w:p>
    <w:p>
      <w:pPr>
        <w:pStyle w:val="ListParagraph"/>
        <w:numPr>
          <w:ilvl w:val="0"/>
          <w:numId w:val="4"/>
        </w:numPr>
      </w:pPr>
      <w:r>
        <w:rPr>
          <w:rFonts w:ascii="Figtree" w:hAnsi="Figtree"/>
          <w:b w:val="0"/>
          <w:i w:val="0"/>
          <w:sz w:val="22"/>
        </w:rPr>
        <w:t>[Target: 1500-2200 words]</w:t>
      </w:r>
    </w:p>
    <w:p>
      <w:pPr>
        <w:pStyle w:val="ListParagraph"/>
        <w:numPr>
          <w:ilvl w:val="0"/>
          <w:numId w:val="4"/>
        </w:numPr>
      </w:pPr>
      <w:r>
        <w:rPr>
          <w:rFonts w:ascii="Figtree" w:hAnsi="Figtree"/>
          <w:b w:val="0"/>
          <w:i w:val="0"/>
          <w:sz w:val="22"/>
        </w:rPr>
        <w:t>[Source: reusable/about-dalp.md; content/; [PARTNER: responsibility inputs]; [PARTNER: exclusions]]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This remains the centerpiece of the medium variant.</w:t>
      </w:r>
    </w:p>
    <w:p>
      <w:pPr>
        <w:pStyle w:val="ListParagraph"/>
        <w:numPr>
          <w:ilvl w:val="1"/>
          <w:numId w:val="4"/>
        </w:numPr>
      </w:pPr>
      <w:r>
        <w:rPr>
          <w:rFonts w:ascii="Figtree" w:hAnsi="Figtree"/>
          <w:b w:val="0"/>
          <w:i w:val="0"/>
          <w:sz w:val="22"/>
        </w:rPr>
        <w:t>Show ownership for every major RFP requirement area.</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Table with columns: RFP Requirement Area | SettleMint Scope | Partner Scope | Joint/Shared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full requirement coverage even if other sections are condensed.</w:t>
      </w:r>
    </w:p>
    <w:p>
      <w:pPr>
        <w:pStyle w:val="ListParagraph"/>
        <w:numPr>
          <w:ilvl w:val="1"/>
          <w:numId w:val="4"/>
        </w:numPr>
      </w:pPr>
      <w:r>
        <w:rPr>
          <w:rFonts w:ascii="Figtree" w:hAnsi="Figtree"/>
          <w:b w:val="0"/>
          <w:i w:val="0"/>
          <w:sz w:val="22"/>
        </w:rPr>
        <w:t>Mark lead owner wherever “Joint/Shared” appears.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this to a vague summary.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SettleMint Solution Scope</w:t>
      </w:r>
    </w:p>
    <w:p>
      <w:pPr>
        <w:pStyle w:val="ListParagraph"/>
        <w:numPr>
          <w:ilvl w:val="0"/>
          <w:numId w:val="4"/>
        </w:numPr>
      </w:pPr>
      <w:r>
        <w:rPr>
          <w:rFonts w:ascii="Figtree" w:hAnsi="Figtree"/>
          <w:b w:val="0"/>
          <w:i w:val="0"/>
          <w:sz w:val="22"/>
        </w:rPr>
        <w:t>[Target: 800-1200 words]</w:t>
      </w:r>
    </w:p>
    <w:p>
      <w:pPr>
        <w:pStyle w:val="ListParagraph"/>
        <w:numPr>
          <w:ilvl w:val="0"/>
          <w:numId w:val="4"/>
        </w:numPr>
      </w:pPr>
      <w:r>
        <w:rPr>
          <w:rFonts w:ascii="Figtree" w:hAnsi="Figtree"/>
          <w:b w:val="0"/>
          <w:i w:val="0"/>
          <w:sz w:val="22"/>
        </w:rPr>
        <w:t>[Source: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Condensed explanation of DALP scope relevant to the buyer.</w:t>
      </w:r>
    </w:p>
    <w:p>
      <w:pPr>
        <w:pStyle w:val="ListParagraph"/>
        <w:numPr>
          <w:ilvl w:val="1"/>
          <w:numId w:val="4"/>
        </w:numPr>
      </w:pPr>
      <w:r>
        <w:rPr>
          <w:rFonts w:ascii="Figtree" w:hAnsi="Figtree"/>
          <w:b w:val="0"/>
          <w:i w:val="0"/>
          <w:sz w:val="22"/>
        </w:rPr>
        <w:t>Show tokenization, compliance, settlement, lifecycle, and interface responsibilities.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Scope summary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what evaluators need to connect DALP to the responsibility matrix.</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Recreate the full capability catalogue.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Partner Solution Scope</w:t>
      </w:r>
    </w:p>
    <w:p>
      <w:pPr>
        <w:pStyle w:val="ListParagraph"/>
        <w:numPr>
          <w:ilvl w:val="0"/>
          <w:numId w:val="4"/>
        </w:numPr>
      </w:pPr>
      <w:r>
        <w:rPr>
          <w:rFonts w:ascii="Figtree" w:hAnsi="Figtree"/>
          <w:b w:val="0"/>
          <w:i w:val="0"/>
          <w:sz w:val="22"/>
        </w:rPr>
        <w:t>[Target: 700-1100 words]</w:t>
      </w:r>
    </w:p>
    <w:p>
      <w:pPr>
        <w:pStyle w:val="ListParagraph"/>
        <w:numPr>
          <w:ilvl w:val="0"/>
          <w:numId w:val="4"/>
        </w:numPr>
      </w:pPr>
      <w:r>
        <w:rPr>
          <w:rFonts w:ascii="Figtree" w:hAnsi="Figtree"/>
          <w:b w:val="0"/>
          <w:i w:val="0"/>
          <w:sz w:val="22"/>
        </w:rPr>
        <w:t>[Source: [PARTNER: solution scope]; [PARTNER: system ownership]]</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Condensed explanation of partner-owned solution scope.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scope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Require explicit out-of-scope notes and interfaces.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Infer missing partner scope.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Solution Architecture</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reusable/about-dalp.md; content/03-integrations/main.md; [PARTNER: architecture inputs]]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the joint operating architecture and key handoff points.</w:t>
      </w:r>
    </w:p>
    <w:p>
      <w:pPr>
        <w:pStyle w:val="ListParagraph"/>
        <w:numPr>
          <w:ilvl w:val="1"/>
          <w:numId w:val="4"/>
        </w:numPr>
      </w:pPr>
      <w:r>
        <w:rPr>
          <w:rFonts w:ascii="Figtree" w:hAnsi="Figtree"/>
          <w:b w:val="0"/>
          <w:i w:val="0"/>
          <w:sz w:val="22"/>
        </w:rPr>
        <w:t>Demonstrate that the combined solution is coherent.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architecture diagram showing SettleMint DALP ↔ Partner System data flows, API touchpoints, and handoff boundaries.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the narrative short and let the diagram do the heavy lifting.</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an unlabeled generic diagram.</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Implementation</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reusable/implementation-plan.md; [PARTNER: implementation inputs]; [PARTNER: milestones]]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 combined timeline with key milestones, ownership, and dependencies.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 with columns: Milestone | SettleMint | Partner | Joint dependency | Output.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major phases and decision gates only.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separate plans for each party.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Governance</w:t>
      </w:r>
    </w:p>
    <w:p>
      <w:pPr>
        <w:pStyle w:val="ListParagraph"/>
        <w:numPr>
          <w:ilvl w:val="0"/>
          <w:numId w:val="4"/>
        </w:numPr>
      </w:pPr>
      <w:r>
        <w:rPr>
          <w:rFonts w:ascii="Figtree" w:hAnsi="Figtree"/>
          <w:b w:val="0"/>
          <w:i w:val="0"/>
          <w:sz w:val="22"/>
        </w:rPr>
        <w:t>[Target: 600-900 words]</w:t>
      </w:r>
    </w:p>
    <w:p>
      <w:pPr>
        <w:pStyle w:val="ListParagraph"/>
        <w:numPr>
          <w:ilvl w:val="0"/>
          <w:numId w:val="4"/>
        </w:numPr>
      </w:pPr>
      <w:r>
        <w:rPr>
          <w:rFonts w:ascii="Figtree" w:hAnsi="Figtree"/>
          <w:b w:val="0"/>
          <w:i w:val="0"/>
          <w:sz w:val="22"/>
        </w:rPr>
        <w:t>[Source: reusable/implementation-plan.md; [PARTNER: governance inputs]]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Clarify decision rights, escalation, and programme coordination.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Governance summary chart.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steering, PMO/programme management, escalation, and change control in compressed form.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cross-partner issue resolution unclear.</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Support &amp; SLA</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reusable/support-sla.md; [PARTNER: support model]; [PARTNER: SLA inputs]]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the joint support model in a compact operating table.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support table with columns: Domain | SettleMint | Partner | Escalation | SLA note.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usable operating clarity rather than long SLA text.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Pretend a shared support model exists if not agreed.</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Risk Management</w:t>
      </w:r>
    </w:p>
    <w:p>
      <w:pPr>
        <w:pStyle w:val="ListParagraph"/>
        <w:numPr>
          <w:ilvl w:val="0"/>
          <w:numId w:val="4"/>
        </w:numPr>
      </w:pPr>
      <w:r>
        <w:rPr>
          <w:rFonts w:ascii="Figtree" w:hAnsi="Figtree"/>
          <w:b w:val="0"/>
          <w:i w:val="0"/>
          <w:sz w:val="22"/>
        </w:rPr>
        <w:t>[Target: 600-900 words]</w:t>
      </w:r>
    </w:p>
    <w:p>
      <w:pPr>
        <w:pStyle w:val="ListParagraph"/>
        <w:numPr>
          <w:ilvl w:val="0"/>
          <w:numId w:val="4"/>
        </w:numPr>
      </w:pPr>
      <w:r>
        <w:rPr>
          <w:rFonts w:ascii="Figtree" w:hAnsi="Figtree"/>
          <w:b w:val="0"/>
          <w:i w:val="0"/>
          <w:sz w:val="22"/>
        </w:rPr>
        <w:t>[Source: reusable/implementation-plan.md; [PARTNER: risk inputs]]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Highlight major joint delivery and integration risks with ownership and mitigation.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risk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Limit to the highest-value risks; keep ownership explicit.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a generic project-risk list.</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Compliance Matrix</w:t>
      </w:r>
    </w:p>
    <w:p>
      <w:pPr>
        <w:pStyle w:val="ListParagraph"/>
        <w:numPr>
          <w:ilvl w:val="0"/>
          <w:numId w:val="4"/>
        </w:numPr>
      </w:pPr>
      <w:r>
        <w:rPr>
          <w:rFonts w:ascii="Figtree" w:hAnsi="Figtree"/>
          <w:b w:val="0"/>
          <w:i w:val="0"/>
          <w:sz w:val="22"/>
        </w:rPr>
        <w:t>[Target: 1000-1500 words]</w:t>
      </w:r>
    </w:p>
    <w:p>
      <w:pPr>
        <w:pStyle w:val="ListParagraph"/>
        <w:numPr>
          <w:ilvl w:val="0"/>
          <w:numId w:val="4"/>
        </w:numPr>
      </w:pPr>
      <w:r>
        <w:rPr>
          <w:rFonts w:ascii="Figtree" w:hAnsi="Figtree"/>
          <w:b w:val="0"/>
          <w:i w:val="0"/>
          <w:sz w:val="22"/>
        </w:rPr>
        <w:t>[Source: content/; reusable/about-dalp.md; [PARTNER: compliance ownership and evidence]]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Present requirement compliance in compact but explicit form.</w:t>
      </w:r>
    </w:p>
    <w:p>
      <w:pPr>
        <w:pStyle w:val="ListParagraph"/>
        <w:numPr>
          <w:ilvl w:val="1"/>
          <w:numId w:val="4"/>
        </w:numPr>
      </w:pPr>
      <w:r>
        <w:rPr>
          <w:rFonts w:ascii="Figtree" w:hAnsi="Figtree"/>
          <w:b w:val="0"/>
          <w:i w:val="0"/>
          <w:sz w:val="22"/>
        </w:rPr>
        <w:t>Include status codes and a joint responsibility column.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Table with columns: Requirement ID | Summary | SettleMint | Partner | Joint responsibility | Status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the matrix scannable and traceable back to main sections.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partial compliance conditions.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