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rfp</w:t>
      </w:r>
    </w:p>
    <w:p>
      <w:r>
        <w:t>variant: 03-compact</w:t>
      </w:r>
    </w:p>
    <w:p>
      <w:r>
        <w:t>last-updated: 2026-03-14</w:t>
      </w:r>
    </w:p>
    <w:p>
      <w:pPr>
        <w:pStyle w:val="Heading1"/>
      </w:pPr>
      <w:r>
        <w:t>Request for Proposal Skeleton — Compact</w:t>
      </w:r>
    </w:p>
    <w:p>
      <w:pPr>
        <w:pStyle w:val="Quote"/>
      </w:pPr>
      <w:r>
        <w:t>**Target generated document size:** 20-30 pages / 4,500-8,000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Buyer-side issuance blueprint only; never answer requirements from the vendor perspective.</w:t>
      </w:r>
    </w:p>
    <w:p>
      <w:pPr>
        <w:pStyle w:val="ListBullet"/>
      </w:pPr>
      <w:r>
        <w:t>Use published weightings, pass/fail gates, and response templates to force comparable bids.</w:t>
      </w:r>
    </w:p>
    <w:p>
      <w:pPr>
        <w:pStyle w:val="ListBullet"/>
      </w:pPr>
      <w:r>
        <w:t>Separate scope, requirements, evaluation, pricing, and contract assumptions cleanly.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Context, Scope, and Timeline</w:t>
      </w:r>
    </w:p>
    <w:p>
      <w:r>
        <w:t>**Target length:** 800-1,000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1.1 Buyer objective (250-350 words)</w:t>
      </w:r>
    </w:p>
    <w:p>
      <w:pPr>
        <w:pStyle w:val="ListBullet"/>
      </w:pPr>
      <w:r>
        <w:t>Section purpose: State why the RFP exists.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State why the RFP exists.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Scope and key scenarios (250-350 words)</w:t>
      </w:r>
    </w:p>
    <w:p>
      <w:pPr>
        <w:pStyle w:val="ListBullet"/>
      </w:pPr>
      <w:r>
        <w:t>Section purpose: List in-scope domains and core use cases.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in-scope domains and core use cases.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Timeline and submission basics (250-350 words)</w:t>
      </w:r>
    </w:p>
    <w:p>
      <w:pPr>
        <w:pStyle w:val="ListBullet"/>
      </w:pPr>
      <w:r>
        <w:t>Section purpose: Provide key dates and submission checklist.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Provide key dates and submission checklist.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Requirements Core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2.1 Business requirements (250-350 words)</w:t>
      </w:r>
    </w:p>
    <w:p>
      <w:pPr>
        <w:pStyle w:val="ListBullet"/>
      </w:pPr>
      <w:r>
        <w:t>Section purpose: List minimum lifecycle and workflow requirements.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minimum lifecycle and workflow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Technical/deployment requirements (250-350 words)</w:t>
      </w:r>
    </w:p>
    <w:p>
      <w:pPr>
        <w:pStyle w:val="ListBullet"/>
      </w:pPr>
      <w:r>
        <w:t>Section purpose: List architecture, integration, and environment requirements.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architecture, integration, and environment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Security/compliance essentials (250-350 words)</w:t>
      </w:r>
    </w:p>
    <w:p>
      <w:pPr>
        <w:pStyle w:val="ListBullet"/>
      </w:pPr>
      <w:r>
        <w:t>Section purpose: State mandatory control and governance requirements.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State mandatory control and governance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Qualification, Pricing, and Evaluation</w:t>
      </w:r>
    </w:p>
    <w:p>
      <w:r>
        <w:t>**Target length:** 800-1,100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Separate pass/fail gates from scored subcriteria and link this section to the published weighting model.</w:t>
      </w:r>
    </w:p>
    <w:p>
      <w:pPr>
        <w:pStyle w:val="Heading3"/>
      </w:pPr>
      <w:r>
        <w:t>3.1 Qualification gates (250-350 words)</w:t>
      </w:r>
    </w:p>
    <w:p>
      <w:pPr>
        <w:pStyle w:val="ListBullet"/>
      </w:pPr>
      <w:r>
        <w:t>Section purpose: Define mandatory bidder thresholds.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Define mandatory bidder thresholds.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Pricing/legal baseline (250-350 words)</w:t>
      </w:r>
    </w:p>
    <w:p>
      <w:pPr>
        <w:pStyle w:val="ListBullet"/>
      </w:pPr>
      <w:r>
        <w:t>Section purpose: Provide pricing template and deviation rules.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Provide pricing template and deviation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Evaluation and annexes (250-350 words)</w:t>
      </w:r>
    </w:p>
    <w:p>
      <w:pPr>
        <w:pStyle w:val="ListBullet"/>
      </w:pPr>
      <w:r>
        <w:t>Section purpose: Publish weights and appendix list.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Publish weights and appendix list.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