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80"/>
        <w:jc w:val="center"/>
      </w:pPr>
      <w:r>
        <w:rPr>
          <w:rFonts w:ascii="Arial" w:cs="Arial" w:eastAsia="Arial" w:hAnsi="Arial"/>
          <w:b/>
          <w:bCs/>
          <w:i w:val="false"/>
          <w:iCs w:val="false"/>
          <w:caps/>
          <w:color w:val="888888"/>
          <w:sz w:val="20"/>
          <w:szCs w:val="20"/>
        </w:rPr>
        <w:t xml:space="preserve">RESEARCH REPORT</w:t>
      </w:r>
    </w:p>
    <w:p>
      <w:pPr>
        <w:spacing w:before="0" w:after="80"/>
        <w:jc w:val="center"/>
      </w:pPr>
      <w:r>
        <w:rPr>
          <w:rFonts w:ascii="Arial" w:cs="Arial" w:eastAsia="Arial" w:hAnsi="Arial"/>
          <w:b/>
          <w:bCs/>
          <w:i w:val="false"/>
          <w:iCs w:val="false"/>
          <w:caps w:val="false"/>
          <w:color w:val="2E5BA8"/>
          <w:sz w:val="52"/>
          <w:szCs w:val="52"/>
        </w:rPr>
        <w:t xml:space="preserve">Human–AI Work Patterns in Software Development:</w:t>
      </w:r>
    </w:p>
    <w:p>
      <w:pPr>
        <w:spacing w:before="0" w:after="400"/>
        <w:jc w:val="center"/>
      </w:pPr>
      <w:r>
        <w:rPr>
          <w:rFonts w:ascii="Georgia" w:cs="Georgia" w:eastAsia="Georgia" w:hAnsi="Georgia"/>
          <w:b w:val="false"/>
          <w:bCs w:val="false"/>
          <w:i/>
          <w:iCs/>
          <w:caps w:val="false"/>
          <w:color w:val="1A1A1A"/>
          <w:sz w:val="40"/>
          <w:szCs w:val="40"/>
        </w:rPr>
        <w:t xml:space="preserve">Archetypes, Paradoxes, and the Decline of Trust</w:t>
      </w:r>
    </w:p>
    <w:p>
      <w:pPr>
        <w:pBdr>
          <w:bottom w:val="single" w:color="2E5BA8" w:sz="6" w:space="4"/>
        </w:pBdr>
        <w:spacing w:before="0" w:after="80"/>
        <w:jc w:val="center"/>
      </w:pPr>
      <w:r>
        <w:rPr>
          <w:rFonts w:ascii="Arial" w:cs="Arial" w:eastAsia="Arial" w:hAnsi="Arial"/>
          <w:b w:val="false"/>
          <w:bCs w:val="false"/>
          <w:i w:val="false"/>
          <w:iCs w:val="false"/>
          <w:caps w:val="false"/>
          <w:color w:val="555555"/>
          <w:sz w:val="22"/>
          <w:szCs w:val="22"/>
        </w:rPr>
        <w:t xml:space="preserve">A Repeated Cross-Sectional Analysis of the Stack Overflow Developer Survey  |  2023, 2024, 2025</w:t>
      </w:r>
    </w:p>
    <w:p>
      <w:pPr>
        <w:spacing w:before="240" w:after="240"/>
      </w:pPr>
    </w:p>
    <w:p>
      <w:pPr>
        <w:spacing w:before="0" w:after="80"/>
        <w:jc w:val="center"/>
      </w:pPr>
      <w:r>
        <w:rPr>
          <w:rFonts w:ascii="Arial" w:cs="Arial" w:eastAsia="Arial" w:hAnsi="Arial"/>
          <w:b/>
          <w:bCs/>
          <w:i w:val="false"/>
          <w:iCs w:val="false"/>
          <w:caps w:val="false"/>
          <w:color w:val="1A1A1A"/>
          <w:sz w:val="22"/>
          <w:szCs w:val="22"/>
        </w:rPr>
        <w:t xml:space="preserve">Imagination Applied Research Series</w:t>
      </w:r>
    </w:p>
    <w:p>
      <w:pPr>
        <w:spacing w:before="0" w:after="600"/>
        <w:jc w:val="center"/>
      </w:pPr>
      <w:r>
        <w:rPr>
          <w:rFonts w:ascii="Arial" w:cs="Arial" w:eastAsia="Arial" w:hAnsi="Arial"/>
          <w:b w:val="false"/>
          <w:bCs w:val="false"/>
          <w:i w:val="false"/>
          <w:iCs w:val="false"/>
          <w:caps w:val="false"/>
          <w:color w:val="555555"/>
          <w:sz w:val="20"/>
          <w:szCs w:val="20"/>
        </w:rPr>
        <w:t xml:space="preserve">Imagination Applied Research Series  |  2025</w:t>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Abstract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report presents a repeated cross-sectional data mining analysis of the Stack Overflow Developer Survey across 2023, 2024, and 2025, encompassing 203,812 combined survey responses from developers across up to 185 countries (177 in 2025; 185 in 2023 and 2024) (33,231 respondents with complete responses on the three core attitudinal features (AISelect, AIAcc, AISent) form the primary analytical sample for the 2025 analyses; secondary features were median-imputed or zero-coded where missing). Using clustering, association rule mining, and classification methods, we identify five heuristic AI adoption archetypes within the developer population, surface the attitudinal and behavioral features most strongly associated with daily AI use, and document a striking three-year pattern across successive survey cohorts: adoption is accelerating rapidly while trust and enthusiasm are in simultaneous, sharp decline. Because each year's survey is an independent cross-section, not a panel, these comparisons describe population-level shifts, not individual-level change.</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AI usage among surveyed developers rose from 44.4% in 2023 to 78.5% in 2025. Over the same period, positive sentiment fell from 76.3% to 59.7%, negative sentiment grew from 3.2% to 20.4%, and the proportion who "highly distrust" AI output more than tripled, from 5.5% to 19.6%. On a harmonized denominator restricted to current AI users only — comparable across all three years — 2025 shows 39.3% high trust / 37.3% high distrust, versus 43.0% / 30.4% in 2024: a meaningful decline, though smaller than the full-denominator figures (which include non-users newly routed to the trust question in 2025). We term this the Adoption Paradox: rising adoption coincides with declining trust and sentiment — a pattern robust across all three survey years, though the cross-sectional design cannot establish causal direction.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Beyond the longitudinal picture, our classification analysis finds that how a developer feels about AI — their emotional orientation — is associated with daily adoption more strongly than trust, years of work experience, or years coding. Our frustration analysis identifies a transparency gap, not a quality gap, as the strongest correlate of distrust: developers are most demoralized when they cannot interrogate or take ownership of AI-generated output. And our learning pathway analysis finds that structured learning pathways are associated with substantially higher AI trust rates than informal peer learning — a pattern detailed in Section 7.3 with appropriate caveats on measurement precision.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These findings have direct implications for organizational AI adoption strategy and learning and development practice. The data are consistent with the hypothesis that ambient, self-directed adoption approaches are associated with lower trust rates than structured onboarding that builds both skill and ownership of AI-assisted workflows — though intervention claims should be treated as hypotheses suggested by the data rather than results established by it.</w:t>
      </w:r>
    </w:p>
    <w:p>
      <w:pPr>
        <w:spacing w:before="200" w:after="0"/>
      </w:pPr>
    </w:p>
    <w:p>
      <w:pPr>
        <w:spacing w:before="0" w:after="240"/>
      </w:pPr>
      <w:r>
        <w:rPr>
          <w:rFonts w:ascii="Arial" w:cs="Arial" w:eastAsia="Arial" w:hAnsi="Arial"/>
          <w:b/>
          <w:bCs/>
          <w:i w:val="false"/>
          <w:iCs w:val="false"/>
          <w:caps w:val="false"/>
          <w:color w:val="1A1A1A"/>
          <w:sz w:val="20"/>
          <w:szCs w:val="20"/>
        </w:rPr>
        <w:t xml:space="preserve">Keywords: AI adoption, developer sentiment, repeated cross-sectional survey analysis, k-means clustering, association rule mining, random forest classification, learning and development, organizational change</w:t>
      </w:r>
      <w:r>
        <w:rPr>
          <w:rFonts w:ascii="Arial" w:cs="Arial" w:eastAsia="Arial" w:hAnsi="Arial"/>
          <w:b w:val="false"/>
          <w:bCs w:val="false"/>
          <w:i/>
          <w:iCs/>
          <w:caps w:val="false"/>
          <w:color w:val="555555"/>
          <w:sz w:val="20"/>
          <w:szCs w:val="20"/>
        </w:rPr>
        <w:t xml:space="preserve"/>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1. Introduction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past three years have produced an extraordinary natural experiment in technology adoption. Beginning in late 2022, AI coding assistants moved from curiosity to mainstream, reaching the majority of software developers faster than almost any prior technology category. But adoption rates alone tell an incomplete and potentially misleading story. Averages conceal structure. Majorities contain multitudes.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Survey-based research on AI adoption — including annual reports from McKinsey and Microsoft/LinkedIn Workforce — has focused largely on headline adoption rates and aggregate sentiment scores. These aggregates are useful as directional signals but insufficient for practitioners trying to understand why some individuals cross into regular AI use while others do not, or what predicts the difference between a confident daily user and a skeptical occasional user. Organizations designing AI adoption programs cannot build interventions around averages; they need archetypes.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report takes a different approach. Rather than tracking what the average developer thinks about AI, we apply data mining methods — clustering, association rule mining, and supervised classification — because these techniques are specifically suited to discovering latent subgroup structure within large heterogeneous populations; regression and descriptive statistics average across groups rather than revealing them. Our goal is to surface the latent structure within the developer population: who the adopters are, who the resisters are, what distinguishes them, and how the composition of those groups is shifting over time. We use the Stack Overflow Developer Survey — the largest annual survey of software developers, with 49,009 respondents in 2025 alone (per Stack Overflow’s published methodology; the CSV release contains 49,191 rows — see Appendix A.5 for reconciliation) — as our data source, analyzing three consecutive years (2023–2025) as repeated cross-sections. Because each survey year samples independently, comparisons over time reflect population-level shifts rather than individual-level change.</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central questions guiding this analysis are:</w:t>
      </w:r>
    </w:p>
    <w:p>
      <w:pPr>
        <w:pStyle w:val="ListParagraph"/>
        <w:spacing w:before="0" w:after="100" w:line="300"/>
      </w:pPr>
      <w:r>
        <w:rPr>
          <w:rFonts w:ascii="Georgia" w:cs="Georgia" w:eastAsia="Georgia" w:hAnsi="Georgia"/>
          <w:b w:val="false"/>
          <w:bCs w:val="false"/>
          <w:i w:val="false"/>
          <w:iCs w:val="false"/>
          <w:caps w:val="false"/>
          <w:color w:val="1A1A1A"/>
          <w:sz w:val="22"/>
          <w:szCs w:val="22"/>
        </w:rPr>
        <w:t xml:space="preserve">1. Does AI adoption among developers follow a spectrum, or do meaningful sub-groups exist?</w:t>
      </w:r>
    </w:p>
    <w:p>
      <w:pPr>
        <w:pStyle w:val="ListParagraph"/>
        <w:spacing w:before="0" w:after="100" w:line="300"/>
      </w:pPr>
      <w:r>
        <w:rPr>
          <w:rFonts w:ascii="Georgia" w:cs="Georgia" w:eastAsia="Georgia" w:hAnsi="Georgia"/>
          <w:b w:val="false"/>
          <w:bCs w:val="false"/>
          <w:i w:val="false"/>
          <w:iCs w:val="false"/>
          <w:caps w:val="false"/>
          <w:color w:val="1A1A1A"/>
          <w:sz w:val="22"/>
          <w:szCs w:val="22"/>
        </w:rPr>
        <w:t xml:space="preserve">2. What attitudinal, behavioral, and demographic factors are most strongly associated with daily AI adoption?</w:t>
      </w:r>
    </w:p>
    <w:p>
      <w:pPr>
        <w:pStyle w:val="ListParagraph"/>
        <w:spacing w:before="0" w:after="100" w:line="300"/>
      </w:pPr>
      <w:r>
        <w:rPr>
          <w:rFonts w:ascii="Georgia" w:cs="Georgia" w:eastAsia="Georgia" w:hAnsi="Georgia"/>
          <w:b w:val="false"/>
          <w:bCs w:val="false"/>
          <w:i w:val="false"/>
          <w:iCs w:val="false"/>
          <w:caps w:val="false"/>
          <w:color w:val="1A1A1A"/>
          <w:sz w:val="22"/>
          <w:szCs w:val="22"/>
        </w:rPr>
        <w:t xml:space="preserve">3. How are sentiment, trust, and usage patterns shifting over time, and do those trends cohere?</w:t>
      </w:r>
    </w:p>
    <w:p>
      <w:pPr>
        <w:pStyle w:val="ListParagraph"/>
        <w:spacing w:before="0" w:after="100" w:line="300"/>
      </w:pPr>
      <w:r>
        <w:rPr>
          <w:rFonts w:ascii="Georgia" w:cs="Georgia" w:eastAsia="Georgia" w:hAnsi="Georgia"/>
          <w:b w:val="false"/>
          <w:bCs w:val="false"/>
          <w:i w:val="false"/>
          <w:iCs w:val="false"/>
          <w:caps w:val="false"/>
          <w:color w:val="1A1A1A"/>
          <w:sz w:val="22"/>
          <w:szCs w:val="22"/>
        </w:rPr>
        <w:t xml:space="preserve">4. What practical levers do organizations have to accelerate adoption and reduce skepticism?</w:t>
      </w:r>
    </w:p>
    <w:p>
      <w:pPr>
        <w:spacing w:before="120" w:after="0"/>
      </w:pP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answers, as we document below, are empirically grounded and practically relevant. Adoption is rising faster than trust is consolidating. The 2025 cross-section shows a substantial actively-resistant profile (19.0% of the AI-module sample). Whether this share is growing across years cannot be established without applying a consistent archetype rule to all three survey years, which this analysis does not do. The data suggest that trust-building interventions will be harder to execute as adoption norms solidify.</w:t>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2. Related Work</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Research on AI adoption at scale has been dominated by industry surveys that report aggregate headline figures. McKinsey’s State of AI surveys (McKinsey Global Institute, 2023, 2024) document rising enterprise AI investment and broad adoption intent, but present averaged statistics that obscure the population heterogeneity practitioners must navigate. Microsoft and LinkedIn’s Work Trend Index (Microsoft &amp; LinkedIn, 2024) similarly surfaces aggregate skill-demand and adoption signals without modeling the attitudinal variance between individuals. These macro surveys provide essential context — and this report situates its longitudinal findings against their directional trends — but they do not answer the practitioner’s operational question: given that my organization contains enthusiastic adopters, skeptical non-users, and everyone in between, what actually is associated with who crosses into daily use, and what should I do differently for each group?</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Classical technology adoption frameworks offer a theoretical foundation but were designed for population-level aggregate prediction rather than within-population segmentation. Davis’s Technology Acceptance Model (TAM; Davis, 1989) established perceived usefulness and perceived ease of use as the primary predictors of technology adoption intention. Venkatesh et al.’s Unified Theory of Acceptance and Use of Technology (UTAUT; Venkatesh et al., 2003) extended this framework to include social influence and facilitating conditions. Rogers’s Diffusion of Innovations (Rogers, 2003) introduced the now-standard adopter segmentation — innovators, early adopters, early majority, late majority, laggards — but operationalized it through theoretical typology rather than empirical cluster analysis. The archetype-discovery approach in this report operationalizes a Rogers-style segmentation empirically, grounding each archetype in measured attitudinal and behavioral profiles. Critically, our classification analysis departs from the TAM/UTAUT emphasis on perceived usefulness by showing that emotional orientation (sentiment) is a stronger predictor of daily adoption than either trust or competency — a finding that challenges the prevailing model’s focus on cognitive appraisal over affective orientation.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More proximate prior work on AI-specific adoption among software developers has focused primarily on productivity outcomes. GitHub’s Copilot research has evolved across several studies. Kalliamvakou (2022) measured task completion speed and productivity; code quality was noted as planned future work. Subsequent GitHub studies examined quality more directly: a 2023 study of Copilot Chat (GitHub, 2023) found self-reported quality improvements across readability, maintainability, and confidence metrics, and a 2024 randomized controlled trial with 202 developers (GitHub, 2024) reported statistically significant improvements in readability (+3.6%), reliability (+2.9%), and maintainability (+2.5%) for Copilot-assisted code. GitClear’s longitudinal analyses (GitClear, 2024) offered a contrasting view, finding increased code churn and reduced refactoring in AI-assisted repositories. Taken together, this literature suggests code quality effects of AI assistance are context-dependent and contested. These studies examine the consequences of adoption rather than the predictors of it, and they do not model the attitudinal heterogeneity within developer populations. The Stack Overflow Developer Survey, by contrast, captures attitudinal, behavioral, and demographic data across the full spectrum of AI engagement — from active resistance to daily integration — making it uniquely suited to a predictive segmentation analysis of this kind. To the authors’ knowledge, this is the first study to apply data mining methods (k-means clustering, association rule mining, and Random Forest classification) to the Stack Overflow AI module data across three consecutive years to identify adoption archetypes and their behavioral and attitudinal correlates.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data mining methods employed here have established precedents in adjacent research domains. K-means clustering has been used extensively to segment learner populations in educational data mining (Romero &amp; Ventura, 2010) and to identify customer adoption profiles in technology marketing research. Association rule mining, introduced by Agrawal and Srikant (1994), has been applied to behavioral survey data to surface co-occurring attitude-behavior patterns. Random Forest classification (Breiman, 2001) is the current state of practice for feature-importance estimation in behavioral survey contexts, given its robustness to collinearity, its ability to capture non-linear interactions, and its interpretable feature-importance output. The combination of these three methods applied to a large-scale longitudinal developer survey constitutes the methodological contribution of this report, complementing the substantive findings on adoption dynamics.</w:t>
      </w:r>
    </w:p>
    <w:p>
      <w:pPr>
        <w:pStyle w:val="Heading1"/>
        <w:pBdr>
          <w:bottom w:val="single" w:color="2E5BA8" w:sz="8" w:space="4"/>
        </w:pBdr>
        <w:spacing w:before="400" w:after="160"/>
      </w:pPr>
      <w:r>
        <w:rPr>
          <w:rFonts w:ascii="Arial" w:cs="Arial" w:eastAsia="Arial" w:hAnsi="Arial"/>
          <w:b/>
          <w:bCs/>
          <w:caps/>
          <w:color w:val="2E5BA8"/>
          <w:sz w:val="36"/>
          <w:szCs w:val="36"/>
        </w:rPr>
        <w:t xml:space="preserve">3. Data and Methodology</w:t>
      </w:r>
    </w:p>
    <w:p>
      <w:pPr>
        <w:pStyle w:val="Heading2"/>
        <w:spacing w:before="300" w:after="120"/>
      </w:pPr>
      <w:r>
        <w:rPr>
          <w:rFonts w:ascii="Arial" w:cs="Arial" w:eastAsia="Arial" w:hAnsi="Arial"/>
          <w:b/>
          <w:bCs/>
          <w:color w:val="1A1A1A"/>
          <w:sz w:val="28"/>
          <w:szCs w:val="28"/>
        </w:rPr>
        <w:t xml:space="preserve">3.1  Data Source</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All analyses use the Stack Overflow Developer Survey, conducted annually by Stack Overflow and made publicly available for research. The survey covers software developers and those who write code professionally or recreationally across 177 countries. For this study, we use three consecutive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Year</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Survey N</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AI Questions?</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AI Respondents (AISelect)</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2023</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89,184</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Yes</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87,973 (98.6%)</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2024</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65,437</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Yes</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60,907 (93.1%)</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2025</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49,191†</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Yes (expanded)</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33,720 (68.5%)</w:t>
            </w:r>
          </w:p>
        </w:tc>
      </w:tr>
    </w:tbl>
    <w:p>
      <w:r>
        <w:rPr>
          <w:sz w:val="18"/>
          <w:szCs w:val="18"/>
        </w:rPr>
        <w:t xml:space="preserve">† CSV row count. Stack Overflow’s published methodology page reports 49,009 qualified responses. See Appendix A.5 for reconciliation.</w:t>
      </w:r>
    </w:p>
    <w:p>
      <w:pPr>
        <w:spacing w:before="80" w:after="240"/>
        <w:jc w:val="center"/>
      </w:pPr>
      <w:r>
        <w:rPr>
          <w:rFonts w:ascii="Arial" w:cs="Arial" w:eastAsia="Arial" w:hAnsi="Arial"/>
          <w:b w:val="false"/>
          <w:bCs w:val="false"/>
          <w:i/>
          <w:iCs/>
          <w:caps w:val="false"/>
          <w:color w:val="888888"/>
          <w:sz w:val="17"/>
          <w:szCs w:val="17"/>
        </w:rPr>
        <w:t xml:space="preserve">Table 1. Survey sample sizes across years. Note the 2025 response rate for AISelect (68.5%) — see methodological note below.</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CCA800" w:sz="4"/>
              <w:left w:val="single" w:color="CCA800" w:sz="4"/>
              <w:bottom w:val="single" w:color="CCA800" w:sz="4"/>
              <w:right w:val="single" w:color="CCA800" w:sz="4"/>
            </w:tcBorders>
            <w:shd w:fill="FFF3CD" w:val="clear"/>
            <w:tcMar>
              <w:top w:type="dxa" w:w="100"/>
              <w:left w:type="dxa" w:w="200"/>
              <w:bottom w:type="dxa" w:w="100"/>
              <w:right w:type="dxa" w:w="200"/>
            </w:tcMar>
          </w:tcPr>
          <w:p>
            <w:pPr>
              <w:spacing w:before="0" w:after="0"/>
            </w:pPr>
            <w:r>
              <w:rPr>
                <w:rFonts w:ascii="Arial" w:cs="Arial" w:eastAsia="Arial" w:hAnsi="Arial"/>
                <w:b/>
                <w:bCs/>
                <w:i w:val="false"/>
                <w:iCs w:val="false"/>
                <w:caps w:val="false"/>
                <w:color w:val="7D5900"/>
                <w:sz w:val="19"/>
                <w:szCs w:val="19"/>
              </w:rPr>
              <w:t xml:space="preserve">Methodological Note: In 2025, only 68.5% of survey respondents answered the AI usage question (AISelect), compared to 93–99% in prior years. This likely reflects a survey redesign — possibly routing non-developers away from the AI module — though this specific explanation is an inference from the data pattern and is not documented in the publicly available 2025 methodology page. All 2025 adoption percentages are calculated as a proportion of the 33,720 who answered AISelect — representing the engaged developer population — not of all 49,191 respondents. The directional trend is valid; the absolute 2025 figure should be read as "78.5% of developers who engage with AI-related survey questions currently use AI tools." Note: Stack Overflow's published survey results page reports 33,662 AISelect respondents, while the downloadable CSV yields 33,720 — a 58-respondent difference likely attributable to dataset versioning between the public results page and the released CSV. The analytical sample of 33,231 used throughout this report is derived from the CSV and is unaffected by this minor discrepancy. A related discrepancy: Stack Overflow's official methodology page reports 49,009 total 2025 survey responses, while the downloadable CSV contains 49,191 rows — a difference of 182. This likely reflects post-publication quality filtering (e.g., removal of spam or incomplete submissions) applied to the results page but not yet reflected in the CSV release. The 203,812 combined-year total in this report is based on CSV row counts; using SO's published figure would yield approximately 203,630.</w:t>
            </w:r>
            <w:r>
              <w:rPr>
                <w:rFonts w:ascii="Arial" w:cs="Arial" w:eastAsia="Arial" w:hAnsi="Arial"/>
                <w:b w:val="false"/>
                <w:bCs w:val="false"/>
                <w:i w:val="false"/>
                <w:iCs w:val="false"/>
                <w:caps w:val="false"/>
                <w:color w:val="7D5900"/>
                <w:sz w:val="19"/>
                <w:szCs w:val="19"/>
              </w:rPr>
              <w:t xml:space="preserve"/>
            </w:r>
          </w:p>
        </w:tc>
      </w:tr>
    </w:tbl>
    <w:p>
      <w:pPr>
        <w:spacing w:before="160" w:after="0"/>
      </w:pPr>
    </w:p>
    <w:p>
      <w:pPr>
        <w:pStyle w:val="Heading2"/>
        <w:spacing w:before="300" w:after="120"/>
      </w:pPr>
      <w:r>
        <w:rPr>
          <w:rFonts w:ascii="Arial" w:cs="Arial" w:eastAsia="Arial" w:hAnsi="Arial"/>
          <w:b/>
          <w:bCs/>
          <w:color w:val="1A1A1A"/>
          <w:sz w:val="28"/>
          <w:szCs w:val="28"/>
        </w:rPr>
        <w:t xml:space="preserve">3.2  Key Variables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Stack Overflow survey includes an extensive AI module that grew substantially between 2023 and 2025. The following variables are used across the analysis:</w:t>
      </w:r>
    </w:p>
    <w:tbl>
      <w:tblPr>
        <w:tblW w:w="9360" w:type="dxa"/>
        <w:tblBorders>
          <w:top w:val="single" w:sz="4" w:color="C5CAD6"/>
          <w:left w:val="single" w:sz="4" w:color="C5CAD6"/>
          <w:bottom w:val="single" w:sz="4" w:color="C5CAD6"/>
          <w:right w:val="single" w:sz="4" w:color="C5CAD6"/>
          <w:insideH w:val="single" w:sz="4" w:color="C5CAD6"/>
          <w:insideV w:val="single" w:sz="4" w:color="C5CAD6"/>
        </w:tblBorders>
      </w:tblPr>
      <w:tblGrid>
        <w:gridCol w:w="1200"/>
        <w:gridCol w:w="4200"/>
        <w:gridCol w:w="1500"/>
        <w:gridCol w:w="2460"/>
      </w:tblGrid>
      <w:tr>
        <w:trPr>
          <w:tblHeader/>
        </w:trPr>
        <w:tc>
          <w:tcPr>
            <w:tcW w:w="1200" w:type="dxa"/>
            <w:shd w:val="clear" w:color="auto" w:fill="2E5BA8"/>
          </w:tcPr>
          <w:p>
            <w:r>
              <w:rPr>
                <w:b/>
                <w:color w:val="FFFFFF"/>
              </w:rPr>
              <w:t xml:space="preserve">Variable</w:t>
            </w:r>
          </w:p>
        </w:tc>
        <w:tc>
          <w:tcPr>
            <w:tcW w:w="4200" w:type="dxa"/>
            <w:shd w:val="clear" w:color="auto" w:fill="2E5BA8"/>
          </w:tcPr>
          <w:p>
            <w:r>
              <w:rPr>
                <w:b/>
                <w:color w:val="FFFFFF"/>
              </w:rPr>
              <w:t xml:space="preserve">Question (verbatim)</w:t>
            </w:r>
          </w:p>
        </w:tc>
        <w:tc>
          <w:tcPr>
            <w:tcW w:w="1500" w:type="dxa"/>
            <w:shd w:val="clear" w:color="auto" w:fill="2E5BA8"/>
          </w:tcPr>
          <w:p>
            <w:r>
              <w:rPr>
                <w:b/>
                <w:color w:val="FFFFFF"/>
              </w:rPr>
              <w:t xml:space="preserve">Years Available</w:t>
            </w:r>
          </w:p>
        </w:tc>
        <w:tc>
          <w:tcPr>
            <w:tcW w:w="2460" w:type="dxa"/>
            <w:shd w:val="clear" w:color="auto" w:fill="2E5BA8"/>
          </w:tcPr>
          <w:p>
            <w:r>
              <w:rPr>
                <w:b/>
                <w:color w:val="FFFFFF"/>
              </w:rPr>
              <w:t xml:space="preserve">Scale</w:t>
            </w:r>
          </w:p>
        </w:tc>
      </w:tr>
      <w:tr>
        <w:tc>
          <w:tcPr>
            <w:tcW w:w="1200" w:type="dxa"/>
            <w:shd w:val="clear" w:color="auto" w:fill="F5F8FF"/>
          </w:tcPr>
          <w:p>
            <w:r>
              <w:t xml:space="preserve">AISelect</w:t>
            </w:r>
          </w:p>
        </w:tc>
        <w:tc>
          <w:tcPr>
            <w:tcW w:w="4200" w:type="dxa"/>
            <w:shd w:val="clear" w:color="auto" w:fill="F5F8FF"/>
          </w:tcPr>
          <w:p>
            <w:r>
              <w:t xml:space="preserve">Do you currently use AI tools in your development process?</w:t>
            </w:r>
          </w:p>
        </w:tc>
        <w:tc>
          <w:tcPr>
            <w:tcW w:w="1500" w:type="dxa"/>
            <w:shd w:val="clear" w:color="auto" w:fill="F5F8FF"/>
          </w:tcPr>
          <w:p>
            <w:r>
              <w:t xml:space="preserve">2023–2025</w:t>
            </w:r>
          </w:p>
        </w:tc>
        <w:tc>
          <w:tcPr>
            <w:tcW w:w="2460" w:type="dxa"/>
            <w:shd w:val="clear" w:color="auto" w:fill="F5F8FF"/>
          </w:tcPr>
          <w:p>
            <w:r>
              <w:t xml:space="preserve">Categorical (Yes/No variants)</w:t>
            </w:r>
          </w:p>
        </w:tc>
      </w:tr>
      <w:tr>
        <w:tc>
          <w:tcPr>
            <w:tcW w:w="1200" w:type="dxa"/>
            <w:shd w:val="clear" w:color="auto" w:fill="FFFFFF"/>
          </w:tcPr>
          <w:p>
            <w:r>
              <w:t xml:space="preserve">AISent</w:t>
            </w:r>
          </w:p>
        </w:tc>
        <w:tc>
          <w:tcPr>
            <w:tcW w:w="4200" w:type="dxa"/>
            <w:shd w:val="clear" w:color="auto" w:fill="FFFFFF"/>
          </w:tcPr>
          <w:p>
            <w:r>
              <w:t xml:space="preserve">How favorable is your stance on using AI tools...?</w:t>
            </w:r>
          </w:p>
        </w:tc>
        <w:tc>
          <w:tcPr>
            <w:tcW w:w="1500" w:type="dxa"/>
            <w:shd w:val="clear" w:color="auto" w:fill="FFFFFF"/>
          </w:tcPr>
          <w:p>
            <w:r>
              <w:t xml:space="preserve">2023–2025</w:t>
            </w:r>
          </w:p>
        </w:tc>
        <w:tc>
          <w:tcPr>
            <w:tcW w:w="2460" w:type="dxa"/>
            <w:shd w:val="clear" w:color="auto" w:fill="FFFFFF"/>
          </w:tcPr>
          <w:p>
            <w:r>
              <w:t xml:space="preserve">6-point Likert</w:t>
            </w:r>
          </w:p>
        </w:tc>
      </w:tr>
      <w:tr>
        <w:tc>
          <w:tcPr>
            <w:tcW w:w="1200" w:type="dxa"/>
            <w:shd w:val="clear" w:color="auto" w:fill="F5F8FF"/>
          </w:tcPr>
          <w:p>
            <w:r>
              <w:t xml:space="preserve">AIAcc / AIBen</w:t>
            </w:r>
          </w:p>
        </w:tc>
        <w:tc>
          <w:tcPr>
            <w:tcW w:w="4200" w:type="dxa"/>
            <w:shd w:val="clear" w:color="auto" w:fill="F5F8FF"/>
          </w:tcPr>
          <w:p>
            <w:r>
              <w:t xml:space="preserve">How much do you trust the accuracy of the output from AI tools...?</w:t>
            </w:r>
          </w:p>
        </w:tc>
        <w:tc>
          <w:tcPr>
            <w:tcW w:w="1500" w:type="dxa"/>
            <w:shd w:val="clear" w:color="auto" w:fill="F5F8FF"/>
          </w:tcPr>
          <w:p>
            <w:r>
              <w:t xml:space="preserve">All years*</w:t>
            </w:r>
          </w:p>
        </w:tc>
        <w:tc>
          <w:tcPr>
            <w:tcW w:w="2460" w:type="dxa"/>
            <w:shd w:val="clear" w:color="auto" w:fill="F5F8FF"/>
          </w:tcPr>
          <w:p>
            <w:r>
              <w:t xml:space="preserve">5-point Likert</w:t>
            </w:r>
          </w:p>
        </w:tc>
      </w:tr>
      <w:tr>
        <w:tc>
          <w:tcPr>
            <w:tcW w:w="1200" w:type="dxa"/>
            <w:shd w:val="clear" w:color="auto" w:fill="FFFFFF"/>
          </w:tcPr>
          <w:p>
            <w:r>
              <w:t xml:space="preserve">AIThreat</w:t>
            </w:r>
          </w:p>
        </w:tc>
        <w:tc>
          <w:tcPr>
            <w:tcW w:w="4200" w:type="dxa"/>
            <w:shd w:val="clear" w:color="auto" w:fill="FFFFFF"/>
          </w:tcPr>
          <w:p>
            <w:r>
              <w:t xml:space="preserve">Do you believe AI is a threat to your current job?</w:t>
            </w:r>
          </w:p>
        </w:tc>
        <w:tc>
          <w:tcPr>
            <w:tcW w:w="1500" w:type="dxa"/>
            <w:shd w:val="clear" w:color="auto" w:fill="FFFFFF"/>
          </w:tcPr>
          <w:p>
            <w:r>
              <w:t xml:space="preserve">2024–2025</w:t>
            </w:r>
          </w:p>
        </w:tc>
        <w:tc>
          <w:tcPr>
            <w:tcW w:w="2460" w:type="dxa"/>
            <w:shd w:val="clear" w:color="auto" w:fill="FFFFFF"/>
          </w:tcPr>
          <w:p>
            <w:r>
              <w:t xml:space="preserve">Yes / No / Unsure</w:t>
            </w:r>
          </w:p>
        </w:tc>
      </w:tr>
      <w:tr>
        <w:tc>
          <w:tcPr>
            <w:tcW w:w="1200" w:type="dxa"/>
            <w:shd w:val="clear" w:color="auto" w:fill="F5F8FF"/>
          </w:tcPr>
          <w:p>
            <w:r>
              <w:t xml:space="preserve">AIComplex</w:t>
            </w:r>
          </w:p>
        </w:tc>
        <w:tc>
          <w:tcPr>
            <w:tcW w:w="4200" w:type="dxa"/>
            <w:shd w:val="clear" w:color="auto" w:fill="F5F8FF"/>
          </w:tcPr>
          <w:p>
            <w:r>
              <w:t xml:space="preserve">How well do the AI tools you use handle complex tasks?</w:t>
            </w:r>
          </w:p>
        </w:tc>
        <w:tc>
          <w:tcPr>
            <w:tcW w:w="1500" w:type="dxa"/>
            <w:shd w:val="clear" w:color="auto" w:fill="F5F8FF"/>
          </w:tcPr>
          <w:p>
            <w:r>
              <w:t xml:space="preserve">2024–2025</w:t>
            </w:r>
          </w:p>
        </w:tc>
        <w:tc>
          <w:tcPr>
            <w:tcW w:w="2460" w:type="dxa"/>
            <w:shd w:val="clear" w:color="auto" w:fill="F5F8FF"/>
          </w:tcPr>
          <w:p>
            <w:r>
              <w:t xml:space="preserve">5-point scale + N/A</w:t>
            </w:r>
          </w:p>
        </w:tc>
      </w:tr>
      <w:tr>
        <w:tc>
          <w:tcPr>
            <w:tcW w:w="1200" w:type="dxa"/>
            <w:shd w:val="clear" w:color="auto" w:fill="FFFFFF"/>
          </w:tcPr>
          <w:p>
            <w:r>
              <w:t xml:space="preserve">AIAgents</w:t>
            </w:r>
          </w:p>
        </w:tc>
        <w:tc>
          <w:tcPr>
            <w:tcW w:w="4200" w:type="dxa"/>
            <w:shd w:val="clear" w:color="auto" w:fill="FFFFFF"/>
          </w:tcPr>
          <w:p>
            <w:r>
              <w:t xml:space="preserve">Are you using AI agents in your work?</w:t>
            </w:r>
          </w:p>
        </w:tc>
        <w:tc>
          <w:tcPr>
            <w:tcW w:w="1500" w:type="dxa"/>
            <w:shd w:val="clear" w:color="auto" w:fill="FFFFFF"/>
          </w:tcPr>
          <w:p>
            <w:r>
              <w:t xml:space="preserve">2025 only</w:t>
            </w:r>
          </w:p>
        </w:tc>
        <w:tc>
          <w:tcPr>
            <w:tcW w:w="2460" w:type="dxa"/>
            <w:shd w:val="clear" w:color="auto" w:fill="FFFFFF"/>
          </w:tcPr>
          <w:p>
            <w:r>
              <w:t xml:space="preserve">Frequency scale</w:t>
            </w:r>
          </w:p>
        </w:tc>
      </w:tr>
      <w:tr>
        <w:tc>
          <w:tcPr>
            <w:tcW w:w="1200" w:type="dxa"/>
            <w:shd w:val="clear" w:color="auto" w:fill="F5F8FF"/>
          </w:tcPr>
          <w:p>
            <w:r>
              <w:t xml:space="preserve">AIFrustration</w:t>
            </w:r>
          </w:p>
        </w:tc>
        <w:tc>
          <w:tcPr>
            <w:tcW w:w="4200" w:type="dxa"/>
            <w:shd w:val="clear" w:color="auto" w:fill="F5F8FF"/>
          </w:tcPr>
          <w:p>
            <w:r>
              <w:t xml:space="preserve">What frustrations have you encountered with AI tools?</w:t>
            </w:r>
          </w:p>
        </w:tc>
        <w:tc>
          <w:tcPr>
            <w:tcW w:w="1500" w:type="dxa"/>
            <w:shd w:val="clear" w:color="auto" w:fill="F5F8FF"/>
          </w:tcPr>
          <w:p>
            <w:r>
              <w:t xml:space="preserve">2025 only</w:t>
            </w:r>
          </w:p>
        </w:tc>
        <w:tc>
          <w:tcPr>
            <w:tcW w:w="2460" w:type="dxa"/>
            <w:shd w:val="clear" w:color="auto" w:fill="F5F8FF"/>
          </w:tcPr>
          <w:p>
            <w:r>
              <w:t xml:space="preserve">Multi-select</w:t>
            </w:r>
          </w:p>
        </w:tc>
      </w:tr>
      <w:tr>
        <w:tc>
          <w:tcPr>
            <w:tcW w:w="1200" w:type="dxa"/>
            <w:shd w:val="clear" w:color="auto" w:fill="FFFFFF"/>
          </w:tcPr>
          <w:p>
            <w:r>
              <w:t xml:space="preserve">LearnCodeAI</w:t>
            </w:r>
          </w:p>
        </w:tc>
        <w:tc>
          <w:tcPr>
            <w:tcW w:w="4200" w:type="dxa"/>
            <w:shd w:val="clear" w:color="auto" w:fill="FFFFFF"/>
          </w:tcPr>
          <w:p>
            <w:r>
              <w:t xml:space="preserve">Did you spend time in the last year learning AI programming or AI-enabled tooling?</w:t>
            </w:r>
          </w:p>
        </w:tc>
        <w:tc>
          <w:tcPr>
            <w:tcW w:w="1500" w:type="dxa"/>
            <w:shd w:val="clear" w:color="auto" w:fill="FFFFFF"/>
          </w:tcPr>
          <w:p>
            <w:r>
              <w:t xml:space="preserve">2025 only</w:t>
            </w:r>
          </w:p>
        </w:tc>
        <w:tc>
          <w:tcPr>
            <w:tcW w:w="2460" w:type="dxa"/>
            <w:shd w:val="clear" w:color="auto" w:fill="FFFFFF"/>
          </w:tcPr>
          <w:p>
            <w:r>
              <w:t xml:space="preserve">Yes/No (binarized)</w:t>
            </w:r>
          </w:p>
        </w:tc>
      </w:tr>
      <w:tr>
        <w:tc>
          <w:tcPr>
            <w:tcW w:w="1200" w:type="dxa"/>
            <w:shd w:val="clear" w:color="auto" w:fill="F5F8FF"/>
          </w:tcPr>
          <w:p>
            <w:r>
              <w:t xml:space="preserve">AILearnHow</w:t>
            </w:r>
          </w:p>
        </w:tc>
        <w:tc>
          <w:tcPr>
            <w:tcW w:w="4200" w:type="dxa"/>
            <w:shd w:val="clear" w:color="auto" w:fill="F5F8FF"/>
          </w:tcPr>
          <w:p>
            <w:r>
              <w:t xml:space="preserve">How did you learn to code for AI in the past year?</w:t>
            </w:r>
          </w:p>
        </w:tc>
        <w:tc>
          <w:tcPr>
            <w:tcW w:w="1500" w:type="dxa"/>
            <w:shd w:val="clear" w:color="auto" w:fill="F5F8FF"/>
          </w:tcPr>
          <w:p>
            <w:r>
              <w:t xml:space="preserve">2025 only</w:t>
            </w:r>
          </w:p>
        </w:tc>
        <w:tc>
          <w:tcPr>
            <w:tcW w:w="2460" w:type="dxa"/>
            <w:shd w:val="clear" w:color="auto" w:fill="F5F8FF"/>
          </w:tcPr>
          <w:p>
            <w:r>
              <w:t xml:space="preserve">Multi-select</w:t>
            </w:r>
          </w:p>
        </w:tc>
      </w:tr>
    </w:tbl>
    <w:p>
      <w:pPr>
        <w:spacing w:before="80" w:after="240"/>
        <w:jc w:val="center"/>
      </w:pPr>
      <w:r>
        <w:rPr>
          <w:rFonts w:ascii="Arial" w:cs="Arial" w:eastAsia="Arial" w:hAnsi="Arial"/>
          <w:b w:val="false"/>
          <w:bCs w:val="false"/>
          <w:i/>
          <w:iCs/>
          <w:caps w:val="false"/>
          <w:color w:val="888888"/>
          <w:sz w:val="17"/>
          <w:szCs w:val="17"/>
        </w:rPr>
        <w:t xml:space="preserve">Table 2. Key variables across years. *AIBen in 2023, AIAcc in 2024–2025; identical question wording and Likert scale confirmed from schema files.</w:t>
      </w:r>
    </w:p>
    <w:p>
      <w:pPr>
        <w:spacing w:before="200" w:after="0"/>
      </w:pPr>
    </w:p>
    <w:p>
      <w:pPr>
        <w:pStyle w:val="Heading2"/>
        <w:spacing w:before="300" w:after="120"/>
      </w:pPr>
      <w:r>
        <w:rPr>
          <w:rFonts w:ascii="Arial" w:cs="Arial" w:eastAsia="Arial" w:hAnsi="Arial"/>
          <w:b/>
          <w:bCs/>
          <w:color w:val="1A1A1A"/>
          <w:sz w:val="28"/>
          <w:szCs w:val="28"/>
        </w:rPr>
        <w:t xml:space="preserve">3.3  Feature Engineering</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Categorical responses were encoded as ordinal numeric scores to enable distance-based clustering and regression-style classification. The core encodings are:</w:t>
      </w:r>
    </w:p>
    <w:p>
      <w:pPr>
        <w:pStyle w:val="ListParagraph"/>
        <w:numPr>
          <w:ilvl w:val="0"/>
          <w:numId w:val="2"/>
        </w:numPr>
        <w:spacing w:before="0" w:after="100" w:line="300"/>
      </w:pPr>
      <w:r>
        <w:rPr>
          <w:rFonts w:ascii="Georgia" w:cs="Georgia" w:eastAsia="Georgia" w:hAnsi="Georgia"/>
          <w:b w:val="false"/>
          <w:bCs w:val="false"/>
          <w:i w:val="false"/>
          <w:iCs w:val="false"/>
          <w:caps w:val="false"/>
          <w:color w:val="1A1A1A"/>
          <w:sz w:val="22"/>
          <w:szCs w:val="22"/>
        </w:rPr>
        <w:t xml:space="preserve">AIUsageScore (0–4): Never → Daily, encoded from AISelect responses</w:t>
      </w:r>
    </w:p>
    <w:p>
      <w:pPr>
        <w:pStyle w:val="ListParagraph"/>
        <w:numPr>
          <w:ilvl w:val="0"/>
          <w:numId w:val="2"/>
        </w:numPr>
        <w:spacing w:before="0" w:after="100" w:line="300"/>
      </w:pPr>
      <w:r>
        <w:rPr>
          <w:rFonts w:ascii="Georgia" w:cs="Georgia" w:eastAsia="Georgia" w:hAnsi="Georgia"/>
          <w:b w:val="false"/>
          <w:bCs w:val="false"/>
          <w:i w:val="false"/>
          <w:iCs w:val="false"/>
          <w:caps w:val="false"/>
          <w:color w:val="1A1A1A"/>
          <w:sz w:val="22"/>
          <w:szCs w:val="22"/>
        </w:rPr>
        <w:t xml:space="preserve">AITrustScore (0–4): Highly distrust → Highly trust, from AIAcc / AIBen</w:t>
      </w:r>
    </w:p>
    <w:p>
      <w:pPr>
        <w:pStyle w:val="ListParagraph"/>
        <w:numPr>
          <w:ilvl w:val="0"/>
          <w:numId w:val="2"/>
        </w:numPr>
        <w:spacing w:before="0" w:after="100" w:line="300"/>
      </w:pPr>
      <w:r>
        <w:rPr>
          <w:rFonts w:ascii="Georgia" w:cs="Georgia" w:eastAsia="Georgia" w:hAnsi="Georgia"/>
          <w:b w:val="false"/>
          <w:bCs w:val="false"/>
          <w:i w:val="false"/>
          <w:iCs w:val="false"/>
          <w:caps w:val="false"/>
          <w:color w:val="1A1A1A"/>
          <w:sz w:val="22"/>
          <w:szCs w:val="22"/>
        </w:rPr>
        <w:t xml:space="preserve">AISentScore (0–5): Very unfavorable → Very favorable, from AISent</w:t>
      </w:r>
    </w:p>
    <w:p>
      <w:pPr>
        <w:pStyle w:val="ListParagraph"/>
        <w:numPr>
          <w:ilvl w:val="0"/>
          <w:numId w:val="2"/>
        </w:numPr>
        <w:spacing w:before="0" w:after="100" w:line="300"/>
      </w:pPr>
      <w:r>
        <w:rPr>
          <w:rFonts w:ascii="Georgia" w:cs="Georgia" w:eastAsia="Georgia" w:hAnsi="Georgia"/>
          <w:b w:val="false"/>
          <w:bCs w:val="false"/>
          <w:i w:val="false"/>
          <w:iCs w:val="false"/>
          <w:caps w:val="false"/>
          <w:color w:val="1A1A1A"/>
          <w:sz w:val="22"/>
          <w:szCs w:val="22"/>
        </w:rPr>
        <w:t xml:space="preserve">AgentScore (0–2): No agent use → Active agent use, from AIAgents</w:t>
      </w:r>
    </w:p>
    <w:p>
      <w:pPr>
        <w:pStyle w:val="ListParagraph"/>
        <w:numPr>
          <w:ilvl w:val="0"/>
          <w:numId w:val="2"/>
        </w:numPr>
        <w:spacing w:before="0" w:after="100" w:line="300"/>
      </w:pPr>
      <w:r>
        <w:rPr>
          <w:rFonts w:ascii="Georgia" w:cs="Georgia" w:eastAsia="Georgia" w:hAnsi="Georgia"/>
          <w:b w:val="false"/>
          <w:bCs w:val="false"/>
          <w:i w:val="false"/>
          <w:iCs w:val="false"/>
          <w:caps w:val="false"/>
          <w:color w:val="1A1A1A"/>
          <w:sz w:val="22"/>
          <w:szCs w:val="22"/>
        </w:rPr>
        <w:t xml:space="preserve">AIComplexScore (0–5): Very poor → Very well at complex tasks, from AIComplex</w:t>
      </w:r>
    </w:p>
    <w:p>
      <w:pPr>
        <w:pStyle w:val="ListParagraph"/>
        <w:numPr>
          <w:ilvl w:val="0"/>
          <w:numId w:val="2"/>
        </w:numPr>
        <w:spacing w:before="0" w:after="100" w:line="300"/>
      </w:pPr>
      <w:r>
        <w:rPr>
          <w:rFonts w:ascii="Georgia" w:cs="Georgia" w:eastAsia="Georgia" w:hAnsi="Georgia"/>
          <w:b w:val="false"/>
          <w:bCs w:val="false"/>
          <w:i w:val="false"/>
          <w:iCs w:val="false"/>
          <w:caps w:val="false"/>
          <w:color w:val="1A1A1A"/>
          <w:sz w:val="22"/>
          <w:szCs w:val="22"/>
        </w:rPr>
        <w:t xml:space="preserve">LearnedAI (0/1): Binary flag derived from LearnCodeAI — "Did you spend time in the last year learning AI programming or AI-enabled tooling?" Coded 1 if respondent selected any 'Yes' response, 0 otherwise.</w:t>
      </w:r>
    </w:p>
    <w:p>
      <w:pPr>
        <w:spacing w:before="80" w:after="0"/>
      </w:pPr>
    </w:p>
    <w:p>
      <w:pPr>
        <w:spacing w:before="0" w:after="160" w:line="320"/>
        <w:jc w:val="left"/>
      </w:pPr>
      <w:r>
        <w:rPr>
          <w:rFonts w:ascii="Georgia" w:cs="Georgia" w:eastAsia="Georgia" w:hAnsi="Georgia"/>
          <w:b w:val="false"/>
          <w:bCs w:val="false"/>
          <w:i w:val="false"/>
          <w:iCs w:val="false"/>
          <w:caps w:val="false"/>
          <w:color w:val="1A1A1A"/>
          <w:sz w:val="22"/>
          <w:szCs w:val="22"/>
        </w:rPr>
        <w:t xml:space="preserve">Experience and context variables were also engineered for use in the association rule mining analysis: ExpBucket (Junior → Veteran, from WorkExp), OrgBucket (Solo/Micro → Enterprise), WorkMode (Remote/Hybrid/In-Person), and PrimaryRole (simplified from the multi-select DevType column). Note: these contextual variables appear in association rules only; the 8-feature classifier uses only the attitudinal and experience variables listed in Section 3.4. The final analysis dataset for 2025 contained 33,231 respondents with sufficient AI data for clustering and classification (median imputation applied to work experience, years coding, and job-threat perception).</w:t>
      </w:r>
    </w:p>
    <w:p>
      <w:pPr>
        <w:pStyle w:val="Heading2"/>
        <w:spacing w:before="300" w:after="120"/>
      </w:pPr>
      <w:r>
        <w:rPr>
          <w:rFonts w:ascii="Arial" w:cs="Arial" w:eastAsia="Arial" w:hAnsi="Arial"/>
          <w:b/>
          <w:bCs/>
          <w:color w:val="1A1A1A"/>
          <w:sz w:val="28"/>
          <w:szCs w:val="28"/>
        </w:rPr>
        <w:t xml:space="preserve">3.4  Analytical Methods</w:t>
      </w:r>
    </w:p>
    <w:p>
      <w:pPr>
        <w:pStyle w:val="Heading3"/>
        <w:spacing w:before="240" w:after="80"/>
      </w:pPr>
      <w:r>
        <w:rPr>
          <w:rFonts w:ascii="Arial" w:cs="Arial" w:eastAsia="Arial" w:hAnsi="Arial"/>
          <w:b/>
          <w:bCs/>
          <w:color w:val="555555"/>
          <w:sz w:val="24"/>
          <w:szCs w:val="24"/>
        </w:rPr>
        <w:t xml:space="preserve">Clustering</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We applied k-means clustering (scikit-learn) with StandardScaler normalization to six behavioral and attitudinal features: AIUsageScore, AITrustScore, AISentScore, AgentScore, AIComplexScore, and LearnedAI. Silhouette scores were computed for k=2 through k=8 with n_init=20 random restarts (seed=42). The statistical optimum was k=2 (silhouette=0.349), but k=5 was selected for analytical richness, as it produces five interpretively meaningful archetypes. This choice is transparent and justified on domain knowledge grounds; we report the silhouette scores for all k values. Cluster stability was confirmed by rerunning with three different random seeds (42, 99, 7), which produced identical silhouette scores (0.2837) and near-identical cluster size distributions. A methodological note: k-means assumes interval-scale, continuous features and Euclidean distance. The features used here are ordinal Likert-scale variables, for which equal numeric spacing is not guaranteed. More appropriate methods for ordinal data (k-prototypes, latent class analysis) were considered but not implemented, as the clustering goal was interpretive archetype generation rather than probabilistic class assignment. The archetypes should be read as useful approximations, not statistically optimal partitions. As a robustness check, we re-ran the clustering using k-modes (Huang, 1998), which treats features as categorical and uses Hamming distance — better suited to ordinal Likert data. At k=5, k-modes produced three clusters with strong correspondence to the k-means solution (Daily Integrators: ΔUsage=0.11, ΔTrust=0.25; Enthusiastic Adopters: ΔU=0.23, ΔT=0.28; Active Resisters: ΔU=0.06, ΔT=0.21) and two middle clusters with moderate-to-weak correspondence, suggesting the trust dimension is more algorithm-sensitive in the middle range. Notably, k-modes also showed no statistical elbow favoring k=2 — the cost curve decreases monotonically through k=6, confirming that the choice of k=5 for interpretive value is consistent across both algorithms.</w:t>
      </w:r>
    </w:p>
    <w:p>
      <w:pPr>
        <w:pStyle w:val="Heading3"/>
        <w:spacing w:before="240" w:after="80"/>
      </w:pPr>
      <w:r>
        <w:rPr>
          <w:rFonts w:ascii="Arial" w:cs="Arial" w:eastAsia="Arial" w:hAnsi="Arial"/>
          <w:b/>
          <w:bCs/>
          <w:color w:val="555555"/>
          <w:sz w:val="24"/>
          <w:szCs w:val="24"/>
        </w:rPr>
        <w:t xml:space="preserve">Association Rule Mining</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Transactions were constructed from discretized behavioral, attitudinal, demographic, and contextual features (usage bins, sentiment bins, trust bins, agent use, experience bucket, org size, primary role). The Apriori algorithm (mlxtend) was run with minimum support=0.07 and minimum lift=1.3, generating 1,198 rules. Rules were filtered and ranked by lift and confidence for interpretation.</w:t>
      </w:r>
    </w:p>
    <w:p>
      <w:pPr>
        <w:pStyle w:val="Heading3"/>
        <w:spacing w:before="240" w:after="80"/>
      </w:pPr>
      <w:r>
        <w:rPr>
          <w:rFonts w:ascii="Arial" w:cs="Arial" w:eastAsia="Arial" w:hAnsi="Arial"/>
          <w:b/>
          <w:bCs/>
          <w:color w:val="555555"/>
          <w:sz w:val="24"/>
          <w:szCs w:val="24"/>
        </w:rPr>
        <w:t xml:space="preserve">Classification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We trained a Random Forest classifier (200 trees, min_samples_leaf=20, seed=42) and a Decision Tree (max_depth=5, min_samples_leaf=50, seed=42) to predict daily AI adoption (AIUsageScore=4) from 8 features: AI Sentiment, Agent Engagement, Learned AI, AI Trust, AI Complexity Rating, Job Threat Perception, Years Work Experience, and Years Coding. The full clustering sample (n=33,231) was used; missing values in all features were median-imputed before fitting. A stratified 80/20 train-test split was used (seed=42; test n=6,647). Five-fold cross-validation (StratifiedKFold, seed=42) yielded 77.9% ± 0.2% accuracy across folds, confirming the stability of the accuracy estimate. Feature importances from the Random Forest were used to identify the variables most strongly associated with daily adoption in this dataset.</w:t>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4. The Three-Year Pattern: 2023–2025 (Repeated Cross-Sections)</w:t>
      </w:r>
    </w:p>
    <w:p>
      <w:pPr>
        <w:pStyle w:val="Heading2"/>
        <w:spacing w:before="300" w:after="120"/>
      </w:pPr>
      <w:r>
        <w:rPr>
          <w:rFonts w:ascii="Arial" w:cs="Arial" w:eastAsia="Arial" w:hAnsi="Arial"/>
          <w:b/>
          <w:bCs/>
          <w:color w:val="1A1A1A"/>
          <w:sz w:val="28"/>
          <w:szCs w:val="28"/>
        </w:rPr>
        <w:t xml:space="preserve">4.1  Adoption Is Accelerating</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AI adoption among surveyed developers has grown sharply and consistently across all three years of this study. The proportion currently using AI tools rose from 44.4% in 2023 to 61.8% in 2024 to 78.5% in 2025 — a 34.1 percentage point increase over two years. Note on the 2023 figure: the paper computes 39,042 / 87,973 = 44.4%, where 87,973 is the count of respondents who answered AISelect in the 2023 CSV. Stack Overflow’s official results page reports 43.78% using 89,184 as the denominator (all 2023 respondents, including 1,211 who did not answer AISelect). Both figures refer to the same 39,042 current users; the difference is denominator choice. See Appendix A.5 for full reconciliation.</w:t>
      </w:r>
    </w:p>
    <w:p>
      <w:pPr>
        <w:spacing w:before="120" w:after="0"/>
      </w:pP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EAF0FB" w:val="clear"/>
            <w:tcMar>
              <w:top w:type="dxa" w:w="160"/>
              <w:left w:type="dxa" w:w="160"/>
              <w:bottom w:type="dxa" w:w="160"/>
              <w:right w:type="dxa" w:w="160"/>
            </w:tcMar>
          </w:tcPr>
          <w:p>
            <w:pPr>
              <w:spacing w:before="0" w:after="40"/>
              <w:jc w:val="center"/>
            </w:pPr>
            <w:r>
              <w:rPr>
                <w:rFonts w:ascii="Arial" w:cs="Arial" w:eastAsia="Arial" w:hAnsi="Arial"/>
                <w:b/>
                <w:bCs/>
                <w:i w:val="false"/>
                <w:iCs w:val="false"/>
                <w:caps w:val="false"/>
                <w:color w:val="2E5BA8"/>
                <w:sz w:val="52"/>
                <w:szCs w:val="52"/>
              </w:rPr>
              <w:t xml:space="preserve">44.4%</w:t>
            </w:r>
          </w:p>
          <w:p>
            <w:pPr>
              <w:spacing w:before="0" w:after="40"/>
              <w:jc w:val="center"/>
            </w:pPr>
            <w:r>
              <w:rPr>
                <w:rFonts w:ascii="Arial" w:cs="Arial" w:eastAsia="Arial" w:hAnsi="Arial"/>
                <w:b/>
                <w:bCs/>
                <w:i w:val="false"/>
                <w:iCs w:val="false"/>
                <w:caps w:val="false"/>
                <w:color w:val="1A1A1A"/>
                <w:sz w:val="18"/>
                <w:szCs w:val="18"/>
              </w:rPr>
              <w:t xml:space="preserve">2023 Adoption</w:t>
            </w:r>
          </w:p>
          <w:p>
            <w:pPr>
              <w:spacing w:before="0" w:after="0"/>
              <w:jc w:val="center"/>
            </w:pPr>
            <w:r>
              <w:rPr>
                <w:rFonts w:ascii="Arial" w:cs="Arial" w:eastAsia="Arial" w:hAnsi="Arial"/>
                <w:b w:val="false"/>
                <w:bCs w:val="false"/>
                <w:i/>
                <w:iCs/>
                <w:caps w:val="false"/>
                <w:color w:val="888888"/>
                <w:sz w:val="16"/>
                <w:szCs w:val="16"/>
              </w:rPr>
              <w:t xml:space="preserve">39,042 / 87,973 answered</w:t>
            </w:r>
          </w:p>
        </w:tc>
        <w:tc>
          <w:tcPr>
            <w:tcW w:type="dxa" w:w="2340"/>
            <w:tcBorders>
              <w:top w:val="single" w:color="CCCCCC" w:sz="4"/>
              <w:left w:val="single" w:color="CCCCCC" w:sz="4"/>
              <w:bottom w:val="single" w:color="CCCCCC" w:sz="4"/>
              <w:right w:val="single" w:color="CCCCCC" w:sz="4"/>
            </w:tcBorders>
            <w:shd w:fill="EAF0FB" w:val="clear"/>
            <w:tcMar>
              <w:top w:type="dxa" w:w="160"/>
              <w:left w:type="dxa" w:w="160"/>
              <w:bottom w:type="dxa" w:w="160"/>
              <w:right w:type="dxa" w:w="160"/>
            </w:tcMar>
          </w:tcPr>
          <w:p>
            <w:pPr>
              <w:spacing w:before="0" w:after="40"/>
              <w:jc w:val="center"/>
            </w:pPr>
            <w:r>
              <w:rPr>
                <w:rFonts w:ascii="Arial" w:cs="Arial" w:eastAsia="Arial" w:hAnsi="Arial"/>
                <w:b/>
                <w:bCs/>
                <w:i w:val="false"/>
                <w:iCs w:val="false"/>
                <w:caps w:val="false"/>
                <w:color w:val="2E5BA8"/>
                <w:sz w:val="52"/>
                <w:szCs w:val="52"/>
              </w:rPr>
              <w:t xml:space="preserve">61.8%</w:t>
            </w:r>
          </w:p>
          <w:p>
            <w:pPr>
              <w:spacing w:before="0" w:after="40"/>
              <w:jc w:val="center"/>
            </w:pPr>
            <w:r>
              <w:rPr>
                <w:rFonts w:ascii="Arial" w:cs="Arial" w:eastAsia="Arial" w:hAnsi="Arial"/>
                <w:b/>
                <w:bCs/>
                <w:i w:val="false"/>
                <w:iCs w:val="false"/>
                <w:caps w:val="false"/>
                <w:color w:val="1A1A1A"/>
                <w:sz w:val="18"/>
                <w:szCs w:val="18"/>
              </w:rPr>
              <w:t xml:space="preserve">2024 Adoption</w:t>
            </w:r>
          </w:p>
          <w:p>
            <w:pPr>
              <w:spacing w:before="0" w:after="0"/>
              <w:jc w:val="center"/>
            </w:pPr>
            <w:r>
              <w:rPr>
                <w:rFonts w:ascii="Arial" w:cs="Arial" w:eastAsia="Arial" w:hAnsi="Arial"/>
                <w:b w:val="false"/>
                <w:bCs w:val="false"/>
                <w:i/>
                <w:iCs/>
                <w:caps w:val="false"/>
                <w:color w:val="888888"/>
                <w:sz w:val="16"/>
                <w:szCs w:val="16"/>
              </w:rPr>
              <w:t xml:space="preserve">37,662 / 60,907 answered</w:t>
            </w:r>
          </w:p>
        </w:tc>
        <w:tc>
          <w:tcPr>
            <w:tcW w:type="dxa" w:w="2340"/>
            <w:tcBorders>
              <w:top w:val="single" w:color="CCCCCC" w:sz="4"/>
              <w:left w:val="single" w:color="CCCCCC" w:sz="4"/>
              <w:bottom w:val="single" w:color="CCCCCC" w:sz="4"/>
              <w:right w:val="single" w:color="CCCCCC" w:sz="4"/>
            </w:tcBorders>
            <w:shd w:fill="EAF0FB" w:val="clear"/>
            <w:tcMar>
              <w:top w:type="dxa" w:w="160"/>
              <w:left w:type="dxa" w:w="160"/>
              <w:bottom w:type="dxa" w:w="160"/>
              <w:right w:type="dxa" w:w="160"/>
            </w:tcMar>
          </w:tcPr>
          <w:p>
            <w:pPr>
              <w:spacing w:before="0" w:after="40"/>
              <w:jc w:val="center"/>
            </w:pPr>
            <w:r>
              <w:rPr>
                <w:rFonts w:ascii="Arial" w:cs="Arial" w:eastAsia="Arial" w:hAnsi="Arial"/>
                <w:b/>
                <w:bCs/>
                <w:i w:val="false"/>
                <w:iCs w:val="false"/>
                <w:caps w:val="false"/>
                <w:color w:val="2E5BA8"/>
                <w:sz w:val="52"/>
                <w:szCs w:val="52"/>
              </w:rPr>
              <w:t xml:space="preserve">78.5%</w:t>
            </w:r>
          </w:p>
          <w:p>
            <w:pPr>
              <w:spacing w:before="0" w:after="40"/>
              <w:jc w:val="center"/>
            </w:pPr>
            <w:r>
              <w:rPr>
                <w:rFonts w:ascii="Arial" w:cs="Arial" w:eastAsia="Arial" w:hAnsi="Arial"/>
                <w:b/>
                <w:bCs/>
                <w:i w:val="false"/>
                <w:iCs w:val="false"/>
                <w:caps w:val="false"/>
                <w:color w:val="1A1A1A"/>
                <w:sz w:val="18"/>
                <w:szCs w:val="18"/>
              </w:rPr>
              <w:t xml:space="preserve">2025 Adoption</w:t>
            </w:r>
          </w:p>
          <w:p>
            <w:pPr>
              <w:spacing w:before="0" w:after="0"/>
              <w:jc w:val="center"/>
            </w:pPr>
            <w:r>
              <w:rPr>
                <w:rFonts w:ascii="Arial" w:cs="Arial" w:eastAsia="Arial" w:hAnsi="Arial"/>
                <w:b w:val="false"/>
                <w:bCs w:val="false"/>
                <w:i/>
                <w:iCs/>
                <w:caps w:val="false"/>
                <w:color w:val="888888"/>
                <w:sz w:val="16"/>
                <w:szCs w:val="16"/>
              </w:rPr>
              <w:t xml:space="preserve">26,469 / 33,720 answered</w:t>
            </w:r>
          </w:p>
        </w:tc>
        <w:tc>
          <w:tcPr>
            <w:tcW w:type="dxa" w:w="2340"/>
            <w:tcBorders>
              <w:top w:val="single" w:color="CCCCCC" w:sz="4"/>
              <w:left w:val="single" w:color="CCCCCC" w:sz="4"/>
              <w:bottom w:val="single" w:color="CCCCCC" w:sz="4"/>
              <w:right w:val="single" w:color="CCCCCC" w:sz="4"/>
            </w:tcBorders>
            <w:shd w:fill="EAF0FB" w:val="clear"/>
            <w:tcMar>
              <w:top w:type="dxa" w:w="160"/>
              <w:left w:type="dxa" w:w="160"/>
              <w:bottom w:type="dxa" w:w="160"/>
              <w:right w:type="dxa" w:w="160"/>
            </w:tcMar>
          </w:tcPr>
          <w:p>
            <w:pPr>
              <w:spacing w:before="0" w:after="40"/>
              <w:jc w:val="center"/>
            </w:pPr>
            <w:r>
              <w:rPr>
                <w:rFonts w:ascii="Arial" w:cs="Arial" w:eastAsia="Arial" w:hAnsi="Arial"/>
                <w:b/>
                <w:bCs/>
                <w:i w:val="false"/>
                <w:iCs w:val="false"/>
                <w:caps w:val="false"/>
                <w:color w:val="2E5BA8"/>
                <w:sz w:val="52"/>
                <w:szCs w:val="52"/>
              </w:rPr>
              <w:t xml:space="preserve">47.1%</w:t>
            </w:r>
          </w:p>
          <w:p>
            <w:pPr>
              <w:spacing w:before="0" w:after="40"/>
              <w:jc w:val="center"/>
            </w:pPr>
            <w:r>
              <w:rPr>
                <w:rFonts w:ascii="Arial" w:cs="Arial" w:eastAsia="Arial" w:hAnsi="Arial"/>
                <w:b/>
                <w:bCs/>
                <w:i w:val="false"/>
                <w:iCs w:val="false"/>
                <w:caps w:val="false"/>
                <w:color w:val="1A1A1A"/>
                <w:sz w:val="18"/>
                <w:szCs w:val="18"/>
              </w:rPr>
              <w:t xml:space="preserve">2025 — Daily Use</w:t>
            </w:r>
          </w:p>
          <w:p>
            <w:pPr>
              <w:spacing w:before="0" w:after="0"/>
              <w:jc w:val="center"/>
            </w:pPr>
            <w:r>
              <w:rPr>
                <w:rFonts w:ascii="Arial" w:cs="Arial" w:eastAsia="Arial" w:hAnsi="Arial"/>
                <w:b w:val="false"/>
                <w:bCs w:val="false"/>
                <w:i/>
                <w:iCs/>
                <w:caps w:val="false"/>
                <w:color w:val="888888"/>
                <w:sz w:val="16"/>
                <w:szCs w:val="16"/>
              </w:rPr>
              <w:t xml:space="preserve">15,883 respondents</w:t>
            </w:r>
          </w:p>
        </w:tc>
      </w:tr>
    </w:tbl>
    <w:p>
      <w:pPr>
        <w:spacing w:before="160" w:after="0"/>
      </w:pP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2025 figure is particularly notable: not only is 78.5% using AI tools, but 47.1% are doing so daily — nearly one in two surveyed developers has integrated AI into their everyday workflow. Note on denominators: Stack Overflow's published press materials cite 51% daily use, a figure filtered to professional developers (MainBranch = 'developer by profession'). Among those professionals who answered the AI usage question (n=26,045 of 37,467 total professional developers), this dataset yields 50.6% daily use — consistent with SO's published figure. The n=37,467 is total professional developers in the survey; the AI-question denominator is the smaller 26,045. A further 17.7% use AI tools weekly. Only 16.2% of 2025 respondents say they have no plans to use AI tools, down from 29.8% in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CCA800" w:sz="4"/>
              <w:left w:val="single" w:color="CCA800" w:sz="4"/>
              <w:bottom w:val="single" w:color="CCA800" w:sz="4"/>
              <w:right w:val="single" w:color="CCA800" w:sz="4"/>
            </w:tcBorders>
            <w:shd w:fill="FFF3CD" w:val="clear"/>
            <w:tcMar>
              <w:top w:type="dxa" w:w="100"/>
              <w:left w:type="dxa" w:w="200"/>
              <w:bottom w:type="dxa" w:w="100"/>
              <w:right w:type="dxa" w:w="200"/>
            </w:tcMar>
          </w:tcPr>
          <w:p>
            <w:pPr>
              <w:spacing w:before="0" w:after="0"/>
            </w:pPr>
            <w:r>
              <w:rPr>
                <w:rFonts w:ascii="Arial" w:cs="Arial" w:eastAsia="Arial" w:hAnsi="Arial"/>
                <w:b/>
                <w:bCs/>
                <w:i w:val="false"/>
                <w:iCs w:val="false"/>
                <w:caps w:val="false"/>
                <w:color w:val="7D5900"/>
                <w:sz w:val="19"/>
                <w:szCs w:val="19"/>
              </w:rPr>
              <w:t xml:space="preserve">Methodological Note: The AISelect question changed wording in 2025. In 2023 and 2024 it asked for a binary Yes/No response; in 2025 it introduced frequency granularity (daily/weekly/monthly). The "currently using" figures across years (44.4%, 61.8%, 78.5%) remain directionally comparable, but the 2025 figure may slightly overestimate adoption relative to a consistent binary measure. The trend direction is consistent across both interpretations; treat the absolute 2025 number with this caveat noted.</w:t>
            </w:r>
            <w:r>
              <w:rPr>
                <w:rFonts w:ascii="Arial" w:cs="Arial" w:eastAsia="Arial" w:hAnsi="Arial"/>
                <w:b w:val="false"/>
                <w:bCs w:val="false"/>
                <w:i w:val="false"/>
                <w:iCs w:val="false"/>
                <w:caps w:val="false"/>
                <w:color w:val="7D5900"/>
                <w:sz w:val="19"/>
                <w:szCs w:val="19"/>
              </w:rPr>
              <w:t xml:space="preserve"/>
            </w:r>
          </w:p>
        </w:tc>
      </w:tr>
    </w:tbl>
    <w:p>
      <w:pPr>
        <w:spacing w:before="160" w:after="0"/>
      </w:pPr>
    </w:p>
    <w:p>
      <w:pPr>
        <w:pStyle w:val="Heading2"/>
        <w:spacing w:before="300" w:after="120"/>
      </w:pPr>
      <w:r>
        <w:rPr>
          <w:rFonts w:ascii="Arial" w:cs="Arial" w:eastAsia="Arial" w:hAnsi="Arial"/>
          <w:b/>
          <w:bCs/>
          <w:color w:val="1A1A1A"/>
          <w:sz w:val="28"/>
          <w:szCs w:val="28"/>
        </w:rPr>
        <w:t xml:space="preserve">4.2  The Adoption Paradox: Sentiment and Trust Are Going the Other Way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Against this backdrop of surging adoption sits one of the most striking findings in this dataset. In the same period that AI usage nearly doubled, favorable sentiment dropped 16.6 percentage points, negative sentiment rose by 17.2 percentage points (from 3.2% to 20.4%), and the proportion who "highly distrust" AI output more than tripled.</w:t>
      </w:r>
    </w:p>
    <w:p>
      <w:pPr>
        <w:spacing w:before="120" w:after="0"/>
      </w:pPr>
    </w:p>
    <w:tbl>
      <w:tblPr>
        <w:tblW w:w="9360" w:type="dxa"/>
        <w:tblBorders>
          <w:top w:val="single" w:sz="4" w:color="C5CAD6"/>
          <w:left w:val="single" w:sz="4" w:color="C5CAD6"/>
          <w:bottom w:val="single" w:sz="4" w:color="C5CAD6"/>
          <w:right w:val="single" w:sz="4" w:color="C5CAD6"/>
          <w:insideH w:val="single" w:sz="4" w:color="C5CAD6"/>
          <w:insideV w:val="single" w:sz="4" w:color="C5CAD6"/>
        </w:tblBorders>
      </w:tblPr>
      <w:tblGrid>
        <w:gridCol w:w="3000"/>
        <w:gridCol w:w="1400"/>
        <w:gridCol w:w="1400"/>
        <w:gridCol w:w="1800"/>
        <w:gridCol w:w="1760"/>
      </w:tblGrid>
      <w:tr>
        <w:trPr>
          <w:tblHeader/>
        </w:trPr>
        <w:tc>
          <w:tcPr>
            <w:tcW w:w="3000" w:type="dxa"/>
            <w:shd w:val="clear" w:color="auto" w:fill="2E5BA8"/>
          </w:tcPr>
          <w:p>
            <w:r>
              <w:rPr>
                <w:b/>
                <w:color w:val="FFFFFF"/>
              </w:rPr>
              <w:t xml:space="preserve">Metric</w:t>
            </w:r>
          </w:p>
        </w:tc>
        <w:tc>
          <w:tcPr>
            <w:tcW w:w="1400" w:type="dxa"/>
            <w:shd w:val="clear" w:color="auto" w:fill="2E5BA8"/>
          </w:tcPr>
          <w:p>
            <w:r>
              <w:rPr>
                <w:b/>
                <w:color w:val="FFFFFF"/>
              </w:rPr>
              <w:t xml:space="preserve">2023</w:t>
            </w:r>
          </w:p>
        </w:tc>
        <w:tc>
          <w:tcPr>
            <w:tcW w:w="1400" w:type="dxa"/>
            <w:shd w:val="clear" w:color="auto" w:fill="2E5BA8"/>
          </w:tcPr>
          <w:p>
            <w:r>
              <w:rPr>
                <w:b/>
                <w:color w:val="FFFFFF"/>
              </w:rPr>
              <w:t xml:space="preserve">2024</w:t>
            </w:r>
          </w:p>
        </w:tc>
        <w:tc>
          <w:tcPr>
            <w:tcW w:w="1800" w:type="dxa"/>
            <w:shd w:val="clear" w:color="auto" w:fill="2E5BA8"/>
          </w:tcPr>
          <w:p>
            <w:r>
              <w:rPr>
                <w:b/>
                <w:color w:val="FFFFFF"/>
              </w:rPr>
              <w:t xml:space="preserve">2025</w:t>
            </w:r>
          </w:p>
        </w:tc>
        <w:tc>
          <w:tcPr>
            <w:tcW w:w="1760" w:type="dxa"/>
            <w:shd w:val="clear" w:color="auto" w:fill="2E5BA8"/>
          </w:tcPr>
          <w:p>
            <w:r>
              <w:rPr>
                <w:b/>
                <w:color w:val="FFFFFF"/>
              </w:rPr>
              <w:t xml:space="preserve">Change 23→25</w:t>
            </w:r>
          </w:p>
        </w:tc>
      </w:tr>
      <w:tr>
        <w:tc>
          <w:tcPr>
            <w:tcW w:w="3000" w:type="dxa"/>
            <w:shd w:val="clear" w:color="auto" w:fill="F5F8FF"/>
          </w:tcPr>
          <w:p>
            <w:r>
              <w:t xml:space="preserve">Positive sentiment</w:t>
            </w:r>
          </w:p>
        </w:tc>
        <w:tc>
          <w:tcPr>
            <w:tcW w:w="1400" w:type="dxa"/>
            <w:shd w:val="clear" w:color="auto" w:fill="F5F8FF"/>
          </w:tcPr>
          <w:p>
            <w:r>
              <w:t xml:space="preserve">76.3%</w:t>
            </w:r>
          </w:p>
        </w:tc>
        <w:tc>
          <w:tcPr>
            <w:tcW w:w="1400" w:type="dxa"/>
            <w:shd w:val="clear" w:color="auto" w:fill="F5F8FF"/>
          </w:tcPr>
          <w:p>
            <w:r>
              <w:t xml:space="preserve">72.0%</w:t>
            </w:r>
          </w:p>
        </w:tc>
        <w:tc>
          <w:tcPr>
            <w:tcW w:w="1800" w:type="dxa"/>
            <w:shd w:val="clear" w:color="auto" w:fill="F5F8FF"/>
          </w:tcPr>
          <w:p>
            <w:r>
              <w:t xml:space="preserve">59.7%</w:t>
            </w:r>
          </w:p>
        </w:tc>
        <w:tc>
          <w:tcPr>
            <w:tcW w:w="1760" w:type="dxa"/>
            <w:shd w:val="clear" w:color="auto" w:fill="F5F8FF"/>
          </w:tcPr>
          <w:p>
            <w:r>
              <w:t xml:space="preserve">−16.6pp</w:t>
            </w:r>
          </w:p>
        </w:tc>
      </w:tr>
      <w:tr>
        <w:tc>
          <w:tcPr>
            <w:tcW w:w="3000" w:type="dxa"/>
            <w:shd w:val="clear" w:color="auto" w:fill="FFFFFF"/>
          </w:tcPr>
          <w:p>
            <w:r>
              <w:t xml:space="preserve">Negative sentiment</w:t>
            </w:r>
          </w:p>
        </w:tc>
        <w:tc>
          <w:tcPr>
            <w:tcW w:w="1400" w:type="dxa"/>
            <w:shd w:val="clear" w:color="auto" w:fill="FFFFFF"/>
          </w:tcPr>
          <w:p>
            <w:r>
              <w:t xml:space="preserve">3.2%</w:t>
            </w:r>
          </w:p>
        </w:tc>
        <w:tc>
          <w:tcPr>
            <w:tcW w:w="1400" w:type="dxa"/>
            <w:shd w:val="clear" w:color="auto" w:fill="FFFFFF"/>
          </w:tcPr>
          <w:p>
            <w:r>
              <w:t xml:space="preserve">6.4%</w:t>
            </w:r>
          </w:p>
        </w:tc>
        <w:tc>
          <w:tcPr>
            <w:tcW w:w="1800" w:type="dxa"/>
            <w:shd w:val="clear" w:color="auto" w:fill="FFFFFF"/>
          </w:tcPr>
          <w:p>
            <w:r>
              <w:t xml:space="preserve">20.4%</w:t>
            </w:r>
          </w:p>
        </w:tc>
        <w:tc>
          <w:tcPr>
            <w:tcW w:w="1760" w:type="dxa"/>
            <w:shd w:val="clear" w:color="auto" w:fill="FFFFFF"/>
          </w:tcPr>
          <w:p>
            <w:r>
              <w:t xml:space="preserve">+17.2pp</w:t>
            </w:r>
          </w:p>
        </w:tc>
      </w:tr>
      <w:tr>
        <w:tc>
          <w:tcPr>
            <w:tcW w:w="3000" w:type="dxa"/>
            <w:shd w:val="clear" w:color="auto" w:fill="F5F8FF"/>
          </w:tcPr>
          <w:p>
            <w:r>
              <w:t xml:space="preserve">High trust (some/high)</w:t>
            </w:r>
          </w:p>
        </w:tc>
        <w:tc>
          <w:tcPr>
            <w:tcW w:w="1400" w:type="dxa"/>
            <w:shd w:val="clear" w:color="auto" w:fill="F5F8FF"/>
          </w:tcPr>
          <w:p>
            <w:r>
              <w:t xml:space="preserve">42.2%</w:t>
            </w:r>
          </w:p>
        </w:tc>
        <w:tc>
          <w:tcPr>
            <w:tcW w:w="1400" w:type="dxa"/>
            <w:shd w:val="clear" w:color="auto" w:fill="F5F8FF"/>
          </w:tcPr>
          <w:p>
            <w:r>
              <w:t xml:space="preserve">43.0%</w:t>
            </w:r>
          </w:p>
        </w:tc>
        <w:tc>
          <w:tcPr>
            <w:tcW w:w="1800" w:type="dxa"/>
            <w:shd w:val="clear" w:color="auto" w:fill="F5F8FF"/>
          </w:tcPr>
          <w:p>
            <w:r>
              <w:t xml:space="preserve">32.8% [39.3%*]</w:t>
            </w:r>
          </w:p>
        </w:tc>
        <w:tc>
          <w:tcPr>
            <w:tcW w:w="1760" w:type="dxa"/>
            <w:shd w:val="clear" w:color="auto" w:fill="F5F8FF"/>
          </w:tcPr>
          <w:p>
            <w:r>
              <w:t xml:space="preserve">−9.4pp [−3.7pp*]</w:t>
            </w:r>
          </w:p>
        </w:tc>
      </w:tr>
      <w:tr>
        <w:tc>
          <w:tcPr>
            <w:tcW w:w="3000" w:type="dxa"/>
            <w:shd w:val="clear" w:color="auto" w:fill="FFFFFF"/>
          </w:tcPr>
          <w:p>
            <w:r>
              <w:t xml:space="preserve">High distrust</w:t>
            </w:r>
          </w:p>
        </w:tc>
        <w:tc>
          <w:tcPr>
            <w:tcW w:w="1400" w:type="dxa"/>
            <w:shd w:val="clear" w:color="auto" w:fill="FFFFFF"/>
          </w:tcPr>
          <w:p>
            <w:r>
              <w:t xml:space="preserve">27.2%</w:t>
            </w:r>
          </w:p>
        </w:tc>
        <w:tc>
          <w:tcPr>
            <w:tcW w:w="1400" w:type="dxa"/>
            <w:shd w:val="clear" w:color="auto" w:fill="FFFFFF"/>
          </w:tcPr>
          <w:p>
            <w:r>
              <w:t xml:space="preserve">30.4%</w:t>
            </w:r>
          </w:p>
        </w:tc>
        <w:tc>
          <w:tcPr>
            <w:tcW w:w="1800" w:type="dxa"/>
            <w:shd w:val="clear" w:color="auto" w:fill="FFFFFF"/>
          </w:tcPr>
          <w:p>
            <w:r>
              <w:t xml:space="preserve">45.7% [37.3%*]</w:t>
            </w:r>
          </w:p>
        </w:tc>
        <w:tc>
          <w:tcPr>
            <w:tcW w:w="1760" w:type="dxa"/>
            <w:shd w:val="clear" w:color="auto" w:fill="FFFFFF"/>
          </w:tcPr>
          <w:p>
            <w:r>
              <w:t xml:space="preserve">+18.5pp [+7.0pp*]</w:t>
            </w:r>
          </w:p>
        </w:tc>
      </w:tr>
      <w:tr>
        <w:tc>
          <w:tcPr>
            <w:tcW w:w="3000" w:type="dxa"/>
            <w:shd w:val="clear" w:color="auto" w:fill="F5F8FF"/>
          </w:tcPr>
          <w:p>
            <w:r>
              <w:t xml:space="preserve">"Highly distrust" only</w:t>
            </w:r>
          </w:p>
        </w:tc>
        <w:tc>
          <w:tcPr>
            <w:tcW w:w="1400" w:type="dxa"/>
            <w:shd w:val="clear" w:color="auto" w:fill="F5F8FF"/>
          </w:tcPr>
          <w:p>
            <w:r>
              <w:t xml:space="preserve">5.5%</w:t>
            </w:r>
          </w:p>
        </w:tc>
        <w:tc>
          <w:tcPr>
            <w:tcW w:w="1400" w:type="dxa"/>
            <w:shd w:val="clear" w:color="auto" w:fill="F5F8FF"/>
          </w:tcPr>
          <w:p>
            <w:r>
              <w:t xml:space="preserve">7.9%</w:t>
            </w:r>
          </w:p>
        </w:tc>
        <w:tc>
          <w:tcPr>
            <w:tcW w:w="1800" w:type="dxa"/>
            <w:shd w:val="clear" w:color="auto" w:fill="F5F8FF"/>
          </w:tcPr>
          <w:p>
            <w:r>
              <w:t xml:space="preserve">19.6%</w:t>
            </w:r>
          </w:p>
        </w:tc>
        <w:tc>
          <w:tcPr>
            <w:tcW w:w="1760" w:type="dxa"/>
            <w:shd w:val="clear" w:color="auto" w:fill="F5F8FF"/>
          </w:tcPr>
          <w:p>
            <w:r>
              <w:t xml:space="preserve">+14.1pp</w:t>
            </w:r>
          </w:p>
        </w:tc>
      </w:tr>
      <w:tr>
        <w:tc>
          <w:tcPr>
            <w:tcW w:w="3000" w:type="dxa"/>
            <w:shd w:val="clear" w:color="auto" w:fill="FFFFFF"/>
          </w:tcPr>
          <w:p>
            <w:r>
              <w:t xml:space="preserve">Job threat: Yes</w:t>
            </w:r>
          </w:p>
        </w:tc>
        <w:tc>
          <w:tcPr>
            <w:tcW w:w="1400" w:type="dxa"/>
            <w:shd w:val="clear" w:color="auto" w:fill="FFFFFF"/>
          </w:tcPr>
          <w:p>
            <w:r>
              <w:t xml:space="preserve">N/A</w:t>
            </w:r>
          </w:p>
        </w:tc>
        <w:tc>
          <w:tcPr>
            <w:tcW w:w="1400" w:type="dxa"/>
            <w:shd w:val="clear" w:color="auto" w:fill="FFFFFF"/>
          </w:tcPr>
          <w:p>
            <w:r>
              <w:t xml:space="preserve">12.1%</w:t>
            </w:r>
          </w:p>
        </w:tc>
        <w:tc>
          <w:tcPr>
            <w:tcW w:w="1800" w:type="dxa"/>
            <w:shd w:val="clear" w:color="auto" w:fill="FFFFFF"/>
          </w:tcPr>
          <w:p>
            <w:r>
              <w:t xml:space="preserve">15.0%</w:t>
            </w:r>
          </w:p>
        </w:tc>
        <w:tc>
          <w:tcPr>
            <w:tcW w:w="1760" w:type="dxa"/>
            <w:shd w:val="clear" w:color="auto" w:fill="FFFFFF"/>
          </w:tcPr>
          <w:p>
            <w:r>
              <w:t xml:space="preserve">+2.9pp (24–25)</w:t>
            </w:r>
          </w:p>
        </w:tc>
      </w:tr>
    </w:tbl>
    <w:p>
      <w:pPr>
        <w:spacing w:before="80" w:after="240"/>
        <w:jc w:val="center"/>
      </w:pPr>
      <w:r>
        <w:rPr>
          <w:rFonts w:ascii="Arial" w:cs="Arial" w:eastAsia="Arial" w:hAnsi="Arial"/>
          <w:b w:val="false"/>
          <w:bCs w:val="false"/>
          <w:i/>
          <w:iCs/>
          <w:caps w:val="false"/>
          <w:color w:val="888888"/>
          <w:sz w:val="17"/>
          <w:szCs w:val="17"/>
        </w:rPr>
        <w:t xml:space="preserve">Table 3. Trust, sentiment, and threat perception across years. Trust (2023) is from AIBen; Trust (2024–2025) from AIAcc — identical question wording confirmed.</w:t>
      </w:r>
    </w:p>
    <w:p>
      <w:pPr>
        <w:spacing w:before="200" w:after="0"/>
      </w:pPr>
    </w:p>
    <w:tbl>
      <w:tblPr>
        <w:tblW w:type="dxa" w:w="9360"/>
        <w:tblBorders>
          <w:top w:val="single" w:color="2E5BA8" w:sz="12"/>
          <w:left w:val="none" w:sz="0"/>
          <w:bottom w:val="single" w:color="2E5BA8" w:sz="12"/>
          <w:right w:val="none" w:sz="0"/>
          <w:insideH w:val="single" w:color="auto" w:sz="4"/>
          <w:insideV w:val="single" w:color="auto" w:sz="4"/>
        </w:tblBorders>
      </w:tblPr>
      <w:tblGrid>
        <w:gridCol w:w="9360"/>
      </w:tblGrid>
      <w:tr>
        <w:trPr>
          <w:tblHeader/>
        </w:trPr>
        <w:tc>
          <w:tcPr>
            <w:tcW w:type="dxa" w:w="9360"/>
            <w:tcBorders>
              <w:top w:val="none" w:sz="0"/>
              <w:left w:val="none" w:sz="0"/>
              <w:bottom w:val="none" w:sz="0"/>
              <w:right w:val="none" w:sz="0"/>
            </w:tcBorders>
            <w:shd w:fill="EAF0FB" w:val="clear"/>
            <w:tcMar>
              <w:top w:type="dxa" w:w="180"/>
              <w:left w:type="dxa" w:w="360"/>
              <w:bottom w:type="dxa" w:w="180"/>
              <w:right w:type="dxa" w:w="360"/>
            </w:tcMar>
          </w:tcPr>
          <w:p>
            <w:pPr>
              <w:spacing w:before="0" w:after="0"/>
              <w:jc w:val="center"/>
            </w:pPr>
            <w:r>
              <w:rPr>
                <w:rFonts w:ascii="Georgia" w:cs="Georgia" w:eastAsia="Georgia" w:hAnsi="Georgia"/>
                <w:b w:val="false"/>
                <w:bCs w:val="false"/>
                <w:i/>
                <w:iCs/>
                <w:caps w:val="false"/>
                <w:color w:val="2E5BA8"/>
                <w:sz w:val="26"/>
                <w:szCs w:val="26"/>
              </w:rPr>
              <w:t xml:space="preserve">"More developers are using AI than ever before, while trust and enthusiasm are both sharply declining. These trends are not in tension — they are directionally consistent with a pattern in which adoption accompanies disillusionment, though cross-sectional data cannot establish causal direction."</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486400" cy="3010784"/>
                  <wp:effectExtent l="0" t="0" r="0" b="0"/>
                  <wp:docPr id="901" name="fig1_paradox.png" descr="Line chart showing AI adoption rising from 44.4% in 2023 to 78.5% in 2025 while positive sentiment falls from 76.3% to 59.7% and high distrust rises from 27.2% to 45.7%"/>
                  <wp:cNvGraphicFramePr/>
                  <a:graphic>
                    <a:graphicData uri="http://schemas.openxmlformats.org/drawingml/2006/picture">
                      <pic:pic>
                        <pic:nvPicPr>
                          <pic:cNvPr id="0" name="fig1_paradox.png"/>
                          <pic:cNvPicPr/>
                        </pic:nvPicPr>
                        <pic:blipFill>
                          <a:blip r:embed="rId101"/>
                          <a:stretch>
                            <a:fillRect/>
                          </a:stretch>
                        </pic:blipFill>
                        <pic:spPr>
                          <a:xfrm>
                            <a:off x="0" y="0"/>
                            <a:ext cx="5486400" cy="3010784"/>
                          </a:xfrm>
                          <a:prstGeom prst="rect">
                            <a:avLst/>
                          </a:prstGeom>
                        </pic:spPr>
                      </pic:pic>
                    </a:graphicData>
                  </a:graphic>
                </wp:inline>
              </w:drawing>
            </w:r>
          </w:p>
        </w:tc>
      </w:tr>
    </w:tbl>
    <w:p>
      <w:pPr>
        <w:spacing w:before="0" w:after="160" w:line="320"/>
        <w:jc w:val="left"/>
      </w:pPr>
      <w:r>
        <w:rPr>
          <w:rFonts w:ascii="Georgia" w:cs="Georgia" w:eastAsia="Georgia" w:hAnsi="Georgia"/>
          <w:b w:val="false"/>
          <w:bCs w:val="false"/>
          <w:i w:val="false"/>
          <w:iCs w:val="false"/>
          <w:caps w:val="false"/>
          <w:color w:val="1A1A1A"/>
          <w:sz w:val="22"/>
          <w:szCs w:val="22"/>
        </w:rPr>
        <w:t xml:space="preserve">We interpret this pattern as follows. Rapid, under-supported adoption — accompanied by organizational mandates, professional pressure, and tool accessibility rather than structured onboarding — is correlated with large numbers of developers landing in the "occasional user" zone: enough exposure to encounter AI's limitations, not enough practice to develop the competence and workflow integration associated with confidence. The cross-sectional data cannot confirm this interpretation, but it is consistent with a pattern in which disappointed early adopters form skeptical, stable positions. We return to this in Section 7.</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trust picture is particularly stark. The 2023 and 2024 trust questions were routed to current AI users only; in 2025 they were routed to all AISelect respondents including non-users, who show dramatically lower trust. For a fair year-over-year comparison, the primary figure should be the harmonized user-only 2025 cut: 39.3% high trust and 37.3% high distrust among current users (n=26,126) — still a meaningful decline from 2024 (43.0% / 30.4%), but less dramatic than the full-denominator headline. The full-denominator 2025 figures (32.8% high trust, 45.7% high distrust) are also shown in Table 3, but should be read with the routing caveat in mind. The direction is robust; the magnitude should be read against this denominator caveat.</w:t>
      </w:r>
    </w:p>
    <w:p>
      <w:pPr>
        <w:pStyle w:val="Heading2"/>
        <w:spacing w:before="300" w:after="120"/>
      </w:pPr>
      <w:r>
        <w:rPr>
          <w:rFonts w:ascii="Arial" w:cs="Arial" w:eastAsia="Arial" w:hAnsi="Arial"/>
          <w:b/>
          <w:bCs/>
          <w:color w:val="1A1A1A"/>
          <w:sz w:val="28"/>
          <w:szCs w:val="28"/>
        </w:rPr>
        <w:t xml:space="preserve">4.3  How Task Usage Has Shifted</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Stack Overflow survey asks which development tasks respondents are using AI for. Comparing 2023, 2024, and 2025 reveals meaningful shifts in where AI is being applied — though the comparison requires care due to question restructuring in 2025.</w:t>
      </w:r>
    </w:p>
    <w:tbl>
      <w:tblPr>
        <w:tblW w:w="8600" w:type="dxa"/>
        <w:tblBorders>
          <w:top w:val="single" w:sz="4" w:color="C5CAD6"/>
          <w:left w:val="single" w:sz="4" w:color="C5CAD6"/>
          <w:bottom w:val="single" w:sz="4" w:color="C5CAD6"/>
          <w:right w:val="single" w:sz="4" w:color="C5CAD6"/>
          <w:insideH w:val="single" w:sz="4" w:color="C5CAD6"/>
          <w:insideV w:val="single" w:sz="4" w:color="C5CAD6"/>
        </w:tblBorders>
      </w:tblPr>
      <w:tblGrid>
        <w:gridCol w:w="3200"/>
        <w:gridCol w:w="1400"/>
        <w:gridCol w:w="1400"/>
        <w:gridCol w:w="1400"/>
        <w:gridCol w:w="1200"/>
      </w:tblGrid>
      <w:tr>
        <w:trPr>
          <w:tblHeader/>
        </w:trPr>
        <w:tc>
          <w:tcPr>
            <w:tcW w:w="3200" w:type="dxa"/>
            <w:shd w:val="clear" w:color="auto" w:fill="2E5BA8"/>
          </w:tcPr>
          <w:p>
            <w:r>
              <w:rPr>
                <w:b/>
                <w:color w:val="FFFFFF"/>
              </w:rPr>
              <w:t xml:space="preserve">Task</w:t>
            </w:r>
          </w:p>
        </w:tc>
        <w:tc>
          <w:tcPr>
            <w:tcW w:w="1400" w:type="dxa"/>
            <w:shd w:val="clear" w:color="auto" w:fill="2E5BA8"/>
          </w:tcPr>
          <w:p>
            <w:r>
              <w:rPr>
                <w:b/>
                <w:color w:val="FFFFFF"/>
              </w:rPr>
              <w:t xml:space="preserve">2023</w:t>
            </w:r>
          </w:p>
        </w:tc>
        <w:tc>
          <w:tcPr>
            <w:tcW w:w="1400" w:type="dxa"/>
            <w:shd w:val="clear" w:color="auto" w:fill="2E5BA8"/>
          </w:tcPr>
          <w:p>
            <w:r>
              <w:rPr>
                <w:b/>
                <w:color w:val="FFFFFF"/>
              </w:rPr>
              <w:t xml:space="preserve">2024</w:t>
            </w:r>
          </w:p>
        </w:tc>
        <w:tc>
          <w:tcPr>
            <w:tcW w:w="1400" w:type="dxa"/>
            <w:shd w:val="clear" w:color="auto" w:fill="2E5BA8"/>
          </w:tcPr>
          <w:p>
            <w:r>
              <w:rPr>
                <w:b/>
                <w:color w:val="FFFFFF"/>
              </w:rPr>
              <w:t xml:space="preserve">2025</w:t>
            </w:r>
          </w:p>
        </w:tc>
        <w:tc>
          <w:tcPr>
            <w:tcW w:w="1200" w:type="dxa"/>
            <w:shd w:val="clear" w:color="auto" w:fill="2E5BA8"/>
          </w:tcPr>
          <w:p>
            <w:r>
              <w:rPr>
                <w:b/>
                <w:color w:val="FFFFFF"/>
              </w:rPr>
              <w:t xml:space="preserve">Trend</w:t>
            </w:r>
          </w:p>
        </w:tc>
      </w:tr>
      <w:tr>
        <w:trPr/>
        <w:tc>
          <w:tcPr>
            <w:tcW w:w="3200" w:type="dxa"/>
            <w:shd w:val="clear" w:color="auto" w:fill="F5F8FF"/>
          </w:tcPr>
          <w:p>
            <w:r>
              <w:t xml:space="preserve">Writing Code</w:t>
            </w:r>
          </w:p>
        </w:tc>
        <w:tc>
          <w:tcPr>
            <w:tcW w:w="1400" w:type="dxa"/>
            <w:shd w:val="clear" w:color="auto" w:fill="F5F8FF"/>
          </w:tcPr>
          <w:p>
            <w:r>
              <w:t xml:space="preserve">35.4%</w:t>
            </w:r>
          </w:p>
        </w:tc>
        <w:tc>
          <w:tcPr>
            <w:tcW w:w="1400" w:type="dxa"/>
            <w:shd w:val="clear" w:color="auto" w:fill="F5F8FF"/>
          </w:tcPr>
          <w:p>
            <w:r>
              <w:t xml:space="preserve">48.4%</w:t>
            </w:r>
          </w:p>
        </w:tc>
        <w:tc>
          <w:tcPr>
            <w:tcW w:w="1400" w:type="dxa"/>
            <w:shd w:val="clear" w:color="auto" w:fill="F5F8FF"/>
          </w:tcPr>
          <w:p>
            <w:r>
              <w:t xml:space="preserve">42.4%</w:t>
            </w:r>
          </w:p>
        </w:tc>
        <w:tc>
          <w:tcPr>
            <w:tcW w:w="1200" w:type="dxa"/>
            <w:shd w:val="clear" w:color="auto" w:fill="F5F8FF"/>
          </w:tcPr>
          <w:p>
            <w:r>
              <w:t xml:space="preserve">↑ then ↓</w:t>
            </w:r>
          </w:p>
        </w:tc>
      </w:tr>
      <w:tr>
        <w:trPr/>
        <w:tc>
          <w:tcPr>
            <w:tcW w:w="3200" w:type="dxa"/>
            <w:shd w:val="clear" w:color="auto" w:fill="FFFFFF"/>
          </w:tcPr>
          <w:p>
            <w:r>
              <w:t xml:space="preserve">Debugging / Fixing Code</w:t>
            </w:r>
          </w:p>
        </w:tc>
        <w:tc>
          <w:tcPr>
            <w:tcW w:w="1400" w:type="dxa"/>
            <w:shd w:val="clear" w:color="auto" w:fill="FFFFFF"/>
          </w:tcPr>
          <w:p>
            <w:r>
              <w:t xml:space="preserve">21.0%</w:t>
            </w:r>
          </w:p>
        </w:tc>
        <w:tc>
          <w:tcPr>
            <w:tcW w:w="1400" w:type="dxa"/>
            <w:shd w:val="clear" w:color="auto" w:fill="FFFFFF"/>
          </w:tcPr>
          <w:p>
            <w:r>
              <w:t xml:space="preserve">33.5%</w:t>
            </w:r>
          </w:p>
        </w:tc>
        <w:tc>
          <w:tcPr>
            <w:tcW w:w="1400" w:type="dxa"/>
            <w:shd w:val="clear" w:color="auto" w:fill="FFFFFF"/>
          </w:tcPr>
          <w:p>
            <w:r>
              <w:t xml:space="preserve">36.2%</w:t>
            </w:r>
          </w:p>
        </w:tc>
        <w:tc>
          <w:tcPr>
            <w:tcW w:w="1200" w:type="dxa"/>
            <w:shd w:val="clear" w:color="auto" w:fill="FFFFFF"/>
          </w:tcPr>
          <w:p>
            <w:r>
              <w:t xml:space="preserve">↑↑</w:t>
            </w:r>
          </w:p>
        </w:tc>
      </w:tr>
      <w:tr>
        <w:trPr/>
        <w:tc>
          <w:tcPr>
            <w:tcW w:w="3200" w:type="dxa"/>
            <w:shd w:val="clear" w:color="auto" w:fill="F5F8FF"/>
          </w:tcPr>
          <w:p>
            <w:r>
              <w:t xml:space="preserve">Documenting Code*</w:t>
            </w:r>
          </w:p>
        </w:tc>
        <w:tc>
          <w:tcPr>
            <w:tcW w:w="1400" w:type="dxa"/>
            <w:shd w:val="clear" w:color="auto" w:fill="F5F8FF"/>
          </w:tcPr>
          <w:p>
            <w:r>
              <w:t xml:space="preserve">14.7%</w:t>
            </w:r>
          </w:p>
        </w:tc>
        <w:tc>
          <w:tcPr>
            <w:tcW w:w="1400" w:type="dxa"/>
            <w:shd w:val="clear" w:color="auto" w:fill="F5F8FF"/>
          </w:tcPr>
          <w:p>
            <w:r>
              <w:t xml:space="preserve">23.7%</w:t>
            </w:r>
          </w:p>
        </w:tc>
        <w:tc>
          <w:tcPr>
            <w:tcW w:w="1400" w:type="dxa"/>
            <w:shd w:val="clear" w:color="auto" w:fill="F5F8FF"/>
          </w:tcPr>
          <w:p>
            <w:r>
              <w:t>33.4%</w:t>
            </w:r>
          </w:p>
        </w:tc>
        <w:tc>
          <w:tcPr>
            <w:tcW w:w="1200" w:type="dxa"/>
            <w:shd w:val="clear" w:color="auto" w:fill="F5F8FF"/>
          </w:tcPr>
          <w:p>
            <w:r>
              <w:t xml:space="preserve">↑↑↑</w:t>
            </w:r>
          </w:p>
        </w:tc>
      </w:tr>
      <w:tr>
        <w:trPr/>
        <w:tc>
          <w:tcPr>
            <w:tcW w:w="3200" w:type="dxa"/>
            <w:shd w:val="clear" w:color="auto" w:fill="FFFFFF"/>
          </w:tcPr>
          <w:p>
            <w:r>
              <w:t xml:space="preserve">Testing Code</w:t>
            </w:r>
          </w:p>
        </w:tc>
        <w:tc>
          <w:tcPr>
            <w:tcW w:w="1400" w:type="dxa"/>
            <w:shd w:val="clear" w:color="auto" w:fill="FFFFFF"/>
          </w:tcPr>
          <w:p>
            <w:r>
              <w:t xml:space="preserve">10.2%</w:t>
            </w:r>
          </w:p>
        </w:tc>
        <w:tc>
          <w:tcPr>
            <w:tcW w:w="1400" w:type="dxa"/>
            <w:shd w:val="clear" w:color="auto" w:fill="FFFFFF"/>
          </w:tcPr>
          <w:p>
            <w:r>
              <w:t xml:space="preserve">16.1%</w:t>
            </w:r>
          </w:p>
        </w:tc>
        <w:tc>
          <w:tcPr>
            <w:tcW w:w="1400" w:type="dxa"/>
            <w:shd w:val="clear" w:color="auto" w:fill="FFFFFF"/>
          </w:tcPr>
          <w:p>
            <w:r>
              <w:t xml:space="preserve">23.1%</w:t>
            </w:r>
          </w:p>
        </w:tc>
        <w:tc>
          <w:tcPr>
            <w:tcW w:w="1200" w:type="dxa"/>
            <w:shd w:val="clear" w:color="auto" w:fill="FFFFFF"/>
          </w:tcPr>
          <w:p>
            <w:r>
              <w:t xml:space="preserve">↑↑</w:t>
            </w:r>
          </w:p>
        </w:tc>
      </w:tr>
      <w:tr>
        <w:trPr/>
        <w:tc>
          <w:tcPr>
            <w:tcW w:w="3200" w:type="dxa"/>
            <w:shd w:val="clear" w:color="auto" w:fill="F5F8FF"/>
          </w:tcPr>
          <w:p>
            <w:r>
              <w:t xml:space="preserve">Learning / Codebase</w:t>
            </w:r>
          </w:p>
        </w:tc>
        <w:tc>
          <w:tcPr>
            <w:tcW w:w="1400" w:type="dxa"/>
            <w:shd w:val="clear" w:color="auto" w:fill="F5F8FF"/>
          </w:tcPr>
          <w:p>
            <w:r>
              <w:t xml:space="preserve">12.9%</w:t>
            </w:r>
          </w:p>
        </w:tc>
        <w:tc>
          <w:tcPr>
            <w:tcW w:w="1400" w:type="dxa"/>
            <w:shd w:val="clear" w:color="auto" w:fill="F5F8FF"/>
          </w:tcPr>
          <w:p>
            <w:r>
              <w:t xml:space="preserve">18.2%</w:t>
            </w:r>
          </w:p>
        </w:tc>
        <w:tc>
          <w:tcPr>
            <w:tcW w:w="1400" w:type="dxa"/>
            <w:shd w:val="clear" w:color="auto" w:fill="F5F8FF"/>
          </w:tcPr>
          <w:p>
            <w:r>
              <w:t>27.3%</w:t>
            </w:r>
          </w:p>
        </w:tc>
        <w:tc>
          <w:tcPr>
            <w:tcW w:w="1200" w:type="dxa"/>
            <w:shd w:val="clear" w:color="auto" w:fill="F5F8FF"/>
          </w:tcPr>
          <w:p>
            <w:r>
              <w:t>↑↑</w:t>
            </w:r>
          </w:p>
        </w:tc>
      </w:tr>
      <w:tr>
        <w:trPr/>
        <w:tc>
          <w:tcPr>
            <w:tcW w:w="3200" w:type="dxa"/>
            <w:shd w:val="clear" w:color="auto" w:fill="FFFFFF"/>
          </w:tcPr>
          <w:p>
            <w:r>
              <w:t xml:space="preserve">Search for Answers</w:t>
            </w:r>
          </w:p>
        </w:tc>
        <w:tc>
          <w:tcPr>
            <w:tcW w:w="1400" w:type="dxa"/>
            <w:shd w:val="clear" w:color="auto" w:fill="FFFFFF"/>
          </w:tcPr>
          <w:p>
            <w:r>
              <w:t xml:space="preserve">N/A</w:t>
            </w:r>
          </w:p>
        </w:tc>
        <w:tc>
          <w:tcPr>
            <w:tcW w:w="1400" w:type="dxa"/>
            <w:shd w:val="clear" w:color="auto" w:fill="FFFFFF"/>
          </w:tcPr>
          <w:p>
            <w:r>
              <w:t xml:space="preserve">39.9%</w:t>
            </w:r>
          </w:p>
        </w:tc>
        <w:tc>
          <w:tcPr>
            <w:tcW w:w="1400" w:type="dxa"/>
            <w:shd w:val="clear" w:color="auto" w:fill="FFFFFF"/>
          </w:tcPr>
          <w:p>
            <w:r>
              <w:t xml:space="preserve">52.8%</w:t>
            </w:r>
          </w:p>
        </w:tc>
        <w:tc>
          <w:tcPr>
            <w:tcW w:w="1200" w:type="dxa"/>
            <w:shd w:val="clear" w:color="auto" w:fill="FFFFFF"/>
          </w:tcPr>
          <w:p>
            <w:r>
              <w:t xml:space="preserve">—</w:t>
            </w:r>
          </w:p>
        </w:tc>
      </w:tr>
      <w:tr>
        <w:trPr/>
        <w:tc>
          <w:tcPr>
            <w:tcW w:w="3200" w:type="dxa"/>
            <w:shd w:val="clear" w:color="auto" w:fill="F5F8FF"/>
          </w:tcPr>
          <w:p>
            <w:r>
              <w:t xml:space="preserve">Generating Content</w:t>
            </w:r>
          </w:p>
        </w:tc>
        <w:tc>
          <w:tcPr>
            <w:tcW w:w="1400" w:type="dxa"/>
            <w:shd w:val="clear" w:color="auto" w:fill="F5F8FF"/>
          </w:tcPr>
          <w:p>
            <w:r>
              <w:t xml:space="preserve">N/A</w:t>
            </w:r>
          </w:p>
        </w:tc>
        <w:tc>
          <w:tcPr>
            <w:tcW w:w="1400" w:type="dxa"/>
            <w:shd w:val="clear" w:color="auto" w:fill="F5F8FF"/>
          </w:tcPr>
          <w:p>
            <w:r>
              <w:t xml:space="preserve">20.6%</w:t>
            </w:r>
          </w:p>
        </w:tc>
        <w:tc>
          <w:tcPr>
            <w:tcW w:w="1400" w:type="dxa"/>
            <w:shd w:val="clear" w:color="auto" w:fill="F5F8FF"/>
          </w:tcPr>
          <w:p>
            <w:r>
              <w:t xml:space="preserve">29.8%</w:t>
            </w:r>
          </w:p>
        </w:tc>
        <w:tc>
          <w:tcPr>
            <w:tcW w:w="1200" w:type="dxa"/>
            <w:shd w:val="clear" w:color="auto" w:fill="F5F8FF"/>
          </w:tcPr>
          <w:p>
            <w:r>
              <w:t xml:space="preserve">—</w:t>
            </w:r>
          </w:p>
        </w:tc>
      </w:tr>
      <w:tr>
        <w:trPr/>
        <w:tc>
          <w:tcPr>
            <w:tcW w:w="3200" w:type="dxa"/>
            <w:shd w:val="clear" w:color="auto" w:fill="FFFFFF"/>
          </w:tcPr>
          <w:p>
            <w:r>
              <w:t xml:space="preserve">Project Planning</w:t>
            </w:r>
          </w:p>
        </w:tc>
        <w:tc>
          <w:tcPr>
            <w:tcW w:w="1400" w:type="dxa"/>
            <w:shd w:val="clear" w:color="auto" w:fill="FFFFFF"/>
          </w:tcPr>
          <w:p>
            <w:r>
              <w:t xml:space="preserve">5.8%</w:t>
            </w:r>
          </w:p>
        </w:tc>
        <w:tc>
          <w:tcPr>
            <w:tcW w:w="1400" w:type="dxa"/>
            <w:shd w:val="clear" w:color="auto" w:fill="FFFFFF"/>
          </w:tcPr>
          <w:p>
            <w:r>
              <w:t xml:space="preserve">7.2%</w:t>
            </w:r>
          </w:p>
        </w:tc>
        <w:tc>
          <w:tcPr>
            <w:tcW w:w="1400" w:type="dxa"/>
            <w:shd w:val="clear" w:color="auto" w:fill="FFFFFF"/>
          </w:tcPr>
          <w:p>
            <w:r>
              <w:t xml:space="preserve">14.3%</w:t>
            </w:r>
          </w:p>
        </w:tc>
        <w:tc>
          <w:tcPr>
            <w:tcW w:w="1200" w:type="dxa"/>
            <w:shd w:val="clear" w:color="auto" w:fill="FFFFFF"/>
          </w:tcPr>
          <w:p>
            <w:r>
              <w:t xml:space="preserve">↑↑</w:t>
            </w:r>
          </w:p>
        </w:tc>
      </w:tr>
      <w:tr>
        <w:trPr/>
        <w:tc>
          <w:tcPr>
            <w:tcW w:w="3200" w:type="dxa"/>
            <w:shd w:val="clear" w:color="auto" w:fill="F5F8FF"/>
          </w:tcPr>
          <w:p>
            <w:r>
              <w:t xml:space="preserve">Code Review</w:t>
            </w:r>
          </w:p>
        </w:tc>
        <w:tc>
          <w:tcPr>
            <w:tcW w:w="1400" w:type="dxa"/>
            <w:shd w:val="clear" w:color="auto" w:fill="F5F8FF"/>
          </w:tcPr>
          <w:p>
            <w:r>
              <w:t xml:space="preserve">4.3%</w:t>
            </w:r>
          </w:p>
        </w:tc>
        <w:tc>
          <w:tcPr>
            <w:tcW w:w="1400" w:type="dxa"/>
            <w:shd w:val="clear" w:color="auto" w:fill="F5F8FF"/>
          </w:tcPr>
          <w:p>
            <w:r>
              <w:t xml:space="preserve">7.8%</w:t>
            </w:r>
          </w:p>
        </w:tc>
        <w:tc>
          <w:tcPr>
            <w:tcW w:w="1400" w:type="dxa"/>
            <w:shd w:val="clear" w:color="auto" w:fill="F5F8FF"/>
          </w:tcPr>
          <w:p>
            <w:r>
              <w:t xml:space="preserve">N/A</w:t>
            </w:r>
          </w:p>
        </w:tc>
        <w:tc>
          <w:tcPr>
            <w:tcW w:w="1200" w:type="dxa"/>
            <w:shd w:val="clear" w:color="auto" w:fill="F5F8FF"/>
          </w:tcPr>
          <w:p>
            <w:r>
              <w:t xml:space="preserve">—</w:t>
            </w:r>
          </w:p>
        </w:tc>
      </w:tr>
    </w:tbl>
    <w:p>
      <w:pPr>
        <w:spacing w:before="80" w:after="240"/>
        <w:jc w:val="center"/>
      </w:pPr>
      <w:r>
        <w:rPr>
          <w:rFonts w:ascii="Arial" w:cs="Arial" w:eastAsia="Arial" w:hAnsi="Arial"/>
          <w:b w:val="false"/>
          <w:bCs w:val="false"/>
          <w:i/>
          <w:iCs/>
          <w:caps w:val="false"/>
          <w:color w:val="888888"/>
          <w:sz w:val="17"/>
          <w:szCs w:val="17"/>
        </w:rPr>
        <w:t xml:space="preserve">Table 4. AI task usage as % of AISelect respondents (those who answered the AI usage question). Denominator: 2023=87,973; 2024=60,907; 2025=33,720. Using all-respondent denominators depresses 2025 figures by ~31% due to routing changes. *2025 "Documenting Code" combines "Documenting code" (29.1%) and "Creating or maintaining documentation" (25.3%); union = 33.4% of AISelect respondents.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most striking shift is in Documenting Code, which has grown from 14.7% in 2023 to 33.4% in 2025 (on an AISelect-answered denominator). Writing Code rose from 35.4% in 2023 to a peak of 48.4% in 2024, then partially retreated to 42.4% in 2025 — still above its 2023 level. Note: earlier drafts used all-respondent denominators and showed a larger apparent 2024→2025 decline; the corrected AISelect denominator shows a more modest retreat. Search for Answers leads all tasks in 2025 at 52.8% of AISelect respondents, with Writing Code second. This pattern suggests a maturation: developers may be pulling AI back from core creative coding tasks (where quality concerns are highest) and redirecting it to surrounding, lower-stakes tasks like documentation, search, and code review. This repositioning is consistent with the frustration data we examine in Section 7.2.</w:t>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5. Five Adoption Archetypes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aggregate statistics above describe a population. The clustering analysis below reveals that this population contains five heuristic sub-groups — not a smooth spectrum, but interpretively distinct attitudinal and behavioral profiles that suggest different intervention priorities. These groupings are stable across random seeds but should be read as useful approximations rather than a discovered latent ground truth.</w:t>
      </w:r>
    </w:p>
    <w:p>
      <w:pPr>
        <w:pStyle w:val="Heading2"/>
        <w:spacing w:before="300" w:after="120"/>
      </w:pPr>
      <w:r>
        <w:rPr>
          <w:rFonts w:ascii="Arial" w:cs="Arial" w:eastAsia="Arial" w:hAnsi="Arial"/>
          <w:b/>
          <w:bCs/>
          <w:color w:val="1A1A1A"/>
          <w:sz w:val="28"/>
          <w:szCs w:val="28"/>
        </w:rPr>
        <w:t xml:space="preserve">5.1  Clustering Methodology and Results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K-means clustering was applied to the 2025 survey population using six features: AI usage frequency, trust level, sentiment, agent engagement, complexity rating, and whether the developer had learned AI tooling in the past year. The working sample (n=33,231) was defined by complete responses on the three core attitudinal features (AISelect, AIAcc, AISent); missing values for AgentScore and AIComplexScore (present in ~4–6% of cases) were imputed with column medians, and LearnedAI missing values were coded 0. This differs from 'complete responses on all six features — the AIAgents question alone had 31,919 non-missing responses in the raw CSV. Silhouette analysis favored k=2 (score=0.349) statistically, reflecting a fundamental binary split between adopters and resisters. However, k=5 (score=0.284) was selected to produce actionably differentiated archetypes. The binary structure is itself a finding, discussed in Section 5.3.</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five resulting clusters are stable across random seeds and interpretable as coherent behavioral profiles. The names assigned to each cluster — Daily Integrators, Enthusiastic Adopters, and so on — are interpretive labels applied to the k=5 solution after fitting, not predetermined categories. They would shift if the cluster centroids shifted under different data, parameters, or years. Cluster sizes are reported as a percentage of the 33,231 respondents with complete responses on the three core features (usage, trust, sentiment); see Appendix A.6 for full sample construction rules.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Archetype</w:t>
            </w:r>
          </w:p>
        </w:tc>
        <w:tc>
          <w:tcPr>
            <w:tcW w:type="dxa" w:w="11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Share</w:t>
            </w:r>
          </w:p>
        </w:tc>
        <w:tc>
          <w:tcPr>
            <w:tcW w:type="dxa" w:w="11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Usage</w:t>
            </w:r>
          </w:p>
        </w:tc>
        <w:tc>
          <w:tcPr>
            <w:tcW w:type="dxa" w:w="11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Trust</w:t>
            </w:r>
          </w:p>
        </w:tc>
        <w:tc>
          <w:tcPr>
            <w:tcW w:type="dxa" w:w="11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Sentiment</w:t>
            </w:r>
          </w:p>
        </w:tc>
        <w:tc>
          <w:tcPr>
            <w:tcW w:type="dxa" w:w="11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Agents</w:t>
            </w:r>
          </w:p>
        </w:tc>
        <w:tc>
          <w:tcPr>
            <w:tcW w:type="dxa" w:w="11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LearnedAI</w:t>
            </w:r>
          </w:p>
        </w:tc>
      </w:tr>
      <w:tr>
        <w:tc>
          <w:tcPr>
            <w:tcW w:type="dxa" w:w="24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Cautious Experimenters</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24.3%</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3.07/4</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1.07/4</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3.25/5</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Partial</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100%</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Enthusiastic Adopters</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24.0%</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3.49/4</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2.59/4</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4.22/5</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Some</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99%</w:t>
            </w:r>
          </w:p>
        </w:tc>
      </w:tr>
      <w:tr>
        <w:tc>
          <w:tcPr>
            <w:tcW w:type="dxa" w:w="24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Active Resisters</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19.0%</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0.47/4</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0.43/4</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0.82/5</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Minimal</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10%</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Daily Integrators</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17.6%</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3.83/4</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2.61/4</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4.44/5</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All</w:t>
            </w:r>
          </w:p>
        </w:tc>
        <w:tc>
          <w:tcPr>
            <w:tcW w:type="dxa" w:w="1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93%</w:t>
            </w:r>
          </w:p>
        </w:tc>
      </w:tr>
      <w:tr>
        <w:tc>
          <w:tcPr>
            <w:tcW w:type="dxa" w:w="24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Pragmatic Dabblers</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15.0%</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2.63/4</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1.86/4</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3.61/5</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Some</w:t>
            </w:r>
          </w:p>
        </w:tc>
        <w:tc>
          <w:tcPr>
            <w:tcW w:type="dxa" w:w="11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w:t>
            </w:r>
          </w:p>
        </w:tc>
      </w:tr>
    </w:tbl>
    <w:p>
      <w:pPr>
        <w:spacing w:before="80" w:after="240"/>
        <w:jc w:val="center"/>
      </w:pPr>
      <w:r>
        <w:rPr>
          <w:rFonts w:ascii="Arial" w:cs="Arial" w:eastAsia="Arial" w:hAnsi="Arial"/>
          <w:b w:val="false"/>
          <w:bCs w:val="false"/>
          <w:i/>
          <w:iCs/>
          <w:caps w:val="false"/>
          <w:color w:val="888888"/>
          <w:sz w:val="17"/>
          <w:szCs w:val="17"/>
        </w:rPr>
        <w:t xml:space="preserve">Table 5. Cluster profiles. Usage: 0=Never, 4=Daily. Trust: 0=Highly Distrust, 4=Highly Trust. Sentiment: 0=Very Unfavorable, 5=Very Favorable. Agents: proportion actively using AI agents.</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486400" cy="2897238"/>
            <wp:effectExtent l="0" t="0" r="0" b="0"/>
            <wp:docPr id="902" name="fig2_archetypes.png" descr="Horizontal bar chart comparing five AI adoption archetypes across usage frequency, trust score, and sentiment score. Daily Integrators score highest on all three dimensions; Active Resisters score lowest."/>
            <wp:cNvGraphicFramePr/>
            <a:graphic>
              <a:graphicData uri="http://schemas.openxmlformats.org/drawingml/2006/picture">
                <pic:pic>
                  <pic:nvPicPr>
                    <pic:cNvPr id="0" name="fig2_archetypes.png"/>
                    <pic:cNvPicPr/>
                  </pic:nvPicPr>
                  <pic:blipFill>
                    <a:blip r:embed="rId102"/>
                    <a:stretch>
                      <a:fillRect/>
                    </a:stretch>
                  </pic:blipFill>
                  <pic:spPr>
                    <a:xfrm>
                      <a:off x="0" y="0"/>
                      <a:ext cx="5486400" cy="2897238"/>
                    </a:xfrm>
                    <a:prstGeom prst="rect">
                      <a:avLst/>
                    </a:prstGeom>
                  </pic:spPr>
                </pic:pic>
              </a:graphicData>
            </a:graphic>
          </wp:inline>
        </w:drawing>
      </w:r>
    </w:p>
    <w:p>
      <w:pPr>
        <w:pStyle w:val="Heading2"/>
        <w:spacing w:before="300" w:after="120"/>
      </w:pPr>
      <w:r>
        <w:rPr>
          <w:rFonts w:ascii="Arial" w:cs="Arial" w:eastAsia="Arial" w:hAnsi="Arial"/>
          <w:b/>
          <w:bCs/>
          <w:color w:val="1A1A1A"/>
          <w:sz w:val="28"/>
          <w:szCs w:val="28"/>
        </w:rPr>
        <w:t xml:space="preserve">5.2  Archetype Profiles</w:t>
      </w:r>
    </w:p>
    <w:p>
      <w:pPr>
        <w:pStyle w:val="Heading3"/>
        <w:spacing w:before="240" w:after="80"/>
      </w:pPr>
      <w:r>
        <w:rPr>
          <w:rFonts w:ascii="Arial" w:cs="Arial" w:eastAsia="Arial" w:hAnsi="Arial"/>
          <w:b/>
          <w:bCs/>
          <w:color w:val="555555"/>
          <w:sz w:val="24"/>
          <w:szCs w:val="24"/>
        </w:rPr>
        <w:t xml:space="preserve">Cautious Experimenters  (24.3%  |  ~8,100 of clustered respondents)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is the largest archetype and arguably the most strategically important. Cautious Experimenters are using AI tools regularly — their usage score of 3.07/4 indicates weekly-to-daily use — but trust has not followed. With a trust score of just 1.07/4 (between "somewhat distrust" and "highly distrust") against reasonably positive sentiment (3.25/5), these developers are willing to keep trying but have not yet crossed into genuine confidence. They have all learned a new AI tool in the past year, indicating engagement, but agent adoption within this group is uneven (agent score 0.59/2 — roughly a quarter are active agent users, while just over half have no agent engagement).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group is not resisting AI — they are using it while harboring significant reservations about its output quality. They represent an unfinished adoption journey, a population that organizations have succeeded in moving to the tool but not yet to meaningful trust. In the absence of structured support, some fraction of this group is likely to slide toward the Pragmatic Dabblers or even Active Resisters over time.</w:t>
      </w:r>
    </w:p>
    <w:p>
      <w:pPr>
        <w:pStyle w:val="Heading3"/>
        <w:spacing w:before="240" w:after="80"/>
      </w:pPr>
      <w:r>
        <w:rPr>
          <w:rFonts w:ascii="Arial" w:cs="Arial" w:eastAsia="Arial" w:hAnsi="Arial"/>
          <w:b/>
          <w:bCs/>
          <w:color w:val="555555"/>
          <w:sz w:val="24"/>
          <w:szCs w:val="24"/>
        </w:rPr>
        <w:t xml:space="preserve">Enthusiastic Adopters  (24.0%  |  ~8,000 of clustered respondents)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Enthusiastic Adopters combine high usage (3.49/4), solid trust (2.59/4), and the highest-alongside-Daily-Integrators sentiment score (4.22/5). They have broadly positive orientations toward AI and use it frequently. The distinguishing feature is agent use: unlike Daily Integrators, Enthusiastic Adopters have not yet crossed into active agent use (score 0.45/2, indicating occasional rather than regular agent engagement). They are the "ready for the next step" group — equipped in attitude and habit but not yet operating at the frontier of AI-native workflows.</w:t>
      </w:r>
    </w:p>
    <w:p>
      <w:pPr>
        <w:pStyle w:val="Heading3"/>
        <w:spacing w:before="240" w:after="80"/>
      </w:pPr>
      <w:r>
        <w:rPr>
          <w:rFonts w:ascii="Arial" w:cs="Arial" w:eastAsia="Arial" w:hAnsi="Arial"/>
          <w:b/>
          <w:bCs/>
          <w:color w:val="555555"/>
          <w:sz w:val="24"/>
          <w:szCs w:val="24"/>
        </w:rPr>
        <w:t xml:space="preserve">Active Resisters  (19.0%  |  ~6,300 of clustered respondents)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Active Resisters are not simply non-users; they maintain a coherent, mutually reinforcing anti-AI posture. Usage is near zero (0.47/4), trust is at the floor (0.43/4), and sentiment is starkly negative (0.82/5 — between "very unfavorable" and "unfavorable"). Only 10% have learned any AI tool in the past year. They see no benefit, have not invested in learning, and show no sign of changing. The association rule analysis (Section 7) confirms this as a syndrome: these variables co-occur at lift levels above 4.9, meaning the full resister profile is far more than the sum of individual negative signals.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Active Resisters are typically misidentified as a change management target. The data suggests the returns on direct persuasion attempts with this group are likely low. The more productive question is whether organizational contexts can be designed so that this group does not become a drag on peers who are still in their adoption journey.</w:t>
      </w:r>
    </w:p>
    <w:p>
      <w:pPr>
        <w:pStyle w:val="Heading3"/>
        <w:spacing w:before="240" w:after="80"/>
      </w:pPr>
      <w:r>
        <w:rPr>
          <w:rFonts w:ascii="Arial" w:cs="Arial" w:eastAsia="Arial" w:hAnsi="Arial"/>
          <w:b/>
          <w:bCs/>
          <w:color w:val="555555"/>
          <w:sz w:val="24"/>
          <w:szCs w:val="24"/>
        </w:rPr>
        <w:t xml:space="preserve">Daily Integrators  (17.6%  |  ~5,850 of clustered respondents)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Daily Integrators represent the endpoint that AI adoption programs aspire to produce. Usage is at the daily ceiling (3.83/4), trust is high (2.61/4), sentiment is the most favorable of any cluster (4.44/5), and they are the only group with near-complete agent engagement (AgentScore 2.00 — actively using AI agents at work). They have moved beyond AI as a tool into AI as an integrated part of their professional workflow. Critically, their high trust and complexity ratings suggest they have developed genuine competency, not just familiarity.</w:t>
      </w:r>
    </w:p>
    <w:p>
      <w:pPr>
        <w:pStyle w:val="Heading3"/>
        <w:spacing w:before="240" w:after="80"/>
      </w:pPr>
      <w:r>
        <w:rPr>
          <w:rFonts w:ascii="Arial" w:cs="Arial" w:eastAsia="Arial" w:hAnsi="Arial"/>
          <w:b/>
          <w:bCs/>
          <w:color w:val="555555"/>
          <w:sz w:val="24"/>
          <w:szCs w:val="24"/>
        </w:rPr>
        <w:t xml:space="preserve">Pragmatic Dabblers  (15.0%  |  ~5,000 of clustered respondents)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Pragmatic Dabblers use AI occasionally (2.63/4 — between monthly and weekly), with moderate trust (1.86/4) and moderately positive sentiment (3.61/5). Distinctively, zero percent of this cluster has learned a new AI tool in the past year, suggesting a stable "use what you already know" orientation. They are not opposed to AI but are not investing in it either. This group responds best to demonstrated value — specific, concrete use cases that justify the effort of deepening engagement.</w:t>
      </w:r>
    </w:p>
    <w:p>
      <w:pPr>
        <w:pStyle w:val="Heading2"/>
        <w:spacing w:before="300" w:after="120"/>
      </w:pPr>
      <w:r>
        <w:rPr>
          <w:rFonts w:ascii="Arial" w:cs="Arial" w:eastAsia="Arial" w:hAnsi="Arial"/>
          <w:b/>
          <w:bCs/>
          <w:color w:val="1A1A1A"/>
          <w:sz w:val="28"/>
          <w:szCs w:val="28"/>
        </w:rPr>
        <w:t xml:space="preserve">5.3  The Binary Underlying Structure</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statistical preference for k=2 over k=5 is itself a finding. With k=2, the silhouette score rises to 0.349, revealing that the developer population is fundamentally polarized between adopters (approximately 65% of the clustered population) and resisters (approximately 35%). The five archetypes are refinements within this binary split, not departures from it.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association rules add texture to the resister profile. Rules with the highest lift values (&gt;4.9) characterize developers who combine: negative sentiment, no agent use, no learning investment, low trust, and non-use — all simultaneously. Note on provenance: the association rule analysis predates a code correction to the bin_threat() function (see pipeline_v2.py). Since the cited high-lift rules involve sentiment, agent use, learning, and trust — not job threat — the cited lift values are not affected by that fix. The high lift means this full profile co-occurs far more than its components would predict independently, confirming that resistance is a coherent syndrome rather than a collection of independent reservations. Notably, the structural variables (role, org size, experience) produce rules with lift of only 1.3–1.8, indicating that behavioral and attitudinal factors predict adoption far better than demographic ones.</w:t>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6. What Features Are Associated With Daily Adoption</w:t>
      </w:r>
    </w:p>
    <w:p>
      <w:pPr>
        <w:pStyle w:val="Heading2"/>
        <w:spacing w:before="300" w:after="120"/>
      </w:pPr>
      <w:r>
        <w:rPr>
          <w:rFonts w:ascii="Arial" w:cs="Arial" w:eastAsia="Arial" w:hAnsi="Arial"/>
          <w:b/>
          <w:bCs/>
          <w:color w:val="1A1A1A"/>
          <w:sz w:val="28"/>
          <w:szCs w:val="28"/>
        </w:rPr>
        <w:t xml:space="preserve">6.1  Classification Results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To identify the variables most strongly associated with daily AI adoption in this cross-sectional dataset, we trained a Random Forest classifier (200 trees) and a Decision Tree (max depth 5) on 33,231 respondents, using 8 features: AI Sentiment, Agent Engagement, Learned AI, AI Trust, AI Complexity Rating, Job Threat Perception, Years Work Experience, and Years 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90"/>
        <w:gridCol w:w="1390"/>
        <w:gridCol w:w="1390"/>
        <w:gridCol w:w="1390"/>
      </w:tblGrid>
      <w:tr>
        <w:trPr>
          <w:tblHeader/>
        </w:trPr>
        <w:tc>
          <w:tcPr>
            <w:tcW w:type="dxa" w:w="28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Model</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Accuracy</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Precision (Daily)</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Recall (Daily)</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F1 (Daily)</w:t>
            </w:r>
          </w:p>
        </w:tc>
      </w:tr>
      <w:tr>
        <w:tc>
          <w:tcPr>
            <w:tcW w:type="dxa" w:w="2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Random Forest (200 trees)</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77.1%</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75.5%</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79.3%</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77.4%</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Decision Tree (depth 5)</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76.5%</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72.1%</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80.9%</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76.3%</w:t>
            </w:r>
          </w:p>
        </w:tc>
      </w:tr>
      <w:tr>
        <w:tc>
          <w:tcPr>
            <w:tcW w:type="dxa" w:w="2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5-Fold CV (RF)</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77.9% ± 0.2%</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w:t>
            </w:r>
          </w:p>
        </w:tc>
      </w:tr>
    </w:tbl>
    <w:p>
      <w:pPr>
        <w:spacing w:before="80" w:after="240"/>
        <w:jc w:val="center"/>
      </w:pPr>
      <w:r>
        <w:rPr>
          <w:rFonts w:ascii="Arial" w:cs="Arial" w:eastAsia="Arial" w:hAnsi="Arial"/>
          <w:b w:val="false"/>
          <w:bCs w:val="false"/>
          <w:i/>
          <w:iCs/>
          <w:caps w:val="false"/>
          <w:color w:val="888888"/>
          <w:sz w:val="17"/>
          <w:szCs w:val="17"/>
        </w:rPr>
        <w:t xml:space="preserve">Table 6. Classification performance. Target: daily AI adoption (AIUsageScore=4). Test set n=6,647. Five-fold CV: 77.9% ± 0.2% (StratifiedKFold, seed=42).</w:t>
      </w:r>
    </w:p>
    <w:p>
      <w:pPr>
        <w:spacing w:before="160" w:after="0"/>
      </w:pPr>
    </w:p>
    <w:p>
      <w:pPr>
        <w:spacing w:before="0" w:after="160" w:line="320"/>
        <w:jc w:val="left"/>
      </w:pPr>
      <w:r>
        <w:rPr>
          <w:rFonts w:ascii="Georgia" w:cs="Georgia" w:eastAsia="Georgia" w:hAnsi="Georgia"/>
          <w:b w:val="false"/>
          <w:bCs w:val="false"/>
          <w:i w:val="false"/>
          <w:iCs w:val="false"/>
          <w:caps w:val="false"/>
          <w:color w:val="1A1A1A"/>
          <w:sz w:val="22"/>
          <w:szCs w:val="22"/>
        </w:rPr>
        <w:t xml:space="preserve">77.1% accuracy on a binary classification task (47.1% daily adopters in the sample) represents a meaningfully predictive model. More important than the overall accuracy are the feature importances, which reveal which variables are doing the predictive work.</w:t>
      </w:r>
    </w:p>
    <w:p>
      <w:pPr>
        <w:pStyle w:val="Heading2"/>
        <w:spacing w:before="300" w:after="120"/>
      </w:pPr>
      <w:r>
        <w:rPr>
          <w:rFonts w:ascii="Arial" w:cs="Arial" w:eastAsia="Arial" w:hAnsi="Arial"/>
          <w:b/>
          <w:bCs/>
          <w:color w:val="1A1A1A"/>
          <w:sz w:val="28"/>
          <w:szCs w:val="28"/>
        </w:rPr>
        <w:t xml:space="preserve">6.2  Sentiment Is the Strongest Model Feature</w:t>
      </w:r>
    </w:p>
    <w:tbl>
      <w:tblPr>
        <w:tblW w:w="9360" w:type="dxa"/>
        <w:tblBorders>
          <w:top w:val="single" w:sz="4" w:color="C5CAD6"/>
          <w:left w:val="single" w:sz="4" w:color="C5CAD6"/>
          <w:bottom w:val="single" w:sz="4" w:color="C5CAD6"/>
          <w:right w:val="single" w:sz="4" w:color="C5CAD6"/>
          <w:insideH w:val="single" w:sz="4" w:color="C5CAD6"/>
          <w:insideV w:val="single" w:sz="4" w:color="C5CAD6"/>
        </w:tblBorders>
      </w:tblPr>
      <w:tblGrid>
        <w:gridCol w:w="2800"/>
        <w:gridCol w:w="1600"/>
        <w:gridCol w:w="4960"/>
      </w:tblGrid>
      <w:tr>
        <w:trPr>
          <w:tblHeader/>
        </w:trPr>
        <w:tc>
          <w:tcPr>
            <w:tcW w:w="2800" w:type="dxa"/>
            <w:shd w:val="clear" w:color="auto" w:fill="2E5BA8"/>
          </w:tcPr>
          <w:p>
            <w:r>
              <w:rPr>
                <w:b/>
                <w:color w:val="FFFFFF"/>
              </w:rPr>
              <w:t xml:space="preserve">Feature</w:t>
            </w:r>
          </w:p>
        </w:tc>
        <w:tc>
          <w:tcPr>
            <w:tcW w:w="1600" w:type="dxa"/>
            <w:shd w:val="clear" w:color="auto" w:fill="2E5BA8"/>
          </w:tcPr>
          <w:p>
            <w:r>
              <w:rPr>
                <w:b/>
                <w:color w:val="FFFFFF"/>
              </w:rPr>
              <w:t xml:space="preserve">RF Importance</w:t>
            </w:r>
          </w:p>
        </w:tc>
        <w:tc>
          <w:tcPr>
            <w:tcW w:w="4960" w:type="dxa"/>
            <w:shd w:val="clear" w:color="auto" w:fill="2E5BA8"/>
          </w:tcPr>
          <w:p>
            <w:r>
              <w:rPr>
                <w:b/>
                <w:color w:val="FFFFFF"/>
              </w:rPr>
              <w:t xml:space="preserve">Interpretation</w:t>
            </w:r>
          </w:p>
        </w:tc>
      </w:tr>
      <w:tr>
        <w:tc>
          <w:tcPr>
            <w:tcW w:w="2800" w:type="dxa"/>
            <w:shd w:val="clear" w:color="auto" w:fill="F5F8FF"/>
          </w:tcPr>
          <w:p>
            <w:r>
              <w:t xml:space="preserve">AI Sentiment</w:t>
            </w:r>
          </w:p>
        </w:tc>
        <w:tc>
          <w:tcPr>
            <w:tcW w:w="1600" w:type="dxa"/>
            <w:shd w:val="clear" w:color="auto" w:fill="F5F8FF"/>
          </w:tcPr>
          <w:p>
            <w:r>
              <w:t xml:space="preserve">42.9%</w:t>
            </w:r>
          </w:p>
        </w:tc>
        <w:tc>
          <w:tcPr>
            <w:tcW w:w="4960" w:type="dxa"/>
            <w:shd w:val="clear" w:color="auto" w:fill="F5F8FF"/>
          </w:tcPr>
          <w:p>
            <w:r>
              <w:t xml:space="preserve">Emotional orientation toward AI tools — dominant feature</w:t>
            </w:r>
          </w:p>
        </w:tc>
      </w:tr>
      <w:tr>
        <w:tc>
          <w:tcPr>
            <w:tcW w:w="2800" w:type="dxa"/>
            <w:shd w:val="clear" w:color="auto" w:fill="FFFFFF"/>
          </w:tcPr>
          <w:p>
            <w:r>
              <w:t xml:space="preserve">Learned AI Tools (yr)</w:t>
            </w:r>
          </w:p>
        </w:tc>
        <w:tc>
          <w:tcPr>
            <w:tcW w:w="1600" w:type="dxa"/>
            <w:shd w:val="clear" w:color="auto" w:fill="FFFFFF"/>
          </w:tcPr>
          <w:p>
            <w:r>
              <w:t xml:space="preserve">16.3%</w:t>
            </w:r>
          </w:p>
        </w:tc>
        <w:tc>
          <w:tcPr>
            <w:tcW w:w="4960" w:type="dxa"/>
            <w:shd w:val="clear" w:color="auto" w:fill="FFFFFF"/>
          </w:tcPr>
          <w:p>
            <w:r>
              <w:t xml:space="preserve">Invested in AI learning this year</w:t>
            </w:r>
          </w:p>
        </w:tc>
      </w:tr>
      <w:tr>
        <w:tc>
          <w:tcPr>
            <w:tcW w:w="2800" w:type="dxa"/>
            <w:shd w:val="clear" w:color="auto" w:fill="F5F8FF"/>
          </w:tcPr>
          <w:p>
            <w:r>
              <w:t xml:space="preserve">Agent Engagement</w:t>
            </w:r>
          </w:p>
        </w:tc>
        <w:tc>
          <w:tcPr>
            <w:tcW w:w="1600" w:type="dxa"/>
            <w:shd w:val="clear" w:color="auto" w:fill="F5F8FF"/>
          </w:tcPr>
          <w:p>
            <w:r>
              <w:t xml:space="preserve">13.6%</w:t>
            </w:r>
          </w:p>
        </w:tc>
        <w:tc>
          <w:tcPr>
            <w:tcW w:w="4960" w:type="dxa"/>
            <w:shd w:val="clear" w:color="auto" w:fill="F5F8FF"/>
          </w:tcPr>
          <w:p>
            <w:r>
              <w:t xml:space="preserve">Whether developer uses AI agents</w:t>
            </w:r>
          </w:p>
        </w:tc>
      </w:tr>
      <w:tr>
        <w:tc>
          <w:tcPr>
            <w:tcW w:w="2800" w:type="dxa"/>
            <w:shd w:val="clear" w:color="auto" w:fill="FFFFFF"/>
          </w:tcPr>
          <w:p>
            <w:r>
              <w:t xml:space="preserve">AI Complexity Rating</w:t>
            </w:r>
          </w:p>
        </w:tc>
        <w:tc>
          <w:tcPr>
            <w:tcW w:w="1600" w:type="dxa"/>
            <w:shd w:val="clear" w:color="auto" w:fill="FFFFFF"/>
          </w:tcPr>
          <w:p>
            <w:r>
              <w:t xml:space="preserve">10.1%</w:t>
            </w:r>
          </w:p>
        </w:tc>
        <w:tc>
          <w:tcPr>
            <w:tcW w:w="4960" w:type="dxa"/>
            <w:shd w:val="clear" w:color="auto" w:fill="FFFFFF"/>
          </w:tcPr>
          <w:p>
            <w:r>
              <w:t xml:space="preserve">How well developer believes AI handles complex tasks</w:t>
            </w:r>
          </w:p>
        </w:tc>
      </w:tr>
      <w:tr>
        <w:tc>
          <w:tcPr>
            <w:tcW w:w="2800" w:type="dxa"/>
            <w:shd w:val="clear" w:color="auto" w:fill="F5F8FF"/>
          </w:tcPr>
          <w:p>
            <w:r>
              <w:t xml:space="preserve">AI Trust Level</w:t>
            </w:r>
          </w:p>
        </w:tc>
        <w:tc>
          <w:tcPr>
            <w:tcW w:w="1600" w:type="dxa"/>
            <w:shd w:val="clear" w:color="auto" w:fill="F5F8FF"/>
          </w:tcPr>
          <w:p>
            <w:r>
              <w:t xml:space="preserve">9.2%</w:t>
            </w:r>
          </w:p>
        </w:tc>
        <w:tc>
          <w:tcPr>
            <w:tcW w:w="4960" w:type="dxa"/>
            <w:shd w:val="clear" w:color="auto" w:fill="F5F8FF"/>
          </w:tcPr>
          <w:p>
            <w:r>
              <w:t xml:space="preserve">Trust in AI output accuracy</w:t>
            </w:r>
          </w:p>
        </w:tc>
      </w:tr>
      <w:tr>
        <w:tc>
          <w:tcPr>
            <w:tcW w:w="2800" w:type="dxa"/>
            <w:shd w:val="clear" w:color="auto" w:fill="FFFFFF"/>
          </w:tcPr>
          <w:p>
            <w:r>
              <w:t xml:space="preserve">Years Work Experience</w:t>
            </w:r>
          </w:p>
        </w:tc>
        <w:tc>
          <w:tcPr>
            <w:tcW w:w="1600" w:type="dxa"/>
            <w:shd w:val="clear" w:color="auto" w:fill="FFFFFF"/>
          </w:tcPr>
          <w:p>
            <w:r>
              <w:t xml:space="preserve">4.0%</w:t>
            </w:r>
          </w:p>
        </w:tc>
        <w:tc>
          <w:tcPr>
            <w:tcW w:w="4960" w:type="dxa"/>
            <w:shd w:val="clear" w:color="auto" w:fill="FFFFFF"/>
          </w:tcPr>
          <w:p>
            <w:r>
              <w:t xml:space="preserve">Professional experience</w:t>
            </w:r>
          </w:p>
        </w:tc>
      </w:tr>
      <w:tr>
        <w:tc>
          <w:tcPr>
            <w:tcW w:w="2800" w:type="dxa"/>
            <w:shd w:val="clear" w:color="auto" w:fill="F5F8FF"/>
          </w:tcPr>
          <w:p>
            <w:r>
              <w:t xml:space="preserve">Years Coding</w:t>
            </w:r>
          </w:p>
        </w:tc>
        <w:tc>
          <w:tcPr>
            <w:tcW w:w="1600" w:type="dxa"/>
            <w:shd w:val="clear" w:color="auto" w:fill="F5F8FF"/>
          </w:tcPr>
          <w:p>
            <w:r>
              <w:t xml:space="preserve">3.6%</w:t>
            </w:r>
          </w:p>
        </w:tc>
        <w:tc>
          <w:tcPr>
            <w:tcW w:w="4960" w:type="dxa"/>
            <w:shd w:val="clear" w:color="auto" w:fill="F5F8FF"/>
          </w:tcPr>
          <w:p>
            <w:r>
              <w:t xml:space="preserve">Technical experience</w:t>
            </w:r>
          </w:p>
        </w:tc>
      </w:tr>
      <w:tr>
        <w:tc>
          <w:tcPr>
            <w:tcW w:w="2800" w:type="dxa"/>
            <w:shd w:val="clear" w:color="auto" w:fill="FFFFFF"/>
          </w:tcPr>
          <w:p>
            <w:r>
              <w:t xml:space="preserve">Job Threat Perception</w:t>
            </w:r>
          </w:p>
        </w:tc>
        <w:tc>
          <w:tcPr>
            <w:tcW w:w="1600" w:type="dxa"/>
            <w:shd w:val="clear" w:color="auto" w:fill="FFFFFF"/>
          </w:tcPr>
          <w:p>
            <w:r>
              <w:t xml:space="preserve">0.6%</w:t>
            </w:r>
          </w:p>
        </w:tc>
        <w:tc>
          <w:tcPr>
            <w:tcW w:w="4960" w:type="dxa"/>
            <w:shd w:val="clear" w:color="auto" w:fill="FFFFFF"/>
          </w:tcPr>
          <w:p>
            <w:r>
              <w:t xml:space="preserve">Whether developer sees AI as job threat</w:t>
            </w:r>
          </w:p>
        </w:tc>
      </w:tr>
    </w:tbl>
    <w:p>
      <w:pPr>
        <w:spacing w:before="80" w:after="240"/>
        <w:jc w:val="center"/>
      </w:pPr>
      <w:r>
        <w:rPr>
          <w:rFonts w:ascii="Arial" w:cs="Arial" w:eastAsia="Arial" w:hAnsi="Arial"/>
          <w:b w:val="false"/>
          <w:bCs w:val="false"/>
          <w:i/>
          <w:iCs/>
          <w:caps w:val="false"/>
          <w:color w:val="888888"/>
          <w:sz w:val="17"/>
          <w:szCs w:val="17"/>
        </w:rPr>
        <w:t xml:space="preserve">Table 7. Random Forest feature importances. AI Sentiment is the dominant model feature (42.9%), outweighing all other features in the 8-feature model — including AI Trust (9.2%), Agent Engagement (13.6%), and experience-level features combined. Note: Gini-based importance (used here) is known to favor high-cardinality features; AISentScore (6 levels) may be inflated relative to binary features. Permutation importance (10 repeats on held-out test set) was also computed as a robustness check — generally considered more reliable than Gini. Permutation results: AISentScore 13.28 (rank 1), LearnedAI 2.41 (2), AgentScore 1.89 (3), AIComplexScore 1.76 (4), AITrustScore 1.52 (5). AISentScore remained #1 by a wide margin under both methods, and the same top-6 features appeared in both rankings.</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486400" cy="2769995"/>
            <wp:effectExtent l="0" t="0" r="0" b="0"/>
            <wp:docPr id="903" name="fig3_importances.png" descr="Horizontal bar chart of Random Forest feature importances for daily AI adoption. AI Sentiment is the dominant feature at 42.9%, followed by Learned AI Tools at 16.3% and Agent Engagement at 13.6%."/>
            <wp:cNvGraphicFramePr/>
            <a:graphic>
              <a:graphicData uri="http://schemas.openxmlformats.org/drawingml/2006/picture">
                <pic:pic>
                  <pic:nvPicPr>
                    <pic:cNvPr id="0" name="fig3_importances.png"/>
                    <pic:cNvPicPr/>
                  </pic:nvPicPr>
                  <pic:blipFill>
                    <a:blip r:embed="rId103"/>
                    <a:stretch>
                      <a:fillRect/>
                    </a:stretch>
                  </pic:blipFill>
                  <pic:spPr>
                    <a:xfrm>
                      <a:off x="0" y="0"/>
                      <a:ext cx="5486400" cy="2769995"/>
                    </a:xfrm>
                    <a:prstGeom prst="rect">
                      <a:avLst/>
                    </a:prstGeom>
                  </pic:spPr>
                </pic:pic>
              </a:graphicData>
            </a:graphic>
          </wp:inline>
        </w:drawing>
      </w:r>
    </w:p>
    <w:tbl>
      <w:tblPr>
        <w:tblW w:type="dxa" w:w="9360"/>
        <w:tblBorders>
          <w:top w:val="single" w:color="2E5BA8" w:sz="12"/>
          <w:left w:val="none" w:sz="0"/>
          <w:bottom w:val="single" w:color="2E5BA8" w:sz="12"/>
          <w:right w:val="none" w:sz="0"/>
          <w:insideH w:val="single" w:color="auto" w:sz="4"/>
          <w:insideV w:val="single" w:color="auto" w:sz="4"/>
        </w:tblBorders>
      </w:tblPr>
      <w:tblGrid>
        <w:gridCol w:w="9360"/>
      </w:tblGrid>
      <w:tr>
        <w:trPr>
          <w:tblHeader/>
        </w:trPr>
        <w:tc>
          <w:tcPr>
            <w:tcW w:type="dxa" w:w="9360"/>
            <w:tcBorders>
              <w:top w:val="none" w:sz="0"/>
              <w:left w:val="none" w:sz="0"/>
              <w:bottom w:val="none" w:sz="0"/>
              <w:right w:val="none" w:sz="0"/>
            </w:tcBorders>
            <w:shd w:fill="EAF0FB" w:val="clear"/>
            <w:tcMar>
              <w:top w:type="dxa" w:w="180"/>
              <w:left w:type="dxa" w:w="360"/>
              <w:bottom w:type="dxa" w:w="180"/>
              <w:right w:type="dxa" w:w="360"/>
            </w:tcMar>
          </w:tcPr>
          <w:p>
            <w:pPr>
              <w:spacing w:before="0" w:after="0"/>
              <w:jc w:val="center"/>
            </w:pPr>
            <w:r>
              <w:rPr>
                <w:rFonts w:ascii="Georgia" w:cs="Georgia" w:eastAsia="Georgia" w:hAnsi="Georgia"/>
                <w:b w:val="false"/>
                <w:bCs w:val="false"/>
                <w:i/>
                <w:iCs/>
                <w:caps w:val="false"/>
                <w:color w:val="2E5BA8"/>
                <w:sz w:val="26"/>
                <w:szCs w:val="26"/>
              </w:rPr>
              <w:t xml:space="preserve">"How you feel about AI is more strongly associated with daily use than how much you trust it, how long you have been coding, or how many years you have coded."</w:t>
            </w:r>
          </w:p>
        </w:tc>
      </w:tr>
    </w:tbl>
    <w:p>
      <w:pPr>
        <w:spacing w:before="200" w:after="0"/>
      </w:pP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is the classification analysis's most consequential finding: AI Sentiment — the developer's emotional orientation toward AI — is the variable most strongly associated with daily adoption in this dataset, accounting for 42.9% of the Random Forest’s feature importance. It outweighs AI Trust Level (9.2%) by a factor of nearly five. It outweighs Years Coding (3.6%) by more than eleven times.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Decision Tree's structure makes this vivid: in every high-confidence path to daily adoption, the first split is on sentiment. Developers with sentiment above 3.5 (between "indifferent" and "favorable") then proceed through agent engagement, learning behavior, and coding experience to reach a predicted probability approaching 95% for daily use. Every path to non-adoption also begins with sentiment, at or below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CCA800" w:sz="4"/>
              <w:left w:val="single" w:color="CCA800" w:sz="4"/>
              <w:bottom w:val="single" w:color="CCA800" w:sz="4"/>
              <w:right w:val="single" w:color="CCA800" w:sz="4"/>
            </w:tcBorders>
            <w:shd w:fill="FFF3CD" w:val="clear"/>
            <w:tcMar>
              <w:top w:type="dxa" w:w="100"/>
              <w:left w:type="dxa" w:w="200"/>
              <w:bottom w:type="dxa" w:w="100"/>
              <w:right w:type="dxa" w:w="200"/>
            </w:tcMar>
          </w:tcPr>
          <w:p>
            <w:pPr>
              <w:spacing w:before="0" w:after="0"/>
            </w:pPr>
            <w:r>
              <w:rPr>
                <w:rFonts w:ascii="Arial" w:cs="Arial" w:eastAsia="Arial" w:hAnsi="Arial"/>
                <w:b/>
                <w:bCs/>
                <w:i w:val="false"/>
                <w:iCs w:val="false"/>
                <w:caps w:val="false"/>
                <w:color w:val="7D5900"/>
                <w:sz w:val="19"/>
                <w:szCs w:val="19"/>
              </w:rPr>
              <w:t xml:space="preserve">Methodological Note: </w:t>
            </w:r>
            <w:r>
              <w:rPr>
                <w:rFonts w:ascii="Arial" w:cs="Arial" w:eastAsia="Arial" w:hAnsi="Arial"/>
                <w:b w:val="false"/>
                <w:bCs w:val="false"/>
                <w:i w:val="false"/>
                <w:iCs w:val="false"/>
                <w:caps w:val="false"/>
                <w:color w:val="7D5900"/>
                <w:sz w:val="19"/>
                <w:szCs w:val="19"/>
              </w:rPr>
              <w:t xml:space="preserve">Sentiment and usage are both measured at a single point in time in the same survey. We cannot establish causal direction from this data: it is equally plausible that positive sentiment drives adoption, or that adoption shapes sentiment, or that both are driven by a third factor (such as workplace culture or individual personality). What we can say is that they are strongly associated, and that addressing sentiment — not just access or training — should be part of any adoption strategy. The temporal ordering of interventions matters.</w:t>
            </w:r>
          </w:p>
        </w:tc>
      </w:tr>
    </w:tbl>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7. The Mechanics of Skepticism</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aggregate trust decline documented in Section 4 is not uniform. The following analyses identify the specific pathways through which skepticism develops — and, by implication, the specific intervention points that could interrupt those pathways.</w:t>
      </w:r>
    </w:p>
    <w:p>
      <w:pPr>
        <w:pStyle w:val="Heading2"/>
        <w:spacing w:before="300" w:after="120"/>
      </w:pPr>
      <w:r>
        <w:rPr>
          <w:rFonts w:ascii="Arial" w:cs="Arial" w:eastAsia="Arial" w:hAnsi="Arial"/>
          <w:b/>
          <w:bCs/>
          <w:color w:val="1A1A1A"/>
          <w:sz w:val="28"/>
          <w:szCs w:val="28"/>
        </w:rPr>
        <w:t xml:space="preserve">7.1  The Occasional-User Dip</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One of the most actionable findings in this dataset is a non-linear relationship between usage frequency and trust. Examining mean trust scores by usage group reveals a valley at the "monthly or infrequent"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Usage Group</w:t>
            </w:r>
          </w:p>
        </w:tc>
        <w:tc>
          <w:tcPr>
            <w:tcW w:type="dxa" w:w="312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Mean Trust Score (0–4)</w:t>
            </w:r>
          </w:p>
        </w:tc>
        <w:tc>
          <w:tcPr>
            <w:tcW w:type="dxa" w:w="312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Interpretation</w:t>
            </w:r>
          </w:p>
        </w:tc>
      </w:tr>
      <w:tr>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Won't Use AI</w:t>
            </w:r>
          </w:p>
        </w:tc>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0.58</w:t>
            </w:r>
          </w:p>
        </w:tc>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Baseline: opted out</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Planning to Try</w:t>
            </w:r>
          </w:p>
        </w:tc>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1.64</w:t>
            </w:r>
          </w:p>
        </w:tc>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Pre-use optimism</w:t>
            </w:r>
          </w:p>
        </w:tc>
      </w:tr>
      <w:tr>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Monthly / Infrequent Use</w:t>
            </w:r>
          </w:p>
        </w:tc>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1.31</w:t>
            </w:r>
          </w:p>
        </w:tc>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 THE DIP</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Weekly Use</w:t>
            </w:r>
          </w:p>
        </w:tc>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1.72</w:t>
            </w:r>
          </w:p>
        </w:tc>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Recovery begins</w:t>
            </w:r>
          </w:p>
        </w:tc>
      </w:tr>
      <w:tr>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Daily Use</w:t>
            </w:r>
          </w:p>
        </w:tc>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2.21</w:t>
            </w:r>
          </w:p>
        </w:tc>
        <w:tc>
          <w:tcPr>
            <w:tcW w:type="dxa" w:w="312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Highest trust</w:t>
            </w:r>
          </w:p>
        </w:tc>
      </w:tr>
    </w:tbl>
    <w:p>
      <w:pPr>
        <w:spacing w:before="80" w:after="240"/>
        <w:jc w:val="center"/>
      </w:pPr>
      <w:r>
        <w:rPr>
          <w:rFonts w:ascii="Arial" w:cs="Arial" w:eastAsia="Arial" w:hAnsi="Arial"/>
          <w:b w:val="false"/>
          <w:bCs w:val="false"/>
          <w:i/>
          <w:iCs/>
          <w:caps w:val="false"/>
          <w:color w:val="888888"/>
          <w:sz w:val="17"/>
          <w:szCs w:val="17"/>
        </w:rPr>
        <w:t xml:space="preserve">Table 8. Mean AI Trust Score by usage frequency. "Planning to try" scores higher than "monthly/infrequent" users — pre-use optimism exceeds first-contact reality.</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2743200"/>
            <wp:effectExtent l="0" t="0" r="0" b="0"/>
            <wp:docPr id="904" name="fig4_dip.png" descr="Line chart showing trust score by AI usage frequency. Trust dips at the monthly/infrequent stage (1.31) before recovering among weekly (1.72) and daily users (2.21), illustrating the adoption valley."/>
            <wp:cNvGraphicFramePr/>
            <a:graphic>
              <a:graphicData uri="http://schemas.openxmlformats.org/drawingml/2006/picture">
                <pic:pic>
                  <pic:nvPicPr>
                    <pic:cNvPr id="0" name="fig4_dip.png"/>
                    <pic:cNvPicPr/>
                  </pic:nvPicPr>
                  <pic:blipFill>
                    <a:blip r:embed="rId104"/>
                    <a:stretch>
                      <a:fillRect/>
                    </a:stretch>
                  </pic:blipFill>
                  <pic:spPr>
                    <a:xfrm>
                      <a:off x="0" y="0"/>
                      <a:ext cx="5029200" cy="2743200"/>
                    </a:xfrm>
                    <a:prstGeom prst="rect">
                      <a:avLst/>
                    </a:prstGeom>
                  </pic:spPr>
                </pic:pic>
              </a:graphicData>
            </a:graphic>
          </wp:inline>
        </w:drawing>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Developers who use AI monthly or infrequently trust it less than developers who have never used it but plan to. Their mean trust score (1.31) falls below both the "planning to try" group (1.64) and weekly users (1.72). The dip is not gradual — it is discrete. Something happens at the point of first contact that damages trust below baseline, and only further use begins to rebuild it.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We interpret this as the adoption valley: the gap between expectation and first-contact reality. Developers approach AI tools with a degree of optimism (reflected in the higher trust score among those planning to try). When they encounter the tool's limitations — partial outputs, non-explainable reasoning, slower debugging cycles — without the competence to navigate those limitations, trust drops. The critical insight is that continued use produces recovery: weekly users are back above the pre-use level, and daily users are highest of all. The danger zone is not pre-use; it is occasional use without sufficient support to cross the competence threshold.</w:t>
      </w:r>
    </w:p>
    <w:p>
      <w:pPr>
        <w:pStyle w:val="Heading2"/>
        <w:spacing w:before="300" w:after="120"/>
      </w:pPr>
      <w:r>
        <w:rPr>
          <w:rFonts w:ascii="Arial" w:cs="Arial" w:eastAsia="Arial" w:hAnsi="Arial"/>
          <w:b/>
          <w:bCs/>
          <w:color w:val="1A1A1A"/>
          <w:sz w:val="28"/>
          <w:szCs w:val="28"/>
        </w:rPr>
        <w:t xml:space="preserve">7.2  Frustration and Distrust: An Associative Pattern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survey asks developers to identify frustrations with AI tools. The analysis below examines the distrust rate — the proportion identifying as "somewhat" or "highly" distrusting AI — among developers who have experienced each frustration type. The ordering is revealing: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900"/>
        <w:gridCol w:w="1300"/>
        <w:gridCol w:w="3360"/>
      </w:tblGrid>
      <w:tr>
        <w:trPr>
          <w:tblHeader/>
        </w:trPr>
        <w:tc>
          <w:tcPr>
            <w:tcW w:type="dxa" w:w="38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Frustration</w:t>
            </w:r>
          </w:p>
        </w:tc>
        <w:tc>
          <w:tcPr>
            <w:tcW w:type="dxa" w:w="9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n</w:t>
            </w:r>
          </w:p>
        </w:tc>
        <w:tc>
          <w:tcPr>
            <w:tcW w:type="dxa" w:w="13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Distrust Rate</w:t>
            </w:r>
          </w:p>
        </w:tc>
        <w:tc>
          <w:tcPr>
            <w:tcW w:type="dxa" w:w="33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Interpretation</w:t>
            </w:r>
          </w:p>
        </w:tc>
      </w:tr>
      <w:tr>
        <w:tc>
          <w:tcPr>
            <w:tcW w:type="dxa" w:w="3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Don't use AI regularly</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7,381</w:t>
            </w:r>
          </w:p>
        </w:tc>
        <w:tc>
          <w:tcPr>
            <w:tcW w:type="dxa" w:w="13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72.1%</w:t>
            </w:r>
          </w:p>
        </w:tc>
        <w:tc>
          <w:tcPr>
            <w:tcW w:type="dxa" w:w="33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Non-users (expected)</w:t>
            </w:r>
          </w:p>
        </w:tc>
      </w:tr>
      <w:tr>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Debugging AI code is more time-consuming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14,234</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53.8%</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 Key finding</w:t>
            </w:r>
          </w:p>
        </w:tc>
      </w:tr>
      <w:tr>
        <w:tc>
          <w:tcPr>
            <w:tcW w:type="dxa" w:w="3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Hard to understand how/why code works</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5,128</w:t>
            </w:r>
          </w:p>
        </w:tc>
        <w:tc>
          <w:tcPr>
            <w:tcW w:type="dxa" w:w="13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47.3%</w:t>
            </w:r>
          </w:p>
        </w:tc>
        <w:tc>
          <w:tcPr>
            <w:tcW w:type="dxa" w:w="33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 Key finding</w:t>
            </w:r>
          </w:p>
        </w:tc>
      </w:tr>
      <w:tr>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Almost right but not quite</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20,771</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42.5%</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Largest group, lower distrust</w:t>
            </w:r>
          </w:p>
        </w:tc>
      </w:tr>
      <w:tr>
        <w:tc>
          <w:tcPr>
            <w:tcW w:type="dxa" w:w="3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Became less confident in own skills</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6,303</w:t>
            </w:r>
          </w:p>
        </w:tc>
        <w:tc>
          <w:tcPr>
            <w:tcW w:type="dxa" w:w="13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41.3%</w:t>
            </w:r>
          </w:p>
        </w:tc>
        <w:tc>
          <w:tcPr>
            <w:tcW w:type="dxa" w:w="33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Self-efficacy concern</w:t>
            </w:r>
          </w:p>
        </w:tc>
      </w:tr>
      <w:tr>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No problems encountered</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1,236</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12.4%</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Satisfied users</w:t>
            </w:r>
          </w:p>
        </w:tc>
      </w:tr>
    </w:tbl>
    <w:p>
      <w:pPr>
        <w:spacing w:before="80" w:after="240"/>
        <w:jc w:val="center"/>
      </w:pPr>
      <w:r>
        <w:rPr>
          <w:rFonts w:ascii="Arial" w:cs="Arial" w:eastAsia="Arial" w:hAnsi="Arial"/>
          <w:b w:val="false"/>
          <w:bCs w:val="false"/>
          <w:i/>
          <w:iCs/>
          <w:caps w:val="false"/>
          <w:color w:val="888888"/>
          <w:sz w:val="17"/>
          <w:szCs w:val="17"/>
        </w:rPr>
        <w:t xml:space="preserve">Table 9. Distrust rate by frustration type. Transparency and ownership failures are associated with higher distrust rates than output quality failures.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most important observation is what is not at the top of the distrust ranking. "Almost right but not quite" — the most commonly cited frustration, affecting 20,771 respondents — produces a distrust rate of 42.5%. But "debugging AI-generated code is more time-consuming" (14,234 respondents) produces a higher distrust rate of 53.8%, and "it's hard to understand how or why the code works" produces 47.3% distrust despite being less common.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frustration most strongly associated with distrust is not that AI code is wrong. It is that AI code is hard to own. When developers cannot interrogate the logic behind AI output, cannot efficiently debug it when it fails, or cannot explain it to a colleague or reviewer, trust collapses. The data pattern is consistent with a transparency and workflow design problem rather than a pure model quality problem. Better AI workflows — that preserve developer agency, explainability, and debugging efficiency — may matter as much as model improvements, though this interpretation should be treated as a hypothesis the data suggests rather than a conclusion it establishes.</w:t>
      </w:r>
    </w:p>
    <w:p>
      <w:pPr>
        <w:pStyle w:val="Heading2"/>
        <w:spacing w:before="300" w:after="120"/>
      </w:pPr>
      <w:r>
        <w:rPr>
          <w:rFonts w:ascii="Arial" w:cs="Arial" w:eastAsia="Arial" w:hAnsi="Arial"/>
          <w:b/>
          <w:bCs/>
          <w:color w:val="1A1A1A"/>
          <w:sz w:val="28"/>
          <w:szCs w:val="28"/>
        </w:rPr>
        <w:t xml:space="preserve">7.3  How Learning Method Is Associated With Trust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Among the most practically actionable findings is the relationship between how a developer learned to use AI and how much they trust it. The spread across learning methods is 29 percentage points — larger than many structural variables practitioners typically focus on. Important caveat on precision: this gap is anchored at the top by the bootcamp cohort (66.5%, n=495), which is large enough to be directionally meaningful but small enough that the specific rate is sensitive to composition. When restricted to single-method learners, the bootcamp group shrinks to n=21, making the precise magnitude unreliable at that end. The directional finding — structured learning is associated with substantially higher trust rates than informal peer-to-peer transfer — is robust; the "29 points" headline should be understood as an indicative spread, not a precise measurement.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000"/>
        <w:gridCol w:w="3960"/>
      </w:tblGrid>
      <w:tr>
        <w:trPr>
          <w:tblHeader/>
        </w:trPr>
        <w:tc>
          <w:tcPr>
            <w:tcW w:type="dxa" w:w="32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Learning Method</w:t>
            </w:r>
          </w:p>
        </w:tc>
        <w:tc>
          <w:tcPr>
            <w:tcW w:type="dxa" w:w="12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Trust Rate</w:t>
            </w:r>
          </w:p>
        </w:tc>
        <w:tc>
          <w:tcPr>
            <w:tcW w:type="dxa" w:w="10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n</w:t>
            </w:r>
          </w:p>
        </w:tc>
        <w:tc>
          <w:tcPr>
            <w:tcW w:type="dxa" w:w="39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Category</w:t>
            </w:r>
          </w:p>
        </w:tc>
      </w:tr>
      <w:tr>
        <w:tc>
          <w:tcPr>
            <w:tcW w:type="dxa" w:w="3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Coding Bootcamp</w:t>
            </w:r>
          </w:p>
        </w:tc>
        <w:tc>
          <w:tcPr>
            <w:tcW w:type="dxa" w:w="1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66.5%</w:t>
            </w:r>
          </w:p>
        </w:tc>
        <w:tc>
          <w:tcPr>
            <w:tcW w:type="dxa" w:w="10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495</w:t>
            </w:r>
          </w:p>
        </w:tc>
        <w:tc>
          <w:tcPr>
            <w:tcW w:type="dxa" w:w="39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Structured</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Online Courses / Certs</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52.4%</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3,373</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Structured-digital</w:t>
            </w:r>
          </w:p>
        </w:tc>
      </w:tr>
      <w:tr>
        <w:tc>
          <w:tcPr>
            <w:tcW w:type="dxa" w:w="3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School / University</w:t>
            </w:r>
          </w:p>
        </w:tc>
        <w:tc>
          <w:tcPr>
            <w:tcW w:type="dxa" w:w="1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48.4%</w:t>
            </w:r>
          </w:p>
        </w:tc>
        <w:tc>
          <w:tcPr>
            <w:tcW w:type="dxa" w:w="10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1,204</w:t>
            </w:r>
          </w:p>
        </w:tc>
        <w:tc>
          <w:tcPr>
            <w:tcW w:type="dxa" w:w="39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Structured</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Games / Coding Challenges</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48.0%</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633</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Active practice</w:t>
            </w:r>
          </w:p>
        </w:tc>
      </w:tr>
      <w:tr>
        <w:tc>
          <w:tcPr>
            <w:tcW w:type="dxa" w:w="3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YouTube / Videos</w:t>
            </w:r>
          </w:p>
        </w:tc>
        <w:tc>
          <w:tcPr>
            <w:tcW w:type="dxa" w:w="1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45.5%</w:t>
            </w:r>
          </w:p>
        </w:tc>
        <w:tc>
          <w:tcPr>
            <w:tcW w:type="dxa" w:w="10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8,360</w:t>
            </w:r>
          </w:p>
        </w:tc>
        <w:tc>
          <w:tcPr>
            <w:tcW w:type="dxa" w:w="39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Self-directed</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AI Tools (self-taught)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44.3%</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11,358</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Self-directed</w:t>
            </w:r>
          </w:p>
        </w:tc>
      </w:tr>
      <w:tr>
        <w:tc>
          <w:tcPr>
            <w:tcW w:type="dxa" w:w="3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Books / Physical Media</w:t>
            </w:r>
          </w:p>
        </w:tc>
        <w:tc>
          <w:tcPr>
            <w:tcW w:type="dxa" w:w="1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43.0%</w:t>
            </w:r>
          </w:p>
        </w:tc>
        <w:tc>
          <w:tcPr>
            <w:tcW w:type="dxa" w:w="10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1,761</w:t>
            </w:r>
          </w:p>
        </w:tc>
        <w:tc>
          <w:tcPr>
            <w:tcW w:type="dxa" w:w="39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Self-directed</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Blogs / Podcasts</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41.2%</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6,240</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Self-directed</w:t>
            </w:r>
          </w:p>
        </w:tc>
      </w:tr>
      <w:tr>
        <w:tc>
          <w:tcPr>
            <w:tcW w:type="dxa" w:w="3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Stack Overflow / SE</w:t>
            </w:r>
          </w:p>
        </w:tc>
        <w:tc>
          <w:tcPr>
            <w:tcW w:type="dxa" w:w="1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40.9%</w:t>
            </w:r>
          </w:p>
        </w:tc>
        <w:tc>
          <w:tcPr>
            <w:tcW w:type="dxa" w:w="10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3,673</w:t>
            </w:r>
          </w:p>
        </w:tc>
        <w:tc>
          <w:tcPr>
            <w:tcW w:type="dxa" w:w="39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Community-based</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Online Search / Forums</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39.7%</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9,720</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Self-directed</w:t>
            </w:r>
          </w:p>
        </w:tc>
      </w:tr>
      <w:tr>
        <w:tc>
          <w:tcPr>
            <w:tcW w:type="dxa" w:w="3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Technical Documentation</w:t>
            </w:r>
          </w:p>
        </w:tc>
        <w:tc>
          <w:tcPr>
            <w:tcW w:type="dxa" w:w="1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39.4%</w:t>
            </w:r>
          </w:p>
        </w:tc>
        <w:tc>
          <w:tcPr>
            <w:tcW w:type="dxa" w:w="10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9,327</w:t>
            </w:r>
          </w:p>
        </w:tc>
        <w:tc>
          <w:tcPr>
            <w:tcW w:type="dxa" w:w="39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Self-directed</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Colleague / On-the-Job</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37.3%</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4,715</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Informal</w:t>
            </w:r>
          </w:p>
        </w:tc>
      </w:tr>
    </w:tbl>
    <w:p>
      <w:pPr>
        <w:spacing w:before="80" w:after="240"/>
        <w:jc w:val="center"/>
      </w:pPr>
      <w:r>
        <w:rPr>
          <w:rFonts w:ascii="Arial" w:cs="Arial" w:eastAsia="Arial" w:hAnsi="Arial"/>
          <w:b w:val="false"/>
          <w:bCs w:val="false"/>
          <w:i/>
          <w:iCs/>
          <w:caps w:val="false"/>
          <w:color w:val="888888"/>
          <w:sz w:val="17"/>
          <w:szCs w:val="17"/>
        </w:rPr>
        <w:t xml:space="preserve">Table 10. Trust rate by AI learning method. Structured learning pathways are consistently associated with higher trust rates than informal or self-directed methods.</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4528927" cy="3200400"/>
            <wp:effectExtent l="0" t="0" r="0" b="0"/>
            <wp:docPr id="905" name="fig5_learning.png" descr="Horizontal bar chart ranking AI learning methods by trust rate. Coding Bootcamp leads at 66.5% (n=495) and Colleague/On-the-Job is last at 37.3% (n=4,715), a 29-point indicative spread."/>
            <wp:cNvGraphicFramePr/>
            <a:graphic>
              <a:graphicData uri="http://schemas.openxmlformats.org/drawingml/2006/picture">
                <pic:pic>
                  <pic:nvPicPr>
                    <pic:cNvPr id="0" name="fig5_learning.png"/>
                    <pic:cNvPicPr/>
                  </pic:nvPicPr>
                  <pic:blipFill>
                    <a:blip r:embed="rId105"/>
                    <a:stretch>
                      <a:fillRect/>
                    </a:stretch>
                  </pic:blipFill>
                  <pic:spPr>
                    <a:xfrm>
                      <a:off x="0" y="0"/>
                      <a:ext cx="4528927" cy="3200400"/>
                    </a:xfrm>
                    <a:prstGeom prst="rect">
                      <a:avLst/>
                    </a:prstGeom>
                  </pic:spPr>
                </pic:pic>
              </a:graphicData>
            </a:graphic>
          </wp:inline>
        </w:drawing>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Developers who learned AI through structured channels — coding bootcamps (66.5%), online courses (52.4%), or school (48.4%) — trust AI output substantially more than those who learned informally. The lowest trust rate belongs to colleague or on-the-job training (37.3%) — the most common default in organizational settings.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finding implicates a self-reinforcing problem. Organizations that rely on informal peer-to-peer knowledge transfer to onboard employees to AI tools are associated with the lowest-trust cohorts in this dataset. Those low-trust users become the colleagues who informally train the next wave of learners. The pattern is consistent with a self-reinforcing dynamic. Structured, intentional learning pathways are associated with substantially higher trust rates and may represent a lever for breaking that pattern — though intervention claims should be treated as hypotheses the cross-sectional data suggests, not effects it establishes.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CCA800" w:sz="4"/>
              <w:left w:val="single" w:color="CCA800" w:sz="4"/>
              <w:bottom w:val="single" w:color="CCA800" w:sz="4"/>
              <w:right w:val="single" w:color="CCA800" w:sz="4"/>
            </w:tcBorders>
            <w:shd w:fill="FFF3CD" w:val="clear"/>
            <w:tcMar>
              <w:top w:type="dxa" w:w="100"/>
              <w:left w:type="dxa" w:w="200"/>
              <w:bottom w:type="dxa" w:w="100"/>
              <w:right w:type="dxa" w:w="200"/>
            </w:tcMar>
          </w:tcPr>
          <w:p>
            <w:pPr>
              <w:spacing w:before="0" w:after="0"/>
            </w:pPr>
            <w:r>
              <w:rPr>
                <w:rFonts w:ascii="Arial" w:cs="Arial" w:eastAsia="Arial" w:hAnsi="Arial"/>
                <w:b/>
                <w:bCs/>
                <w:i w:val="false"/>
                <w:iCs w:val="false"/>
                <w:caps w:val="false"/>
                <w:color w:val="7D5900"/>
                <w:sz w:val="19"/>
                <w:szCs w:val="19"/>
              </w:rPr>
              <w:t xml:space="preserve">Methodological Note: A potential confound: bootcamp learners skew younger (24% aged 18–24 vs. 11% for colleague-trained), and younger developers may be more positively oriented toward AI independently of how they learned it. The trust gradient across methods is large enough that it is unlikely to be fully explained by age, but a controlled study with matched samples would strengthen the causal inference here. A second limitation: the AILearnHow question is multi-select, meaning a single respondent may appear in multiple rows of Table 10. The trust rates reported are therefore for populations who used a given method, not for mutually exclusive groups. The 29-percentage-point gap between bootcamp and colleague learning reflects the difference in trust rates between two overlapping populations, not two cleanly separated cohorts. Analyses restricted to respondents who selected only one learning method (n=5,216) confirmed the key directional finding: structured methods (bootcamp, online courses, school) consistently outperform informal methods (colleague/on-the-job) in trust rates, and colleague learning remains last in both analyses. Mid-ranking positions shift meaningfully in the single-method subset, and the bootcamp group shrinks to n=21, making its specific rate unreliable. The 29pp gap headline should be understood as robust at the endpoints; the precise ordering of middle-tier methods is more sensitive to the multi-select overlap than the headline claim.</w:t>
            </w:r>
            <w:r>
              <w:rPr>
                <w:rFonts w:ascii="Arial" w:cs="Arial" w:eastAsia="Arial" w:hAnsi="Arial"/>
                <w:b w:val="false"/>
                <w:bCs w:val="false"/>
                <w:i w:val="false"/>
                <w:iCs w:val="false"/>
                <w:caps w:val="false"/>
                <w:color w:val="7D5900"/>
                <w:sz w:val="19"/>
                <w:szCs w:val="19"/>
              </w:rPr>
              <w:t xml:space="preserve"/>
            </w:r>
          </w:p>
        </w:tc>
      </w:tr>
    </w:tbl>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8. Unexpected Patterns</w:t>
      </w:r>
    </w:p>
    <w:p>
      <w:pPr>
        <w:pStyle w:val="Heading2"/>
        <w:spacing w:before="300" w:after="120"/>
      </w:pPr>
      <w:r>
        <w:rPr>
          <w:rFonts w:ascii="Arial" w:cs="Arial" w:eastAsia="Arial" w:hAnsi="Arial"/>
          <w:b/>
          <w:bCs/>
          <w:color w:val="1A1A1A"/>
          <w:sz w:val="28"/>
          <w:szCs w:val="28"/>
        </w:rPr>
        <w:t xml:space="preserve">8.1  The Job Threat Paradox</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 counterintuitive finding emerges from the job threat data. Developers who believe AI threatens their current job use AI tools more frequently than those who do not feel threatened: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Job Threat Perception</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Mean AI Usage Score</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Mean Trust Score</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n</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Yes — AI threatens my job</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3.047</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1.977</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4,748</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I'm not sure</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2.854</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1.818</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7,043</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No — AI does not threaten</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2.668</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1.612</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21,335</w:t>
            </w:r>
          </w:p>
        </w:tc>
      </w:tr>
    </w:tbl>
    <w:p>
      <w:pPr>
        <w:spacing w:before="80" w:after="240"/>
        <w:jc w:val="center"/>
      </w:pPr>
      <w:r>
        <w:rPr>
          <w:rFonts w:ascii="Arial" w:cs="Arial" w:eastAsia="Arial" w:hAnsi="Arial"/>
          <w:b w:val="false"/>
          <w:bCs w:val="false"/>
          <w:i/>
          <w:iCs/>
          <w:caps w:val="false"/>
          <w:color w:val="888888"/>
          <w:sz w:val="17"/>
          <w:szCs w:val="17"/>
        </w:rPr>
        <w:t xml:space="preserve">Table 11. AI usage and trust by job threat perception. Threatened developers use AI more, and also report higher trust scores, than non-threatened peers — a counterintuitive pairing examined in the text.</w:t>
      </w:r>
    </w:p>
    <w:p>
      <w:pPr>
        <w:spacing w:before="200" w:after="0"/>
      </w:pP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runs counter to the predictions of the "fear causes avoidance" model that most change management frameworks assume. Developers who feel threatened by AI are not withdrawing from it — they are hedging. They are using the tool that might replace them, possibly to understand its capabilities better, possibly to build competency as a defensive measure, possibly because their organizational context is mandating use more forcefully for precisely the roles most at risk.</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trust picture is equally interesting: threatened developers also score higher on trust (1.977) than non-threatened developers (1.612). They distrust AI less than those who see no threat — perhaps because they have formed more realistic assessments of what AI can and cannot do. This is not complacent trust; it is informed engagement.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practical implication is that threatened workers need a different intervention than is typically designed. They are not resisters who need persuasion. They are anxious early adopters who need scaffolding: structured pathways to build genuine competency quickly, and organizational signals that their engagement is recognized and rewarded.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CCA800" w:sz="4"/>
              <w:left w:val="single" w:color="CCA800" w:sz="4"/>
              <w:bottom w:val="single" w:color="CCA800" w:sz="4"/>
              <w:right w:val="single" w:color="CCA800" w:sz="4"/>
            </w:tcBorders>
            <w:shd w:fill="FFF3CD" w:val="clear"/>
            <w:tcMar>
              <w:top w:type="dxa" w:w="100"/>
              <w:left w:type="dxa" w:w="200"/>
              <w:bottom w:type="dxa" w:w="100"/>
              <w:right w:type="dxa" w:w="200"/>
            </w:tcMar>
          </w:tcPr>
          <w:p>
            <w:pPr>
              <w:spacing w:before="0" w:after="0"/>
            </w:pPr>
            <w:r>
              <w:rPr>
                <w:rFonts w:ascii="Arial" w:cs="Arial" w:eastAsia="Arial" w:hAnsi="Arial"/>
                <w:b/>
                <w:bCs/>
                <w:i w:val="false"/>
                <w:iCs w:val="false"/>
                <w:caps w:val="false"/>
                <w:color w:val="7D5900"/>
                <w:sz w:val="19"/>
                <w:szCs w:val="19"/>
              </w:rPr>
              <w:t xml:space="preserve">Methodological Note: </w:t>
            </w:r>
            <w:r>
              <w:rPr>
                <w:rFonts w:ascii="Arial" w:cs="Arial" w:eastAsia="Arial" w:hAnsi="Arial"/>
                <w:b w:val="false"/>
                <w:bCs w:val="false"/>
                <w:i w:val="false"/>
                <w:iCs w:val="false"/>
                <w:caps w:val="false"/>
                <w:color w:val="7D5900"/>
                <w:sz w:val="19"/>
                <w:szCs w:val="19"/>
              </w:rPr>
              <w:t xml:space="preserve">Causality cannot be established from cross-sectional data. An alternative interpretation: heavy AI users may be more aware of AI's capabilities and therefore more inclined to perceive a job threat. Both directions are plausible and the data does not distinguish them.</w:t>
            </w:r>
          </w:p>
        </w:tc>
      </w:tr>
    </w:tbl>
    <w:p>
      <w:pPr>
        <w:pStyle w:val="Heading2"/>
        <w:spacing w:before="300" w:after="120"/>
      </w:pPr>
      <w:r>
        <w:rPr>
          <w:rFonts w:ascii="Arial" w:cs="Arial" w:eastAsia="Arial" w:hAnsi="Arial"/>
          <w:b/>
          <w:bCs/>
          <w:color w:val="1A1A1A"/>
          <w:sz w:val="28"/>
          <w:szCs w:val="28"/>
        </w:rPr>
        <w:t xml:space="preserve">8.2  The Agent Realism Shift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 second unexpected pattern emerges from the agent use data. Comparing sentiment distributions across agent engagement levels, weekly agent users show higher "Favorable" sentiment (51.3%) than daily agent users (36.7%). But the picture is more nuanced than it first appears.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Daily agent users have near-zero "Very Unfavorable" sentiment (0.8%) and the highest proportion of "Very Favorable" responses (54.0%). Weekly users show more "Favorable" responses but also more "Unfavorable" ones. Daily agent users also score highest on both trust (compared to non-agent users) and complexity ratings — they have the most favorable assessment of what AI can actually do.</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What this pattern describes is a realism shift. Weekly agent users are in the honeymoon phase — enthusiastic, moderately positive. Daily agent users have moved past enthusiasm into something more durable: pragmatic confidence. The "Favorable" percentage drops not because experience is negative, but because "Very Favorable" — a category of genuine conviction — absorbs the distribution. This is what mastery looks like in survey data.</w:t>
      </w:r>
    </w:p>
    <w:p>
      <w:pPr>
        <w:pStyle w:val="Heading2"/>
        <w:spacing w:before="300" w:after="120"/>
      </w:pPr>
      <w:r>
        <w:rPr>
          <w:rFonts w:ascii="Arial" w:cs="Arial" w:eastAsia="Arial" w:hAnsi="Arial"/>
          <w:b/>
          <w:bCs/>
          <w:color w:val="1A1A1A"/>
          <w:sz w:val="28"/>
          <w:szCs w:val="28"/>
        </w:rPr>
        <w:t xml:space="preserve">8.3  Stack Overflow's Most Engaged Users Are Most AI-Resistant</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Among the contextual findings, one carries a notable meta-irony. Developers who visit Stack Overflow multiple times per day — the platform's most engaged power users — show the lowest mean AI usage score (2.38) and the highest AI opt-out rate of any visit frequency group. Usage scores broadly decrease as SO visit frequency increases, reaching 3.04 among infrequent (once every 2–3 months) visitors and 2.38 among those visiting multiple times per day.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most plausible interpretation: Stack Overflow power users rely on human-curated, peer-reviewed knowledge as their primary problem-solving resource. AI search represents a direct substitution threat to that ecosystem, and these developers have the most invested in the existing system. They are not naive about AI; they have chosen to privilege verifiable, community-validated answers over probabilistic AI output. This is a principled position, not a failure of understanding.</w:t>
      </w:r>
    </w:p>
    <w:p>
      <w:pPr>
        <w:pStyle w:val="Heading1"/>
        <w:pBdr>
          <w:bottom w:val="single" w:color="2E5BA8" w:sz="8" w:space="4"/>
        </w:pBdr>
        <w:spacing w:before="400" w:after="160"/>
      </w:pPr>
      <w:r>
        <w:rPr>
          <w:rFonts w:ascii="Arial" w:cs="Arial" w:eastAsia="Arial" w:hAnsi="Arial"/>
          <w:b/>
          <w:bCs/>
          <w:caps/>
          <w:color w:val="2E5BA8"/>
          <w:sz w:val="36"/>
          <w:szCs w:val="36"/>
        </w:rPr>
        <w:t xml:space="preserve">9. Implications for Practice</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findings above, taken together, constitute a clear argument for a specific model of organizational AI adoption. The following implications are grounded directly in the data.</w:t>
      </w:r>
    </w:p>
    <w:p>
      <w:pPr>
        <w:pStyle w:val="Heading2"/>
        <w:spacing w:before="300" w:after="120"/>
      </w:pPr>
      <w:r>
        <w:rPr>
          <w:rFonts w:ascii="Arial" w:cs="Arial" w:eastAsia="Arial" w:hAnsi="Arial"/>
          <w:b/>
          <w:bCs/>
          <w:color w:val="1A1A1A"/>
          <w:sz w:val="28"/>
          <w:szCs w:val="28"/>
        </w:rPr>
        <w:t xml:space="preserve">9.1  Adopt an Archetype-Based Strategy, Not a One-Size Approach</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Twenty-four percent of the developer population are Cautious Experimenters — using AI regularly but without trust. Twenty-four percent are Enthusiastic Adopters, close to the frontier but not yet using agents. Nineteen percent are Active Resisters with a stable, self-reinforcing anti-AI posture. Fifteen percent are Pragmatic Dabblers waiting to be convinced. Seventeen percent are Daily Integrators already at the destination.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These groups need different interventions. Cautious Experimenters need trust-building: structured workflow integration, ownership-preserving practices, and explicit attention to debuggability and explainability. Enthusiastic Adopters need a path to agent use and deeper integration. Pragmatic Dabblers need demonstrated concrete value. Active Resisters show a coherent, mutually reinforcing posture that has not yielded to adoption pressure — though this cross-sectional snapshot cannot confirm whether individuals in this cluster are permanently fixed. The more productive organizational question may be how to design workflows that don't create friction for colleagues who are still in their adoption journey, while leaving the door open for individual movement.</w:t>
      </w:r>
    </w:p>
    <w:p>
      <w:pPr>
        <w:pStyle w:val="Heading2"/>
        <w:spacing w:before="300" w:after="120"/>
      </w:pPr>
      <w:r>
        <w:rPr>
          <w:rFonts w:ascii="Arial" w:cs="Arial" w:eastAsia="Arial" w:hAnsi="Arial"/>
          <w:b/>
          <w:bCs/>
          <w:color w:val="1A1A1A"/>
          <w:sz w:val="28"/>
          <w:szCs w:val="28"/>
        </w:rPr>
        <w:t xml:space="preserve">9.2  Design for the Adoption Valley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occasional-user dip is the clearest finding with the most direct organizational intervention. Developers who are given access to AI tools without structured onboarding are likely to pass through the valley — encountering AI's limitations before developing the competency to navigate them — and emerge skeptical. Occasional, unsupported use is worse for trust than no use at all.</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Organizations should design AI onboarding to move people through the valley quickly: structured use cases that build early competency, explicit guidance on AI's strengths and limitations, and feedback mechanisms that help developers calibrate expectations before they harden into distrust. The goal is to prevent trust from bottoming out in the occasional-use zone.</w:t>
      </w:r>
    </w:p>
    <w:p>
      <w:pPr>
        <w:pStyle w:val="Heading2"/>
        <w:spacing w:before="300" w:after="120"/>
      </w:pPr>
      <w:r>
        <w:rPr>
          <w:rFonts w:ascii="Arial" w:cs="Arial" w:eastAsia="Arial" w:hAnsi="Arial"/>
          <w:b/>
          <w:bCs/>
          <w:color w:val="1A1A1A"/>
          <w:sz w:val="28"/>
          <w:szCs w:val="28"/>
        </w:rPr>
        <w:t xml:space="preserve">9.3  Replace Informal Adoption With Structured Learning</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directional trust gap between structured and informal learners is among the strongest practical signals in this dataset. At the extremes, the spread reaches approximately 29 percentage points — though as noted in Section 7.3, the upper bound rests on the bootcamp cohort (n=495, with single-method n=21), so the more robust comparison is online courses (52.4%) vs. colleague/on-the-job (37.3%), a 15-point gap with much larger samples on both ends. Organizations that rely on AI tools to spread organically through peer-to-peer informal knowledge transfer show consistently lower trust rates in this dataset. The colleague-trained cohort trusts AI less than every other learning pathway measured.</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is not an argument against peer learning in general; it is a specific caution about unstructured, ambient AI onboarding. Structured programs — whether formal courses, facilitated workshops, or cohort-based learning — are associated with higher trust rates and may support more capable and productive AI use, though this cross-sectional data cannot establish that direction. The investment in designed learning experiences pays dividends in adoption quality, not just speed.</w:t>
      </w:r>
    </w:p>
    <w:p>
      <w:pPr>
        <w:pStyle w:val="Heading2"/>
        <w:spacing w:before="300" w:after="120"/>
      </w:pPr>
      <w:r>
        <w:rPr>
          <w:rFonts w:ascii="Arial" w:cs="Arial" w:eastAsia="Arial" w:hAnsi="Arial"/>
          <w:b/>
          <w:bCs/>
          <w:color w:val="1A1A1A"/>
          <w:sz w:val="28"/>
          <w:szCs w:val="28"/>
        </w:rPr>
        <w:t xml:space="preserve">9.4  Address Emotional Orientation, Not Just Competency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classification finding that AI Sentiment is a stronger feature than AI Trust in predicting daily adoption — in the statistical sense — reframes the standard adoption model. Most enterprise AI adoption programs are built around access + training = usage. The data suggests the more accurate model is: access + training + positive emotional orientation = daily adoption.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Emotional orientation toward AI is shaped by early experiences, by peer culture, by organizational framing, and by the narrative in which AI tools are introduced. Organizations that introduce AI as "a tool to reduce costs" or "a productivity mandate" are likely to generate a different emotional orientation than those that introduce it as "a way to reclaim time for the work you find most meaningful." The framing matters. The story matters. These are learning design and change management questions, not technology questions.</w:t>
      </w:r>
    </w:p>
    <w:p>
      <w:pPr>
        <w:pStyle w:val="Heading2"/>
        <w:spacing w:before="300" w:after="120"/>
      </w:pPr>
      <w:r>
        <w:rPr>
          <w:rFonts w:ascii="Arial" w:cs="Arial" w:eastAsia="Arial" w:hAnsi="Arial"/>
          <w:b/>
          <w:bCs/>
          <w:color w:val="1A1A1A"/>
          <w:sz w:val="28"/>
          <w:szCs w:val="28"/>
        </w:rPr>
        <w:t xml:space="preserve">9.5  Prioritize Transparency and Ownership in Workflow Design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frustration data consistently point to a pattern: the most trust-damaging AI interactions are those in which developers lose ownership of and visibility into the output. Debugging AI-generated code that is slow to diagnose, code whose logic is opaque, code that developers cannot stand behind in review — these experiences damage trust more than AI being simply wrong.</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Workflow design should prioritize AI-assisted practices that preserve developer agency and explainability. This means favoring incremental AI assistance over wholesale AI generation, building review and understanding into AI-assisted workflows rather than treating AI output as complete, and explicitly rewarding the practice of understanding (not just using) AI-generated output. These are not AI configuration questions; they are organizational and learning design questions.</w:t>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10. Limitations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This analysis is subject to the following limitations, which should be considered when interpreting findings and designing interventions based on them.</w:t>
      </w:r>
    </w:p>
    <w:p>
      <w:pPr>
        <w:pStyle w:val="Heading2"/>
        <w:spacing w:before="300" w:after="120"/>
      </w:pPr>
      <w:r>
        <w:rPr>
          <w:rFonts w:ascii="Arial" w:cs="Arial" w:eastAsia="Arial" w:hAnsi="Arial"/>
          <w:b/>
          <w:bCs/>
          <w:color w:val="1A1A1A"/>
          <w:sz w:val="28"/>
          <w:szCs w:val="28"/>
        </w:rPr>
        <w:t xml:space="preserve">10.1  Self-Report Bias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All data is self-reported survey data. Developers may over-report AI adoption to signal competence or professional currency, or under-report frustrations to avoid appearing incompetent. There is no behavioral ground truth against which to validate these figures. The patterns across questions are internally consistent, and directional comparisons with macro surveys (McKinsey) are broadly aligned, but absolute figures should be treated with appropriate caution.</w:t>
      </w:r>
    </w:p>
    <w:p>
      <w:pPr>
        <w:pStyle w:val="Heading2"/>
        <w:spacing w:before="300" w:after="120"/>
      </w:pPr>
      <w:r>
        <w:rPr>
          <w:rFonts w:ascii="Arial" w:cs="Arial" w:eastAsia="Arial" w:hAnsi="Arial"/>
          <w:b/>
          <w:bCs/>
          <w:color w:val="1A1A1A"/>
          <w:sz w:val="28"/>
          <w:szCs w:val="28"/>
        </w:rPr>
        <w:t xml:space="preserve">10.2  Cross-Year Comparability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Four methodological issues affect year-over-year comparisons. First, the AISelect question changed wording in 2025, making the adoption trend directionally valid but not perfectly comparable. Second, the trust question appears under different column names (AIBen in 2023, AIAcc in 2024–2025), though we confirmed identical question wording from the schema files. Third, 2025's survey response rate for the AI module dropped to 68.5%, compared to 93–99% in prior years, which may introduce selection effects into the 2025 figures. Fourth, and most consequentially for the trust trend: in 2023 and 2024, the trust question (AIAcc/AIBen) was routed to current AI users only; in 2025 it was asked of all AISelect respondents, including non-users and those planning to use AI. Non-users show dramatically lower trust (8.9% high trust vs. 39.3% for current users in 2025), which means the paper's headline 2025 trust figures (32.8% high trust, 45.7% high distrust) are not directly comparable to 2023/2024. On a harmonized user-only denominator (n=26,126), 2025 shows 39.3% high trust and 37.3% high distrust — still a substantial decline from 2024 (43.0% / 30.4%), but considerably less dramatic. Both figures are reported in Table 3.</w:t>
      </w:r>
    </w:p>
    <w:p>
      <w:pPr>
        <w:pStyle w:val="Heading2"/>
        <w:spacing w:before="300" w:after="120"/>
      </w:pPr>
      <w:r>
        <w:rPr>
          <w:rFonts w:ascii="Arial" w:cs="Arial" w:eastAsia="Arial" w:hAnsi="Arial"/>
          <w:b/>
          <w:bCs/>
          <w:color w:val="1A1A1A"/>
          <w:sz w:val="28"/>
          <w:szCs w:val="28"/>
        </w:rPr>
        <w:t xml:space="preserve">10.3  Cross-Sectional Causality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All findings are correlational. In particular, the classification finding that AI Sentiment is associated with adoption is based on co-measured variables: sentiment and usage are both assessed at the same point in time. The causal direction cannot be established from this data. Similarly, the learning method → trust finding may be partly explained by pre-existing orientation differences between developers who seek out structured courses versus those who rely on informal learning.</w:t>
      </w:r>
    </w:p>
    <w:p>
      <w:r>
        <w:t xml:space="preserve">10.3a  Feature Circularity (AgentScore and LearnedAI)
A related limitation applies to two features in the classification model. AgentScore measures AI agent use frequency — a behavior that is a strict subset of AI tool use. Daily agent users are, by definition, already among the most active AI users, which creates mechanical correlation between AgentScore and the target variable (daily AI adoption). This likely inflates AgentScore’s apparent importance (13.6%) beyond its independent contribution. LearnedAI (whether the developer invested in AI learning this year) has a similar, if less severe, entanglement: developers who invested in AI learning are unsurprisingly more likely to use AI daily. These features are worth including as descriptors of the daily-adopter profile, but readers should interpret their importance scores cautiously. The core sentiment finding (42.9%) is not affected by this issue, as sentiment is conceptually and temporally distinct from daily adoption frequency.</w:t>
      </w:r>
    </w:p>
    <w:p>
      <w:pPr>
        <w:pStyle w:val="Heading2"/>
        <w:spacing w:before="300" w:after="120"/>
      </w:pPr>
      <w:r>
        <w:rPr>
          <w:rFonts w:ascii="Arial" w:cs="Arial" w:eastAsia="Arial" w:hAnsi="Arial"/>
          <w:b/>
          <w:bCs/>
          <w:color w:val="1A1A1A"/>
          <w:sz w:val="28"/>
          <w:szCs w:val="28"/>
        </w:rPr>
        <w:t xml:space="preserve">10.4  Clustering Methodology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choice of k=5 clusters is justified on interpretability grounds, not statistical grounds. The silhouette optimum is k=2 (score=0.349). K-means with k=5 achieves a silhouette of 0.284. The five heuristic archetypes are stable across seeds and interpretable, but they represent a deliberate choice to prioritize actionability over statistical parsimony. Readers should understand that the "true" cluster structure is more binary than the five-archetype frame suggests.</w:t>
      </w:r>
    </w:p>
    <w:p>
      <w:pPr>
        <w:pStyle w:val="Heading2"/>
        <w:spacing w:before="300" w:after="120"/>
      </w:pPr>
      <w:r>
        <w:rPr>
          <w:rFonts w:ascii="Arial" w:cs="Arial" w:eastAsia="Arial" w:hAnsi="Arial"/>
          <w:b/>
          <w:bCs/>
          <w:color w:val="1A1A1A"/>
          <w:sz w:val="28"/>
          <w:szCs w:val="28"/>
        </w:rPr>
        <w:t xml:space="preserve">10.5  Generalizability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Stack Overflow survey skews toward professional developers, particularly those active on the platform. It underrepresents some developer populations (notably those in regions with lower Stack Overflow penetration) and over-represents others. The findings apply most directly to professional software developers in North America, Europe, and major technology hubs. The principles may generalize to other technical knowledge worker populations, but this extrapolation should be made cautiously.</w:t>
      </w:r>
    </w:p>
    <w:p>
      <w:pPr>
        <w:spacing w:before="0" w:after="0"/>
      </w:pPr>
      <w:r>
        <w:br w:type="page"/>
      </w:r>
    </w:p>
    <w:p>
      <w:pPr>
        <w:pStyle w:val="Heading1"/>
        <w:pBdr>
          <w:bottom w:val="single" w:color="2E5BA8" w:sz="8" w:space="4"/>
        </w:pBdr>
        <w:spacing w:before="400" w:after="160"/>
      </w:pPr>
      <w:r>
        <w:rPr>
          <w:rFonts w:ascii="Arial" w:cs="Arial" w:eastAsia="Arial" w:hAnsi="Arial"/>
          <w:b/>
          <w:bCs/>
          <w:caps/>
          <w:color w:val="2E5BA8"/>
          <w:sz w:val="36"/>
          <w:szCs w:val="36"/>
        </w:rPr>
        <w:t xml:space="preserve">11. Conclusion</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story that the aggregate data tells about AI adoption is incomplete at best and misleading at worst. Yes, adoption is up — dramatically. But behind the headline figures lies a more complicated picture: a population that is more divided than it has ever been, where the 2025 cross-section shows a substantial actively-resistant profile (19% of the AI-module sample), and where patterns that might be expected to build trust — more usage, more exposure — are instead associated with lower trust among occasional users.</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Adoption Paradox is real and measurable in this dataset — adoption rose sharply while trust and sentiment declined across the same period. In 2023, 76% of surveyed developers were favorably disposed toward AI tools; by 2025, that figure was 60% — a 16-point decline in two years. "Highly distrust" has gone from a marginal position (5.5%) to a mainstream one (19.6%) in two years. These are not rounding errors or survey noise. They represent substantial shifts in how a large professional community relates to a technology category, though the cross-sectional design cannot confirm whether these trends will continue.</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But the data also contains grounds for optimism about what is achievable with intentional practice. Daily Integrators — the 17.6% of developers who have reached the destination of confident, agent-enabled daily AI use — show that the endpoint is real and achievable. The five archetypes give organizations a map of where their people are. The learning pathway data gives them a lever: structured learning is associated with substantially higher trust rates. The frustration data gives them a design brief: preserve ownership, preserve explainability, preserve debuggability.</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The fundamental argument of this report is that adoption rates are the wrong metric. Organizations that are measuring AI adoption success by the percentage of employees who have access to, or have tried, AI tools are measuring the wrong thing. The right metric is confident, trusting, daily integration — the Daily Integrator profile. Getting people to that destination requires understanding where they are starting from, how adoption valleys form, what makes skepticism crystallize, and why the story you tell about AI in the learning environment matters as much as the tool you hand people.</w:t>
      </w:r>
    </w:p>
    <w:tbl>
      <w:tblPr>
        <w:tblW w:type="dxa" w:w="9360"/>
        <w:tblBorders>
          <w:top w:val="single" w:color="2E5BA8" w:sz="12"/>
          <w:left w:val="none" w:sz="0"/>
          <w:bottom w:val="single" w:color="2E5BA8" w:sz="12"/>
          <w:right w:val="none" w:sz="0"/>
          <w:insideH w:val="single" w:color="auto" w:sz="4"/>
          <w:insideV w:val="single" w:color="auto" w:sz="4"/>
        </w:tblBorders>
      </w:tblPr>
      <w:tblGrid>
        <w:gridCol w:w="9360"/>
      </w:tblGrid>
      <w:tr>
        <w:trPr>
          <w:tblHeader/>
        </w:trPr>
        <w:tc>
          <w:tcPr>
            <w:tcW w:type="dxa" w:w="9360"/>
            <w:tcBorders>
              <w:top w:val="none" w:sz="0"/>
              <w:left w:val="none" w:sz="0"/>
              <w:bottom w:val="none" w:sz="0"/>
              <w:right w:val="none" w:sz="0"/>
            </w:tcBorders>
            <w:shd w:fill="EAF0FB" w:val="clear"/>
            <w:tcMar>
              <w:top w:type="dxa" w:w="180"/>
              <w:left w:type="dxa" w:w="360"/>
              <w:bottom w:type="dxa" w:w="180"/>
              <w:right w:type="dxa" w:w="360"/>
            </w:tcMar>
          </w:tcPr>
          <w:p>
            <w:pPr>
              <w:spacing w:before="0" w:after="0"/>
              <w:jc w:val="center"/>
            </w:pPr>
            <w:r>
              <w:rPr>
                <w:rFonts w:ascii="Georgia" w:cs="Georgia" w:eastAsia="Georgia" w:hAnsi="Georgia"/>
                <w:b w:val="false"/>
                <w:bCs w:val="false"/>
                <w:i/>
                <w:iCs/>
                <w:caps w:val="false"/>
                <w:color w:val="2E5BA8"/>
                <w:sz w:val="26"/>
                <w:szCs w:val="26"/>
              </w:rPr>
              <w:t xml:space="preserve">"The organizations that will succeed with AI are not the ones that move fastest to adoption. They are the ones that invest in the journey — and understand that how people feel about AI shapes whether they use it every bit as much as whether they have access to it."</w:t>
            </w:r>
          </w:p>
        </w:tc>
      </w:tr>
    </w:tbl>
    <w:p>
      <w:pPr>
        <w:pStyle w:val="Heading1"/>
        <w:pBdr>
          <w:bottom w:val="single" w:color="2E5BA8" w:sz="8" w:space="4"/>
        </w:pBdr>
        <w:spacing w:before="400" w:after="160"/>
      </w:pPr>
      <w:r>
        <w:rPr>
          <w:rFonts w:ascii="Arial" w:cs="Arial" w:eastAsia="Arial" w:hAnsi="Arial"/>
          <w:b/>
          <w:bCs/>
          <w:caps/>
          <w:color w:val="2E5BA8"/>
          <w:sz w:val="36"/>
          <w:szCs w:val="36"/>
        </w:rPr>
        <w:t xml:space="preserve">References</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Agrawal, R., &amp; Srikant, R. (1994). Fast algorithms for mining association rules. Proceedings of the 20th International Conference on Very Large Data Bases (VLDB), 1215, 487–499.</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Breiman, L. (2001). Random forests. Machine Learning, 45(1), 5–32. https://doi.org/10.1023/A:1010933404324</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Davis, F. D. (1989). Perceived usefulness, perceived ease of use, and user acceptance of information technology. MIS Quarterly, 13(3), 319–340. https://doi.org/10.2307/249008</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GitClear. (2024). Coding on Copilot: 2023 data suggests copilots are introducing downward pressure on code quality. GitClear Research. https://www.gitclear.com/coding_on_copilot</w:t>
      </w:r>
    </w:p>
    <w:p>
      <w:r>
        <w:t xml:space="preserve">GitHub. (2023, October 10). Research: Quantifying GitHub Copilot’s impact on code quality. GitHub Blog. https://github.blog/news-insights/research/research-quantifying-github-copilots-impact-on-code-quality/</w:t>
      </w:r>
    </w:p>
    <w:p>
      <w:r>
        <w:t xml:space="preserve">GitHub. (2024, November 18). Does GitHub Copilot improve code quality? Here’s what the data says. GitHub Blog. https://github.blog/news-insights/research/does-github-copilot-improve-code-quality-heres-what-the-data-says/</w:t>
      </w:r>
    </w:p>
    <w:p>
      <w:r>
        <w:t xml:space="preserve">Huang, Z. (1998). Extensions to the k-means algorithm for clustering large data sets with categorical values. Data Mining and Knowledge Discovery, 2(3), 283–304. https://doi.org/10.1023/A:1009769707641</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Kalliamvakou, E. (2022, September 7). Research: Quantifying GitHub Copilot’s impact on developer productivity and happiness. GitHub Blog. https://github.blog/2022/09/07/research-quantifying-github-copilots-impact-on-developer-productivity-and-happiness/</w:t>
      </w:r>
    </w:p>
    <w:p>
      <w:r>
        <w:t xml:space="preserve">MacQueen, J. B. (1967). Some methods for classification and analysis of multivariate observations. Proceedings of the 5th Berkeley Symposium on Mathematical Statistics and Probability, 1, 281–297. University of California Press.</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McKinsey Global Institute. (2023). The state of AI in 2023: Generative AI’s breakout year. McKinsey &amp; Company. https://www.mckinsey.com/capabilities/quantumblack/our-insights/the-state-of-ai-in-2023</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McKinsey Global Institute. (2024). The state of AI in early 2024: Gen AI adoption spikes and starts to generate value. McKinsey &amp; Company. https://www.mckinsey.com/capabilities/quantumblack/our-insights/the-state-of-ai-in-early-2024</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Microsoft &amp; LinkedIn. (2024). 2024 Work Trend Index: AI at work. Microsoft. https://www.microsoft.com/en-us/worklab/work-trend-index</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Rogers, E. M. (2003). Diffusion of innovations (5th ed.). Free Press.</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Romero, C., &amp; Ventura, S. (2010). Educational data mining: A review of the state of the art. IEEE Transactions on Systems, Man, and Cybernetics, Part C, 40(6), 601–618. https://doi.org/10.1109/TSMCC.2010.2053532</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Rousseeuw, P. J. (1987). Silhouettes: A graphical aid to the interpretation and validation of cluster analysis. Journal of Computational and Applied Mathematics, 20, 53–65. https://doi.org/10.1016/0377-0427(87)90125-7</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Stack Overflow. (2023). Stack Overflow developer survey 2023. https://survey.stackoverflow.co/2023/</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Stack Overflow. (2024). Stack Overflow developer survey 2024. https://survey.stackoverflow.co/2024/</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Stack Overflow. (2025). Stack Overflow developer survey 2025. https://survey.stackoverflow.co/2025/</w:t>
      </w:r>
    </w:p>
    <w:p>
      <w:pPr>
        <w:spacing w:before="0" w:after="120" w:line="320"/>
        <w:ind w:left="720" w:hanging="720"/>
        <w:jc w:val="left"/>
      </w:pPr>
      <w:r>
        <w:rPr>
          <w:rFonts w:ascii="Georgia" w:cs="Georgia" w:eastAsia="Georgia" w:hAnsi="Georgia"/>
          <w:b w:val="false"/>
          <w:bCs w:val="false"/>
          <w:i w:val="false"/>
          <w:iCs w:val="false"/>
          <w:caps w:val="false"/>
          <w:color w:val="1A1A1A"/>
          <w:sz w:val="22"/>
          <w:szCs w:val="22"/>
        </w:rPr>
        <w:t xml:space="preserve">Venkatesh, V., Morris, M. G., Davis, G. B., &amp; Davis, F. D. (2003). User acceptance of information technology: Toward a unified view. MIS Quarterly, 27(3), 425–478. https://doi.org/10.2307/30036540</w:t>
      </w:r>
    </w:p>
    <w:p>
      <w:pPr>
        <w:pStyle w:val="Heading1"/>
        <w:pBdr>
          <w:bottom w:val="single" w:color="2E5BA8" w:sz="8" w:space="4"/>
        </w:pBdr>
        <w:spacing w:before="400" w:after="160"/>
      </w:pPr>
      <w:r>
        <w:rPr>
          <w:rFonts w:ascii="Arial" w:cs="Arial" w:eastAsia="Arial" w:hAnsi="Arial"/>
          <w:b/>
          <w:bCs/>
          <w:caps/>
          <w:color w:val="2E5BA8"/>
          <w:sz w:val="36"/>
          <w:szCs w:val="36"/>
        </w:rPr>
        <w:t xml:space="preserve">Appendix: Verified Data Summary</w:t>
      </w:r>
    </w:p>
    <w:p>
      <w:pPr>
        <w:pStyle w:val="Heading2"/>
        <w:spacing w:before="300" w:after="120"/>
      </w:pPr>
      <w:r>
        <w:rPr>
          <w:rFonts w:ascii="Arial" w:cs="Arial" w:eastAsia="Arial" w:hAnsi="Arial"/>
          <w:b/>
          <w:bCs/>
          <w:color w:val="1A1A1A"/>
          <w:sz w:val="28"/>
          <w:szCs w:val="28"/>
        </w:rPr>
        <w:t xml:space="preserve">A.1  Key Statistics — Triple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Metric</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2023</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2024</w:t>
            </w:r>
          </w:p>
        </w:tc>
        <w:tc>
          <w:tcPr>
            <w:tcW w:type="dxa" w:w="234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2025</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Survey N</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89,184</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65,437</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49,191</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AI Adoption (using)</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44.4%</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61.8%</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78.5%</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AI Adoption (daily, 2025)</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N/A</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N/A</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47.1%</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Positive Sentiment</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76.3%</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72.0%</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59.7%</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Negative Sentiment</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3.2%</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6.4%</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20.4%</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High Trust</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42.2%</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43.0%</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32.8%</w:t>
            </w:r>
          </w:p>
        </w:tc>
      </w:tr>
      <w:tr>
        <w:tc>
          <w:tcPr>
            <w:shd w:val="clear" w:color="auto" w:fill="EFF3FF"/>
          </w:tcPr>
          <w:p>
            <w:r>
              <w:t xml:space="preserve">High Trust (harmonized†)</w:t>
            </w:r>
          </w:p>
        </w:tc>
        <w:tc>
          <w:tcPr>
            <w:shd w:val="clear" w:color="auto" w:fill="EFF3FF"/>
          </w:tcPr>
          <w:p>
            <w:r>
              <w:t xml:space="preserve">42.2%</w:t>
            </w:r>
          </w:p>
        </w:tc>
        <w:tc>
          <w:tcPr>
            <w:shd w:val="clear" w:color="auto" w:fill="EFF3FF"/>
          </w:tcPr>
          <w:p>
            <w:r>
              <w:t xml:space="preserve">43.0%</w:t>
            </w:r>
          </w:p>
        </w:tc>
        <w:tc>
          <w:tcPr>
            <w:shd w:val="clear" w:color="auto" w:fill="EFF3FF"/>
          </w:tcPr>
          <w:p>
            <w:r>
              <w:t xml:space="preserve">39.3%*</w:t>
            </w:r>
          </w:p>
        </w:tc>
      </w:tr>
      <w:tr>
        <w:tc>
          <w:tcPr>
            <w:shd w:val="clear" w:color="auto" w:fill="EFF3FF"/>
          </w:tcPr>
          <w:p>
            <w:r>
              <w:t xml:space="preserve">High Distrust (harmonized†)</w:t>
            </w:r>
          </w:p>
        </w:tc>
        <w:tc>
          <w:tcPr>
            <w:shd w:val="clear" w:color="auto" w:fill="EFF3FF"/>
          </w:tcPr>
          <w:p>
            <w:r>
              <w:t xml:space="preserve">27.2%</w:t>
            </w:r>
          </w:p>
        </w:tc>
        <w:tc>
          <w:tcPr>
            <w:shd w:val="clear" w:color="auto" w:fill="EFF3FF"/>
          </w:tcPr>
          <w:p>
            <w:r>
              <w:t xml:space="preserve">30.4%</w:t>
            </w:r>
          </w:p>
        </w:tc>
        <w:tc>
          <w:tcPr>
            <w:shd w:val="clear" w:color="auto" w:fill="EFF3FF"/>
          </w:tcPr>
          <w:p>
            <w:r>
              <w:t xml:space="preserve">37.3%*</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High Distrust</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27.2%</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30.4%</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45.7%</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"Highly Distrust" only</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5.5%</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7.9%</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19.6%</w:t>
            </w:r>
          </w:p>
        </w:tc>
      </w:tr>
      <w:tr>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Job Threat: Yes</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N/A</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12.1%</w:t>
            </w:r>
          </w:p>
        </w:tc>
        <w:tc>
          <w:tcPr>
            <w:tcW w:type="dxa" w:w="234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15.0%</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AI Complexity (mean 0–5)</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N/A</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2.41</w:t>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2.20</w:t>
            </w:r>
          </w:p>
        </w:tc>
      </w:tr>
    </w:tbl>
    <w:p>
      <w:r>
        <w:rPr>
          <w:sz w:val="18"/>
        </w:rPr>
        <w:t xml:space="preserve">† Harmonized: 2025 restricted to current AI users only (n≈ 26,126), routing-comparable to 2023/2024. * See §4.2 and §10.2 for discussion.</w:t>
      </w:r>
    </w:p>
    <w:p>
      <w:pPr>
        <w:spacing w:before="80" w:after="240"/>
        <w:jc w:val="center"/>
      </w:pPr>
      <w:r>
        <w:rPr>
          <w:rFonts w:ascii="Arial" w:cs="Arial" w:eastAsia="Arial" w:hAnsi="Arial"/>
          <w:b w:val="false"/>
          <w:bCs w:val="false"/>
          <w:i/>
          <w:iCs/>
          <w:caps w:val="false"/>
          <w:color w:val="888888"/>
          <w:sz w:val="17"/>
          <w:szCs w:val="17"/>
        </w:rPr>
        <w:t xml:space="preserve">All figures verified against raw counts from source CSV files.</w:t>
      </w:r>
    </w:p>
    <w:p>
      <w:pPr>
        <w:spacing w:before="200" w:after="0"/>
      </w:pPr>
    </w:p>
    <w:p>
      <w:pPr>
        <w:pStyle w:val="Heading2"/>
        <w:spacing w:before="300" w:after="120"/>
      </w:pPr>
      <w:r>
        <w:rPr>
          <w:rFonts w:ascii="Arial" w:cs="Arial" w:eastAsia="Arial" w:hAnsi="Arial"/>
          <w:b/>
          <w:bCs/>
          <w:color w:val="1A1A1A"/>
          <w:sz w:val="28"/>
          <w:szCs w:val="28"/>
        </w:rPr>
        <w:t xml:space="preserve">A.2  Cluster Profiles —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700"/>
        <w:gridCol w:w="900"/>
        <w:gridCol w:w="900"/>
        <w:gridCol w:w="1100"/>
        <w:gridCol w:w="900"/>
        <w:gridCol w:w="860"/>
      </w:tblGrid>
      <w:tr>
        <w:trPr>
          <w:tblHeader/>
        </w:trPr>
        <w:tc>
          <w:tcPr>
            <w:tcW w:type="dxa" w:w="22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Archetype</w:t>
            </w:r>
          </w:p>
        </w:tc>
        <w:tc>
          <w:tcPr>
            <w:tcW w:type="dxa" w:w="8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n</w:t>
            </w:r>
          </w:p>
        </w:tc>
        <w:tc>
          <w:tcPr>
            <w:tcW w:type="dxa" w:w="7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w:t>
            </w:r>
          </w:p>
        </w:tc>
        <w:tc>
          <w:tcPr>
            <w:tcW w:type="dxa" w:w="9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Usage</w:t>
            </w:r>
          </w:p>
        </w:tc>
        <w:tc>
          <w:tcPr>
            <w:tcW w:type="dxa" w:w="9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Trust</w:t>
            </w:r>
          </w:p>
        </w:tc>
        <w:tc>
          <w:tcPr>
            <w:tcW w:type="dxa" w:w="11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Sentiment</w:t>
            </w:r>
          </w:p>
        </w:tc>
        <w:tc>
          <w:tcPr>
            <w:tcW w:type="dxa" w:w="9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Agents</w:t>
            </w:r>
          </w:p>
        </w:tc>
        <w:tc>
          <w:tcPr>
            <w:tcW w:type="dxa" w:w="86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LearnedAI</w:t>
            </w:r>
          </w:p>
        </w:tc>
      </w:tr>
      <w:tr>
        <w:tc>
          <w:tcPr>
            <w:tcW w:type="dxa" w:w="2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Cautious Experimenters</w:t>
            </w:r>
          </w:p>
        </w:tc>
        <w:tc>
          <w:tcPr>
            <w:tcW w:type="dxa" w:w="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8,090</w:t>
            </w:r>
          </w:p>
        </w:tc>
        <w:tc>
          <w:tcPr>
            <w:tcW w:type="dxa" w:w="7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24.3%</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3.07</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1.07</w:t>
            </w:r>
          </w:p>
        </w:tc>
        <w:tc>
          <w:tcPr>
            <w:tcW w:type="dxa" w:w="11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3.25</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0.59</w:t>
            </w:r>
          </w:p>
        </w:tc>
        <w:tc>
          <w:tcPr>
            <w:tcW w:type="dxa" w:w="8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100%</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Enthusiastic Adopters</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7,986</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24.0%</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3.49</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2.59</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4.22</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0.45</w:t>
            </w:r>
          </w:p>
        </w:tc>
        <w:tc>
          <w:tcPr>
            <w:tcW w:type="dxa" w:w="8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99%</w:t>
            </w:r>
          </w:p>
        </w:tc>
      </w:tr>
      <w:tr>
        <w:tc>
          <w:tcPr>
            <w:tcW w:type="dxa" w:w="2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Active Resisters</w:t>
            </w:r>
          </w:p>
        </w:tc>
        <w:tc>
          <w:tcPr>
            <w:tcW w:type="dxa" w:w="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6,318</w:t>
            </w:r>
          </w:p>
        </w:tc>
        <w:tc>
          <w:tcPr>
            <w:tcW w:type="dxa" w:w="7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19.0%</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0.47</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0.43</w:t>
            </w:r>
          </w:p>
        </w:tc>
        <w:tc>
          <w:tcPr>
            <w:tcW w:type="dxa" w:w="11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0.82</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0.08</w:t>
            </w:r>
          </w:p>
        </w:tc>
        <w:tc>
          <w:tcPr>
            <w:tcW w:type="dxa" w:w="8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10%</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Daily Integrators</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5,847</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17.6%</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3.83</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2.61</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4.44</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2.00</w:t>
            </w:r>
          </w:p>
        </w:tc>
        <w:tc>
          <w:tcPr>
            <w:tcW w:type="dxa" w:w="8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93%</w:t>
            </w:r>
          </w:p>
        </w:tc>
      </w:tr>
      <w:tr>
        <w:tc>
          <w:tcPr>
            <w:tcW w:type="dxa" w:w="22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Pragmatic Dabblers</w:t>
            </w:r>
          </w:p>
        </w:tc>
        <w:tc>
          <w:tcPr>
            <w:tcW w:type="dxa" w:w="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4,990</w:t>
            </w:r>
          </w:p>
        </w:tc>
        <w:tc>
          <w:tcPr>
            <w:tcW w:type="dxa" w:w="7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15.0%</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2.63</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1.86</w:t>
            </w:r>
          </w:p>
        </w:tc>
        <w:tc>
          <w:tcPr>
            <w:tcW w:type="dxa" w:w="11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3.61</w:t>
            </w:r>
          </w:p>
        </w:tc>
        <w:tc>
          <w:tcPr>
            <w:tcW w:type="dxa" w:w="9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0.40</w:t>
            </w:r>
          </w:p>
        </w:tc>
        <w:tc>
          <w:tcPr>
            <w:tcW w:type="dxa" w:w="86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0%</w:t>
            </w:r>
          </w:p>
        </w:tc>
      </w:tr>
    </w:tbl>
    <w:p>
      <w:pPr>
        <w:spacing w:before="80" w:after="240"/>
        <w:jc w:val="center"/>
      </w:pPr>
      <w:r>
        <w:rPr>
          <w:rFonts w:ascii="Arial" w:cs="Arial" w:eastAsia="Arial" w:hAnsi="Arial"/>
          <w:b w:val="false"/>
          <w:bCs w:val="false"/>
          <w:i/>
          <w:iCs/>
          <w:caps w:val="false"/>
          <w:color w:val="888888"/>
          <w:sz w:val="17"/>
          <w:szCs w:val="17"/>
        </w:rPr>
        <w:t xml:space="preserve">K-means, k=5, seed=42, n_init=20, N=33,231. Silhouette: k=2 (0.349), k=5 (0.284).</w:t>
      </w:r>
    </w:p>
    <w:p>
      <w:pPr>
        <w:spacing w:before="200" w:after="0"/>
      </w:pPr>
    </w:p>
    <w:p>
      <w:pPr>
        <w:pStyle w:val="Heading2"/>
        <w:spacing w:before="300" w:after="120"/>
      </w:pPr>
      <w:r>
        <w:rPr>
          <w:rFonts w:ascii="Arial" w:cs="Arial" w:eastAsia="Arial" w:hAnsi="Arial"/>
          <w:b/>
          <w:bCs/>
          <w:color w:val="1A1A1A"/>
          <w:sz w:val="28"/>
          <w:szCs w:val="28"/>
        </w:rPr>
        <w:t xml:space="preserve">A.3  Classification Model Performance —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90"/>
        <w:gridCol w:w="1390"/>
        <w:gridCol w:w="1390"/>
        <w:gridCol w:w="1390"/>
      </w:tblGrid>
      <w:tr>
        <w:trPr>
          <w:tblHeader/>
        </w:trPr>
        <w:tc>
          <w:tcPr>
            <w:tcW w:type="dxa" w:w="280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Model</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Accuracy</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Daily Precision</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Daily Recall</w:t>
            </w:r>
          </w:p>
        </w:tc>
        <w:tc>
          <w:tcPr>
            <w:tcW w:type="dxa" w:w="1390"/>
            <w:tcBorders>
              <w:top w:val="single" w:color="CCCCCC" w:sz="4"/>
              <w:left w:val="single" w:color="CCCCCC" w:sz="4"/>
              <w:bottom w:val="single" w:color="CCCCCC" w:sz="4"/>
              <w:right w:val="single" w:color="CCCCCC" w:sz="4"/>
            </w:tcBorders>
            <w:shd w:fill="2E5BA8" w:val="clear"/>
            <w:tcMar>
              <w:top w:type="dxa" w:w="80"/>
              <w:left w:type="dxa" w:w="120"/>
              <w:bottom w:type="dxa" w:w="80"/>
              <w:right w:type="dxa" w:w="120"/>
            </w:tcMar>
          </w:tcPr>
          <w:p>
            <w:pPr>
              <w:spacing w:before="0" w:after="0"/>
              <w:jc w:val="center"/>
            </w:pPr>
            <w:r>
              <w:rPr>
                <w:rFonts w:ascii="Arial" w:cs="Arial" w:eastAsia="Arial" w:hAnsi="Arial"/>
                <w:b/>
                <w:bCs/>
                <w:i w:val="false"/>
                <w:iCs w:val="false"/>
                <w:caps w:val="false"/>
                <w:color w:val="FFFFFF"/>
                <w:sz w:val="19"/>
                <w:szCs w:val="19"/>
              </w:rPr>
              <w:t xml:space="preserve">Daily F1</w:t>
            </w:r>
          </w:p>
        </w:tc>
      </w:tr>
      <w:tr>
        <w:tc>
          <w:tcPr>
            <w:tcW w:type="dxa" w:w="2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Random Forest (200 trees, seed=42)</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77.1%</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75.5%</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79.3%</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77.4%</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Decision Tree (depth=5, seed=42)</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76.5%</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72.1%</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80.9%</w:t>
            </w:r>
          </w:p>
        </w:tc>
        <w:tc>
          <w:tcPr>
            <w:tcW w:type="dxa" w:w="139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76.3%</w:t>
            </w:r>
          </w:p>
        </w:tc>
      </w:tr>
      <w:tr>
        <w:tc>
          <w:tcPr>
            <w:tcW w:type="dxa" w:w="280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left"/>
            </w:pPr>
            <w:r>
              <w:rPr>
                <w:rFonts w:ascii="Arial" w:cs="Arial" w:eastAsia="Arial" w:hAnsi="Arial"/>
                <w:b/>
                <w:bCs/>
                <w:i w:val="false"/>
                <w:iCs w:val="false"/>
                <w:caps w:val="false"/>
                <w:color w:val="1A1A1A"/>
                <w:sz w:val="19"/>
                <w:szCs w:val="19"/>
              </w:rPr>
              <w:t xml:space="preserve">5-Fold CV Mean ± Std (RF)</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77.9% ± 0.2%</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w:t>
            </w:r>
          </w:p>
        </w:tc>
        <w:tc>
          <w:tcPr>
            <w:tcW w:type="dxa" w:w="1390"/>
            <w:tcBorders>
              <w:top w:val="single" w:color="CCCCCC" w:sz="4"/>
              <w:left w:val="single" w:color="CCCCCC" w:sz="4"/>
              <w:bottom w:val="single" w:color="CCCCCC" w:sz="4"/>
              <w:right w:val="single" w:color="CCCCCC" w:sz="4"/>
            </w:tcBorders>
            <w:shd w:fill="F5F8FF" w:val="clear"/>
            <w:tcMar>
              <w:top w:type="dxa" w:w="80"/>
              <w:left w:type="dxa" w:w="120"/>
              <w:bottom w:type="dxa" w:w="80"/>
              <w:right w:type="dxa" w:w="120"/>
            </w:tcMar>
          </w:tcPr>
          <w:p>
            <w:pPr>
              <w:spacing w:before="0" w:after="0"/>
              <w:jc w:val="center"/>
            </w:pPr>
            <w:r>
              <w:rPr>
                <w:rFonts w:ascii="Arial" w:cs="Arial" w:eastAsia="Arial" w:hAnsi="Arial"/>
                <w:b w:val="false"/>
                <w:bCs w:val="false"/>
                <w:i w:val="false"/>
                <w:iCs w:val="false"/>
                <w:caps w:val="false"/>
                <w:color w:val="1A1A1A"/>
                <w:sz w:val="19"/>
                <w:szCs w:val="19"/>
              </w:rPr>
              <w:t xml:space="preserve">—</w:t>
            </w:r>
          </w:p>
        </w:tc>
      </w:tr>
    </w:tbl>
    <w:p>
      <w:pPr>
        <w:spacing w:before="80" w:after="240"/>
        <w:jc w:val="center"/>
      </w:pPr>
      <w:r>
        <w:rPr>
          <w:rFonts w:ascii="Arial" w:cs="Arial" w:eastAsia="Arial" w:hAnsi="Arial"/>
          <w:b w:val="false"/>
          <w:bCs w:val="false"/>
          <w:i/>
          <w:iCs/>
          <w:caps w:val="false"/>
          <w:color w:val="888888"/>
          <w:sz w:val="17"/>
          <w:szCs w:val="17"/>
        </w:rPr>
        <w:t xml:space="preserve">Target: daily AI adoption. Test N=6,647 (20% stratified split). Seed=42.</w:t>
      </w:r>
    </w:p>
    <w:p>
      <w:pPr>
        <w:spacing w:before="200" w:after="0"/>
      </w:pPr>
    </w:p>
    <w:p>
      <w:pPr>
        <w:pStyle w:val="Heading2"/>
        <w:spacing w:before="300" w:after="120"/>
      </w:pPr>
      <w:r>
        <w:rPr>
          <w:rFonts w:ascii="Arial" w:cs="Arial" w:eastAsia="Arial" w:hAnsi="Arial"/>
          <w:b/>
          <w:bCs/>
          <w:color w:val="1A1A1A"/>
          <w:sz w:val="28"/>
          <w:szCs w:val="28"/>
        </w:rPr>
        <w:t xml:space="preserve">A.4  Data Availability
Note: This report is published as a practitioner research report under the Imagination Applied Research Series. It has not undergone formal peer review.</w:t>
      </w:r>
    </w:p>
    <w:p>
      <w:pPr>
        <w:spacing w:before="0" w:after="160" w:line="320"/>
        <w:jc w:val="left"/>
      </w:pPr>
      <w:r>
        <w:rPr>
          <w:rFonts w:ascii="Georgia" w:cs="Georgia" w:eastAsia="Georgia" w:hAnsi="Georgia"/>
          <w:b w:val="false"/>
          <w:bCs w:val="false"/>
          <w:i w:val="false"/>
          <w:iCs w:val="false"/>
          <w:caps w:val="false"/>
          <w:color w:val="1A1A1A"/>
          <w:sz w:val="22"/>
          <w:szCs w:val="22"/>
        </w:rPr>
        <w:t xml:space="preserve">Source data: Stack Overflow Developer Survey 2023, 2024, and 2025, publicly available at survey.stackoverflow.co/datasets. All analysis code, variable recode documentation (CODEBOOK.md), and denominator reconciliation tables (DENOMINATORS.md) are available in the GitHub repository accompanying this report at the URL below. The repository includes five integrated robustness checks (3-seed cluster stability, 5-fold CV, permutation importance, k-modes cost curve, and single-method learner validation).
Repository: https://github.com/jpenzell/ai-adoption-paradox Key scripts: pipeline_v2.py (clustering, association rules, classification), longitudinal.py (three-year trend analysis), deep_dives.py (additional findings). All figures cited in this report were triple-verified against raw CSV counts prior to publication.</w:t>
      </w:r>
    </w:p>
    <w:p>
      <w:r>
        <w:t xml:space="preserve">A.5  Denominator Reconciliation</w:t>
      </w:r>
    </w:p>
    <w:p>
      <w:r>
        <w:t xml:space="preserve">The table below lists every key denominator used in this report alongside the corresponding official Stack Overflow published figure and the downloaded CSV count. Differences are noted with a plausible explanation; none affect the analytical conclusions.</w:t>
      </w:r>
    </w:p>
    <w:p>
      <w:r>
        <w:t xml:space="preserve">File identifiers (SHA-256, first 16 hex chars):
  2025 CSV: 2d1f65308877282e  (140,893,245 bytes)
  2024 CSV: 7f2c2dbf6989d00b  (159,525,875 bytes)
  2023 CSV: 828874a3cf0fa1bb  (158,626,799 bytes)</w:t>
      </w:r>
    </w:p>
    <w:tbl>
      <w:tblPr>
        <w:tblW w:w="9200" w:type="dxa"/>
        <w:tblBorders>
          <w:top w:val="single" w:sz="4" w:color="C5CAD6"/>
          <w:left w:val="single" w:sz="4" w:color="C5CAD6"/>
          <w:bottom w:val="single" w:sz="4" w:color="C5CAD6"/>
          <w:right w:val="single" w:sz="4" w:color="C5CAD6"/>
          <w:insideH w:val="single" w:sz="4" w:color="C5CAD6"/>
          <w:insideV w:val="single" w:sz="4" w:color="C5CAD6"/>
        </w:tblBorders>
      </w:tblPr>
      <w:tblGrid>
        <w:gridCol w:w="2400"/>
        <w:gridCol w:w="1600"/>
        <w:gridCol w:w="1200"/>
        <w:gridCol w:w="1400"/>
        <w:gridCol w:w="2600"/>
      </w:tblGrid>
      <w:tr>
        <w:trPr>
          <w:tblHeader/>
        </w:trPr>
        <w:tc>
          <w:tcPr>
            <w:tcW w:w="2400" w:type="dxa"/>
            <w:shd w:val="clear" w:color="auto" w:fill="2E5BA8"/>
          </w:tcPr>
          <w:p>
            <w:r>
              <w:rPr>
                <w:b/>
                <w:color w:val="FFFFFF"/>
              </w:rPr>
              <w:t xml:space="preserve">Denominator</w:t>
            </w:r>
          </w:p>
        </w:tc>
        <w:tc>
          <w:tcPr>
            <w:tcW w:w="1600" w:type="dxa"/>
            <w:shd w:val="clear" w:color="auto" w:fill="2E5BA8"/>
          </w:tcPr>
          <w:p>
            <w:r>
              <w:rPr>
                <w:b/>
                <w:color w:val="FFFFFF"/>
              </w:rPr>
              <w:t xml:space="preserve">SO Published</w:t>
            </w:r>
          </w:p>
        </w:tc>
        <w:tc>
          <w:tcPr>
            <w:tcW w:w="1200" w:type="dxa"/>
            <w:shd w:val="clear" w:color="auto" w:fill="2E5BA8"/>
          </w:tcPr>
          <w:p>
            <w:r>
              <w:rPr>
                <w:b/>
                <w:color w:val="FFFFFF"/>
              </w:rPr>
              <w:t xml:space="preserve">CSV Count</w:t>
            </w:r>
          </w:p>
        </w:tc>
        <w:tc>
          <w:tcPr>
            <w:tcW w:w="1400" w:type="dxa"/>
            <w:shd w:val="clear" w:color="auto" w:fill="2E5BA8"/>
          </w:tcPr>
          <w:p>
            <w:r>
              <w:rPr>
                <w:b/>
                <w:color w:val="FFFFFF"/>
              </w:rPr>
              <w:t xml:space="preserve">Used in Analysis</w:t>
            </w:r>
          </w:p>
        </w:tc>
        <w:tc>
          <w:tcPr>
            <w:tcW w:w="2600" w:type="dxa"/>
            <w:shd w:val="clear" w:color="auto" w:fill="2E5BA8"/>
          </w:tcPr>
          <w:p>
            <w:r>
              <w:rPr>
                <w:b/>
                <w:color w:val="FFFFFF"/>
              </w:rPr>
              <w:t xml:space="preserve">Notes</w:t>
            </w:r>
          </w:p>
        </w:tc>
      </w:tr>
      <w:tr>
        <w:trPr/>
        <w:tc>
          <w:tcPr>
            <w:tcW w:w="2400" w:type="dxa"/>
            <w:shd w:val="clear" w:color="auto" w:fill="F5F8FF"/>
          </w:tcPr>
          <w:p>
            <w:r>
              <w:t xml:space="preserve">2025 total responses</w:t>
            </w:r>
          </w:p>
        </w:tc>
        <w:tc>
          <w:tcPr>
            <w:tcW w:w="1600" w:type="dxa"/>
            <w:shd w:val="clear" w:color="auto" w:fill="F5F8FF"/>
          </w:tcPr>
          <w:p>
            <w:r>
              <w:t xml:space="preserve">49,009 (methodology page)</w:t>
            </w:r>
          </w:p>
        </w:tc>
        <w:tc>
          <w:tcPr>
            <w:tcW w:w="1200" w:type="dxa"/>
            <w:shd w:val="clear" w:color="auto" w:fill="F5F8FF"/>
          </w:tcPr>
          <w:p>
            <w:r>
              <w:t xml:space="preserve">49,191</w:t>
            </w:r>
          </w:p>
        </w:tc>
        <w:tc>
          <w:tcPr>
            <w:tcW w:w="1400" w:type="dxa"/>
            <w:shd w:val="clear" w:color="auto" w:fill="F5F8FF"/>
          </w:tcPr>
          <w:p>
            <w:r>
              <w:t xml:space="preserve">49,191</w:t>
            </w:r>
          </w:p>
        </w:tc>
        <w:tc>
          <w:tcPr>
            <w:tcW w:w="2600" w:type="dxa"/>
            <w:shd w:val="clear" w:color="auto" w:fill="F5F8FF"/>
          </w:tcPr>
          <w:p>
            <w:r>
              <w:t xml:space="preserve">Difference of 182 rows; likely post-publication quality filtering. Combined headline 203,812 uses CSV counts; SO figure yields ~203,630.</w:t>
            </w:r>
          </w:p>
        </w:tc>
      </w:tr>
      <w:tr>
        <w:trPr/>
        <w:tc>
          <w:tcPr>
            <w:tcW w:w="2400" w:type="dxa"/>
            <w:shd w:val="clear" w:color="auto" w:fill="FFFFFF"/>
          </w:tcPr>
          <w:p>
            <w:r>
              <w:t xml:space="preserve">2025 AISelect respondents</w:t>
            </w:r>
          </w:p>
        </w:tc>
        <w:tc>
          <w:tcPr>
            <w:tcW w:w="1600" w:type="dxa"/>
            <w:shd w:val="clear" w:color="auto" w:fill="FFFFFF"/>
          </w:tcPr>
          <w:p>
            <w:r>
              <w:t xml:space="preserve">33,662 (AI page)</w:t>
            </w:r>
          </w:p>
        </w:tc>
        <w:tc>
          <w:tcPr>
            <w:tcW w:w="1200" w:type="dxa"/>
            <w:shd w:val="clear" w:color="auto" w:fill="FFFFFF"/>
          </w:tcPr>
          <w:p>
            <w:r>
              <w:t xml:space="preserve">33,720</w:t>
            </w:r>
          </w:p>
        </w:tc>
        <w:tc>
          <w:tcPr>
            <w:tcW w:w="1400" w:type="dxa"/>
            <w:shd w:val="clear" w:color="auto" w:fill="FFFFFF"/>
          </w:tcPr>
          <w:p>
            <w:r>
              <w:t xml:space="preserve">33,720</w:t>
            </w:r>
          </w:p>
        </w:tc>
        <w:tc>
          <w:tcPr>
            <w:tcW w:w="2600" w:type="dxa"/>
            <w:shd w:val="clear" w:color="auto" w:fill="FFFFFF"/>
          </w:tcPr>
          <w:p>
            <w:r>
              <w:t xml:space="preserve">Difference of 58. Analytical sample of 33,231 derived from CSV.</w:t>
            </w:r>
          </w:p>
        </w:tc>
      </w:tr>
      <w:tr>
        <w:trPr/>
        <w:tc>
          <w:tcPr>
            <w:tcW w:w="2400" w:type="dxa"/>
            <w:shd w:val="clear" w:color="auto" w:fill="F5F8FF"/>
          </w:tcPr>
          <w:p>
            <w:r>
              <w:t xml:space="preserve">2025 professional devs (total)</w:t>
            </w:r>
          </w:p>
        </w:tc>
        <w:tc>
          <w:tcPr>
            <w:tcW w:w="1600" w:type="dxa"/>
            <w:shd w:val="clear" w:color="auto" w:fill="F5F8FF"/>
          </w:tcPr>
          <w:p>
            <w:r>
              <w:t xml:space="preserve">37,356 (results page)</w:t>
            </w:r>
          </w:p>
        </w:tc>
        <w:tc>
          <w:tcPr>
            <w:tcW w:w="1200" w:type="dxa"/>
            <w:shd w:val="clear" w:color="auto" w:fill="F5F8FF"/>
          </w:tcPr>
          <w:p>
            <w:r>
              <w:t xml:space="preserve">37,467</w:t>
            </w:r>
          </w:p>
        </w:tc>
        <w:tc>
          <w:tcPr>
            <w:tcW w:w="1400" w:type="dxa"/>
            <w:shd w:val="clear" w:color="auto" w:fill="F5F8FF"/>
          </w:tcPr>
          <w:p>
            <w:r>
              <w:t xml:space="preserve">Reported as 37,467</w:t>
            </w:r>
          </w:p>
        </w:tc>
        <w:tc>
          <w:tcPr>
            <w:tcW w:w="2600" w:type="dxa"/>
            <w:shd w:val="clear" w:color="auto" w:fill="F5F8FF"/>
          </w:tcPr>
          <w:p>
            <w:r>
              <w:t xml:space="preserve">Difference of 111 rows; same versioning gap.</w:t>
            </w:r>
          </w:p>
        </w:tc>
      </w:tr>
      <w:tr>
        <w:trPr/>
        <w:tc>
          <w:tcPr>
            <w:tcW w:w="2400" w:type="dxa"/>
            <w:shd w:val="clear" w:color="auto" w:fill="FFFFFF"/>
          </w:tcPr>
          <w:p>
            <w:r>
              <w:t xml:space="preserve">2025 prof. devs — AISelect</w:t>
            </w:r>
          </w:p>
        </w:tc>
        <w:tc>
          <w:tcPr>
            <w:tcW w:w="1600" w:type="dxa"/>
            <w:shd w:val="clear" w:color="auto" w:fill="FFFFFF"/>
          </w:tcPr>
          <w:p>
            <w:r>
              <w:t xml:space="preserve">26,004 (AI page)</w:t>
            </w:r>
          </w:p>
        </w:tc>
        <w:tc>
          <w:tcPr>
            <w:tcW w:w="1200" w:type="dxa"/>
            <w:shd w:val="clear" w:color="auto" w:fill="FFFFFF"/>
          </w:tcPr>
          <w:p>
            <w:r>
              <w:t xml:space="preserve">26,045</w:t>
            </w:r>
          </w:p>
        </w:tc>
        <w:tc>
          <w:tcPr>
            <w:tcW w:w="1400" w:type="dxa"/>
            <w:shd w:val="clear" w:color="auto" w:fill="FFFFFF"/>
          </w:tcPr>
          <w:p>
            <w:r>
              <w:t xml:space="preserve">26,045</w:t>
            </w:r>
          </w:p>
        </w:tc>
        <w:tc>
          <w:tcPr>
            <w:tcW w:w="2600" w:type="dxa"/>
            <w:shd w:val="clear" w:color="auto" w:fill="FFFFFF"/>
          </w:tcPr>
          <w:p>
            <w:r>
              <w:t xml:space="preserve">Used to compute 50.6% daily rate, consistent with SO's published 51%.</w:t>
            </w:r>
          </w:p>
        </w:tc>
      </w:tr>
      <w:tr>
        <w:trPr/>
        <w:tc>
          <w:tcPr>
            <w:tcW w:w="2400" w:type="dxa"/>
            <w:shd w:val="clear" w:color="auto" w:fill="F5F8FF"/>
          </w:tcPr>
          <w:p>
            <w:r>
              <w:t xml:space="preserve">2025 AIAgents respondents</w:t>
            </w:r>
          </w:p>
        </w:tc>
        <w:tc>
          <w:tcPr>
            <w:tcW w:w="1600" w:type="dxa"/>
            <w:shd w:val="clear" w:color="auto" w:fill="F5F8FF"/>
          </w:tcPr>
          <w:p>
            <w:r>
              <w:t xml:space="preserve">31,877 (AI page)</w:t>
            </w:r>
          </w:p>
        </w:tc>
        <w:tc>
          <w:tcPr>
            <w:tcW w:w="1200" w:type="dxa"/>
            <w:shd w:val="clear" w:color="auto" w:fill="F5F8FF"/>
          </w:tcPr>
          <w:p>
            <w:r>
              <w:t xml:space="preserve">31,919</w:t>
            </w:r>
          </w:p>
        </w:tc>
        <w:tc>
          <w:tcPr>
            <w:tcW w:w="1400" w:type="dxa"/>
            <w:shd w:val="clear" w:color="auto" w:fill="F5F8FF"/>
          </w:tcPr>
          <w:p>
            <w:r>
              <w:t xml:space="preserve">Not used directly</w:t>
            </w:r>
          </w:p>
        </w:tc>
        <w:tc>
          <w:tcPr>
            <w:tcW w:w="2600" w:type="dxa"/>
            <w:shd w:val="clear" w:color="auto" w:fill="F5F8FF"/>
          </w:tcPr>
          <w:p>
            <w:r>
              <w:t xml:space="preserve">AgentScore imputed for 1,312 in clustering sample (see A.6).</w:t>
            </w:r>
          </w:p>
        </w:tc>
      </w:tr>
      <w:tr>
        <w:trPr/>
        <w:tc>
          <w:tcPr>
            <w:tcW w:w="2400" w:type="dxa"/>
            <w:shd w:val="clear" w:color="auto" w:fill="FFFFFF"/>
          </w:tcPr>
          <w:p>
            <w:r>
              <w:t xml:space="preserve">2023 countries</w:t>
            </w:r>
          </w:p>
        </w:tc>
        <w:tc>
          <w:tcPr>
            <w:tcW w:w="1600" w:type="dxa"/>
            <w:shd w:val="clear" w:color="auto" w:fill="FFFFFF"/>
          </w:tcPr>
          <w:p>
            <w:r>
              <w:t xml:space="preserve">185 (methodology)</w:t>
            </w:r>
          </w:p>
        </w:tc>
        <w:tc>
          <w:tcPr>
            <w:tcW w:w="1200" w:type="dxa"/>
            <w:shd w:val="clear" w:color="auto" w:fill="FFFFFF"/>
          </w:tcPr>
          <w:p>
            <w:r>
              <w:t xml:space="preserve">185 distinct</w:t>
            </w:r>
          </w:p>
        </w:tc>
        <w:tc>
          <w:tcPr>
            <w:tcW w:w="1400" w:type="dxa"/>
            <w:shd w:val="clear" w:color="auto" w:fill="FFFFFF"/>
          </w:tcPr>
          <w:p>
            <w:r>
              <w:t xml:space="preserve">185</w:t>
            </w:r>
          </w:p>
        </w:tc>
        <w:tc>
          <w:tcPr>
            <w:tcW w:w="2600" w:type="dxa"/>
            <w:shd w:val="clear" w:color="auto" w:fill="FFFFFF"/>
          </w:tcPr>
          <w:p>
            <w:r>
              <w:t xml:space="preserve">✓ Match</w:t>
            </w:r>
          </w:p>
        </w:tc>
      </w:tr>
      <w:tr>
        <w:trPr/>
        <w:tc>
          <w:tcPr>
            <w:tcW w:w="2400" w:type="dxa"/>
            <w:shd w:val="clear" w:color="auto" w:fill="F5F8FF"/>
          </w:tcPr>
          <w:p>
            <w:r>
              <w:t xml:space="preserve">2024 countries</w:t>
            </w:r>
          </w:p>
        </w:tc>
        <w:tc>
          <w:tcPr>
            <w:tcW w:w="1600" w:type="dxa"/>
            <w:shd w:val="clear" w:color="auto" w:fill="F5F8FF"/>
          </w:tcPr>
          <w:p>
            <w:r>
              <w:t xml:space="preserve">185 (methodology)</w:t>
            </w:r>
          </w:p>
        </w:tc>
        <w:tc>
          <w:tcPr>
            <w:tcW w:w="1200" w:type="dxa"/>
            <w:shd w:val="clear" w:color="auto" w:fill="F5F8FF"/>
          </w:tcPr>
          <w:p>
            <w:r>
              <w:t xml:space="preserve">185 distinct</w:t>
            </w:r>
          </w:p>
        </w:tc>
        <w:tc>
          <w:tcPr>
            <w:tcW w:w="1400" w:type="dxa"/>
            <w:shd w:val="clear" w:color="auto" w:fill="F5F8FF"/>
          </w:tcPr>
          <w:p>
            <w:r>
              <w:t xml:space="preserve">185</w:t>
            </w:r>
          </w:p>
        </w:tc>
        <w:tc>
          <w:tcPr>
            <w:tcW w:w="2600" w:type="dxa"/>
            <w:shd w:val="clear" w:color="auto" w:fill="F5F8FF"/>
          </w:tcPr>
          <w:p>
            <w:r>
              <w:t xml:space="preserve">✓ Match</w:t>
            </w:r>
          </w:p>
        </w:tc>
      </w:tr>
      <w:tr>
        <w:trPr/>
        <w:tc>
          <w:tcPr>
            <w:tcW w:w="2400" w:type="dxa"/>
            <w:shd w:val="clear" w:color="auto" w:fill="FFFFFF"/>
          </w:tcPr>
          <w:p>
            <w:r>
              <w:t xml:space="preserve">2025 countries</w:t>
            </w:r>
          </w:p>
        </w:tc>
        <w:tc>
          <w:tcPr>
            <w:tcW w:w="1600" w:type="dxa"/>
            <w:shd w:val="clear" w:color="auto" w:fill="FFFFFF"/>
          </w:tcPr>
          <w:p>
            <w:r>
              <w:t xml:space="preserve">177 (methodology)</w:t>
            </w:r>
          </w:p>
        </w:tc>
        <w:tc>
          <w:tcPr>
            <w:tcW w:w="1200" w:type="dxa"/>
            <w:shd w:val="clear" w:color="auto" w:fill="FFFFFF"/>
          </w:tcPr>
          <w:p>
            <w:r>
              <w:t xml:space="preserve">177 distinct</w:t>
            </w:r>
          </w:p>
        </w:tc>
        <w:tc>
          <w:tcPr>
            <w:tcW w:w="1400" w:type="dxa"/>
            <w:shd w:val="clear" w:color="auto" w:fill="FFFFFF"/>
          </w:tcPr>
          <w:p>
            <w:r>
              <w:t xml:space="preserve">177</w:t>
            </w:r>
          </w:p>
        </w:tc>
        <w:tc>
          <w:tcPr>
            <w:tcW w:w="2600" w:type="dxa"/>
            <w:shd w:val="clear" w:color="auto" w:fill="FFFFFF"/>
          </w:tcPr>
          <w:p>
            <w:r>
              <w:t xml:space="preserve">✓ Match</w:t>
            </w:r>
          </w:p>
        </w:tc>
      </w:tr>
      <w:tr>
        <w:trPr/>
        <w:tc>
          <w:tcPr>
            <w:tcW w:w="2400" w:type="dxa"/>
            <w:shd w:val="clear" w:color="auto" w:fill="F5F8FF"/>
          </w:tcPr>
          <w:p>
            <w:r>
              <w:t xml:space="preserve">2023 AISelect respondents</w:t>
            </w:r>
          </w:p>
        </w:tc>
        <w:tc>
          <w:tcPr>
            <w:tcW w:w="1600" w:type="dxa"/>
            <w:shd w:val="clear" w:color="auto" w:fill="F5F8FF"/>
          </w:tcPr>
          <w:p>
            <w:r>
              <w:t xml:space="preserve">89,184 (all respondents)</w:t>
            </w:r>
          </w:p>
        </w:tc>
        <w:tc>
          <w:tcPr>
            <w:tcW w:w="1200" w:type="dxa"/>
            <w:shd w:val="clear" w:color="auto" w:fill="F5F8FF"/>
          </w:tcPr>
          <w:p>
            <w:r>
              <w:t xml:space="preserve">87,973 answered AISelect</w:t>
            </w:r>
          </w:p>
        </w:tc>
        <w:tc>
          <w:tcPr>
            <w:tcW w:w="1400" w:type="dxa"/>
            <w:shd w:val="clear" w:color="auto" w:fill="F5F8FF"/>
          </w:tcPr>
          <w:p>
            <w:r>
              <w:t xml:space="preserve">87,973</w:t>
            </w:r>
          </w:p>
        </w:tc>
        <w:tc>
          <w:tcPr>
            <w:tcW w:w="2600" w:type="dxa"/>
            <w:shd w:val="clear" w:color="auto" w:fill="F5F8FF"/>
          </w:tcPr>
          <w:p>
            <w:r>
              <w:t xml:space="preserve">Paper uses 87,973 denominator → 44.4%. SO published 43.78% uses 89,184. Same 39,042 current users; difference is denominator choice.</w:t>
            </w:r>
          </w:p>
        </w:tc>
      </w:tr>
    </w:tbl>
    <w:p>
      <w:r>
        <w:t xml:space="preserve">A.6  Variable Recode Documentation</w:t>
      </w:r>
    </w:p>
    <w:p>
      <w:r>
        <w:t xml:space="preserve">The following table documents every collapsed recode applied to survey response categories. All mapping decisions were made before model fitting and held constant throughout.</w:t>
      </w:r>
    </w:p>
    <w:tbl>
      <w:tblPr>
        <w:tblW w:w="9200" w:type="dxa"/>
        <w:tblBorders>
          <w:top w:val="single" w:sz="4" w:color="C5CAD6"/>
          <w:left w:val="single" w:sz="4" w:color="C5CAD6"/>
          <w:bottom w:val="single" w:sz="4" w:color="C5CAD6"/>
          <w:right w:val="single" w:sz="4" w:color="C5CAD6"/>
          <w:insideH w:val="single" w:sz="4" w:color="C5CAD6"/>
          <w:insideV w:val="single" w:sz="4" w:color="C5CAD6"/>
        </w:tblBorders>
      </w:tblPr>
      <w:tblGrid>
        <w:gridCol w:w="2000"/>
        <w:gridCol w:w="3800"/>
        <w:gridCol w:w="3400"/>
      </w:tblGrid>
      <w:tr>
        <w:trPr>
          <w:tblHeader/>
        </w:trPr>
        <w:tc>
          <w:tcPr>
            <w:tcW w:w="2000" w:type="dxa"/>
            <w:shd w:val="clear" w:color="auto" w:fill="2E5BA8"/>
          </w:tcPr>
          <w:p>
            <w:r>
              <w:rPr>
                <w:b/>
                <w:color w:val="FFFFFF"/>
              </w:rPr>
              <w:t xml:space="preserve">Variable / Source</w:t>
            </w:r>
          </w:p>
        </w:tc>
        <w:tc>
          <w:tcPr>
            <w:tcW w:w="3800" w:type="dxa"/>
            <w:shd w:val="clear" w:color="auto" w:fill="2E5BA8"/>
          </w:tcPr>
          <w:p>
            <w:r>
              <w:rPr>
                <w:b/>
                <w:color w:val="FFFFFF"/>
              </w:rPr>
              <w:t xml:space="preserve">Response → Score Mapping</w:t>
            </w:r>
          </w:p>
        </w:tc>
        <w:tc>
          <w:tcPr>
            <w:tcW w:w="3400" w:type="dxa"/>
            <w:shd w:val="clear" w:color="auto" w:fill="2E5BA8"/>
          </w:tcPr>
          <w:p>
            <w:r>
              <w:rPr>
                <w:b/>
                <w:color w:val="FFFFFF"/>
              </w:rPr>
              <w:t xml:space="preserve">Notes</w:t>
            </w:r>
          </w:p>
        </w:tc>
      </w:tr>
      <w:tr>
        <w:trPr>
          <w:cantSplit w:val="1"/>
        </w:trPr>
        <w:tc>
          <w:tcPr>
            <w:tcW w:w="2000" w:type="dxa"/>
            <w:shd w:val="clear" w:color="auto" w:fill="F5F8FF"/>
          </w:tcPr>
          <w:p>
            <w:r>
              <w:t xml:space="preserve">AIUsageScore
(0–4)
Source: AISelect</w:t>
            </w:r>
          </w:p>
        </w:tc>
        <w:tc>
          <w:tcPr>
            <w:tcW w:w="3800" w:type="dxa"/>
            <w:shd w:val="clear" w:color="auto" w:fill="F5F8FF"/>
          </w:tcPr>
          <w:p>
            <w:pPr>
              <w:spacing w:after="60"/>
            </w:pPr>
            <w:r>
              <w:rPr>
                <w:rFonts w:ascii="Courier New"/>
              </w:rPr>
              <w:t xml:space="preserve">'Yes, I use AI tools daily' → 4</w:t>
            </w:r>
            <w:r>
              <w:br/>
            </w:r>
            <w:r>
              <w:rPr>
                <w:rFonts w:ascii="Courier New"/>
              </w:rPr>
              <w:t xml:space="preserve">'Yes, I use AI tools weekly' → 3</w:t>
            </w:r>
            <w:r>
              <w:br/>
            </w:r>
            <w:r>
              <w:rPr>
                <w:rFonts w:ascii="Courier New"/>
              </w:rPr>
              <w:t xml:space="preserve">'Yes, I use AI tools monthly or infrequently' → 2</w:t>
            </w:r>
            <w:r>
              <w:br/>
            </w:r>
            <w:r>
              <w:rPr>
                <w:rFonts w:ascii="Courier New"/>
              </w:rPr>
              <w:t xml:space="preserve">'No, but I plan to soon' → 1</w:t>
            </w:r>
            <w:r>
              <w:br/>
            </w:r>
            <w:r>
              <w:rPr>
                <w:rFonts w:ascii="Courier New"/>
              </w:rPr>
              <w:t xml:space="preserve">"No, and I don't plan to" → 0</w:t>
            </w:r>
            <w:r>
              <w:br/>
            </w:r>
          </w:p>
        </w:tc>
        <w:tc>
          <w:tcPr>
            <w:tcW w:w="3400" w:type="dxa"/>
            <w:shd w:val="clear" w:color="auto" w:fill="F5F8FF"/>
          </w:tcPr>
          <w:p>
            <w:r>
              <w:t xml:space="preserve">Required feature; missing values excluded from clustering sample.</w:t>
            </w:r>
          </w:p>
        </w:tc>
      </w:tr>
      <w:tr>
        <w:trPr>
          <w:cantSplit w:val="1"/>
        </w:trPr>
        <w:tc>
          <w:tcPr>
            <w:tcW w:w="2000" w:type="dxa"/>
            <w:shd w:val="clear" w:color="auto" w:fill="FFFFFF"/>
          </w:tcPr>
          <w:p>
            <w:r>
              <w:t xml:space="preserve">AITrustScore
(0–4)
Source: AIAcc</w:t>
            </w:r>
          </w:p>
        </w:tc>
        <w:tc>
          <w:tcPr>
            <w:tcW w:w="3800" w:type="dxa"/>
            <w:shd w:val="clear" w:color="auto" w:fill="FFFFFF"/>
          </w:tcPr>
          <w:p>
            <w:pPr>
              <w:spacing w:after="60"/>
            </w:pPr>
            <w:r>
              <w:rPr>
                <w:rFonts w:ascii="Courier New"/>
              </w:rPr>
              <w:t xml:space="preserve">'Highly trust' → 4</w:t>
            </w:r>
            <w:r>
              <w:br/>
            </w:r>
            <w:r>
              <w:rPr>
                <w:rFonts w:ascii="Courier New"/>
              </w:rPr>
              <w:t xml:space="preserve">'Somewhat trust' → 3</w:t>
            </w:r>
            <w:r>
              <w:br/>
            </w:r>
            <w:r>
              <w:rPr>
                <w:rFonts w:ascii="Courier New"/>
              </w:rPr>
              <w:t xml:space="preserve">'Neither trust nor distrust' → 2</w:t>
            </w:r>
            <w:r>
              <w:br/>
            </w:r>
            <w:r>
              <w:rPr>
                <w:rFonts w:ascii="Courier New"/>
              </w:rPr>
              <w:t xml:space="preserve">'Somewhat distrust' → 1</w:t>
            </w:r>
            <w:r>
              <w:br/>
            </w:r>
            <w:r>
              <w:rPr>
                <w:rFonts w:ascii="Courier New"/>
              </w:rPr>
              <w:t xml:space="preserve">'Highly distrust' → 0</w:t>
            </w:r>
            <w:r>
              <w:br/>
            </w:r>
          </w:p>
        </w:tc>
        <w:tc>
          <w:tcPr>
            <w:tcW w:w="3400" w:type="dxa"/>
            <w:shd w:val="clear" w:color="auto" w:fill="FFFFFF"/>
          </w:tcPr>
          <w:p>
            <w:r>
              <w:t xml:space="preserve">Required feature; missing excluded. Note: column name AIBen in 2023, AIAcc in 2024–2025.</w:t>
            </w:r>
          </w:p>
        </w:tc>
      </w:tr>
      <w:tr>
        <w:trPr>
          <w:cantSplit w:val="1"/>
        </w:trPr>
        <w:tc>
          <w:tcPr>
            <w:tcW w:w="2000" w:type="dxa"/>
            <w:shd w:val="clear" w:color="auto" w:fill="F5F8FF"/>
          </w:tcPr>
          <w:p>
            <w:r>
              <w:t xml:space="preserve">AISentScore
(0–5)
Source: AISent</w:t>
            </w:r>
          </w:p>
        </w:tc>
        <w:tc>
          <w:tcPr>
            <w:tcW w:w="3800" w:type="dxa"/>
            <w:shd w:val="clear" w:color="auto" w:fill="F5F8FF"/>
          </w:tcPr>
          <w:p>
            <w:pPr>
              <w:spacing w:after="60"/>
            </w:pPr>
            <w:r>
              <w:rPr>
                <w:rFonts w:ascii="Courier New"/>
              </w:rPr>
              <w:t xml:space="preserve">'Very favorable' → 5</w:t>
            </w:r>
            <w:r>
              <w:br/>
            </w:r>
            <w:r>
              <w:rPr>
                <w:rFonts w:ascii="Courier New"/>
              </w:rPr>
              <w:t xml:space="preserve">'Favorable' → 4</w:t>
            </w:r>
            <w:r>
              <w:br/>
            </w:r>
            <w:r>
              <w:rPr>
                <w:rFonts w:ascii="Courier New"/>
              </w:rPr>
              <w:t xml:space="preserve">'Indifferent' → 3</w:t>
            </w:r>
            <w:r>
              <w:br/>
            </w:r>
            <w:r>
              <w:rPr>
                <w:rFonts w:ascii="Courier New"/>
              </w:rPr>
              <w:t xml:space="preserve">'Unsure' → 2</w:t>
            </w:r>
            <w:r>
              <w:br/>
            </w:r>
            <w:r>
              <w:rPr>
                <w:rFonts w:ascii="Courier New"/>
              </w:rPr>
              <w:t xml:space="preserve">'Unfavorable' → 1</w:t>
            </w:r>
            <w:r>
              <w:br/>
            </w:r>
            <w:r>
              <w:rPr>
                <w:rFonts w:ascii="Courier New"/>
              </w:rPr>
              <w:t xml:space="preserve">'Very unfavorable' → 0</w:t>
            </w:r>
            <w:r>
              <w:br/>
            </w:r>
          </w:p>
        </w:tc>
        <w:tc>
          <w:tcPr>
            <w:tcW w:w="3400" w:type="dxa"/>
            <w:shd w:val="clear" w:color="auto" w:fill="F5F8FF"/>
          </w:tcPr>
          <w:p>
            <w:r>
              <w:t xml:space="preserve">Required feature; missing excluded.</w:t>
            </w:r>
          </w:p>
        </w:tc>
      </w:tr>
      <w:tr>
        <w:trPr>
          <w:cantSplit w:val="1"/>
        </w:trPr>
        <w:tc>
          <w:tcPr>
            <w:tcW w:w="2000" w:type="dxa"/>
            <w:shd w:val="clear" w:color="auto" w:fill="FFFFFF"/>
          </w:tcPr>
          <w:p>
            <w:r>
              <w:t xml:space="preserve">AIComplexScore
(0–5)
Source: AIComplex</w:t>
            </w:r>
          </w:p>
        </w:tc>
        <w:tc>
          <w:tcPr>
            <w:tcW w:w="3800" w:type="dxa"/>
            <w:shd w:val="clear" w:color="auto" w:fill="FFFFFF"/>
          </w:tcPr>
          <w:p>
            <w:pPr>
              <w:spacing w:after="60"/>
            </w:pPr>
            <w:r>
              <w:rPr>
                <w:rFonts w:ascii="Courier New"/>
              </w:rPr>
              <w:t xml:space="preserve">'Very well at handling complex tasks' → 5</w:t>
            </w:r>
            <w:r>
              <w:br/>
            </w:r>
            <w:r>
              <w:rPr>
                <w:rFonts w:ascii="Courier New"/>
              </w:rPr>
              <w:t xml:space="preserve">'Good, but not great...' → 4</w:t>
            </w:r>
            <w:r>
              <w:br/>
            </w:r>
            <w:r>
              <w:rPr>
                <w:rFonts w:ascii="Courier New"/>
              </w:rPr>
              <w:t xml:space="preserve">'Neither good or bad...' → 3</w:t>
            </w:r>
            <w:r>
              <w:br/>
            </w:r>
            <w:r>
              <w:rPr>
                <w:rFonts w:ascii="Courier New"/>
              </w:rPr>
              <w:t xml:space="preserve">"I don't use AI tools / I don't know" → 2 ⚠</w:t>
            </w:r>
            <w:r>
              <w:br/>
            </w:r>
            <w:r>
              <w:rPr>
                <w:rFonts w:ascii="Courier New"/>
              </w:rPr>
              <w:t xml:space="preserve">'Bad at handling complex tasks' → 1</w:t>
            </w:r>
            <w:r>
              <w:br/>
            </w:r>
            <w:r>
              <w:rPr>
                <w:rFonts w:ascii="Courier New"/>
              </w:rPr>
              <w:t xml:space="preserve">'Very poor at handling complex tasks' → 0</w:t>
            </w:r>
            <w:r>
              <w:br/>
            </w:r>
          </w:p>
        </w:tc>
        <w:tc>
          <w:tcPr>
            <w:tcW w:w="3400" w:type="dxa"/>
            <w:shd w:val="clear" w:color="auto" w:fill="FFFFFF"/>
          </w:tcPr>
          <w:p>
            <w:r>
              <w:t xml:space="preserve">⚠ Non-evaluative opt-out mapped to 2 (same as neutral). Affects n=5,582 (16.8%). Missing imputed with median (3).</w:t>
            </w:r>
          </w:p>
        </w:tc>
      </w:tr>
      <w:tr>
        <w:trPr>
          <w:cantSplit w:val="1"/>
        </w:trPr>
        <w:tc>
          <w:tcPr>
            <w:tcW w:w="2000" w:type="dxa"/>
            <w:shd w:val="clear" w:color="auto" w:fill="F5F8FF"/>
          </w:tcPr>
          <w:p>
            <w:r>
              <w:t xml:space="preserve">AgentScore
(0–2)
Source: AIAgents</w:t>
            </w:r>
          </w:p>
        </w:tc>
        <w:tc>
          <w:tcPr>
            <w:tcW w:w="3800" w:type="dxa"/>
            <w:shd w:val="clear" w:color="auto" w:fill="F5F8FF"/>
          </w:tcPr>
          <w:p>
            <w:pPr>
              <w:spacing w:after="60"/>
            </w:pPr>
            <w:r>
              <w:rPr>
                <w:rFonts w:ascii="Courier New"/>
              </w:rPr>
              <w:t xml:space="preserve">'Yes, daily' → 2</w:t>
            </w:r>
            <w:r>
              <w:br/>
            </w:r>
            <w:r>
              <w:rPr>
                <w:rFonts w:ascii="Courier New"/>
              </w:rPr>
              <w:t xml:space="preserve">'Yes, weekly' → 2</w:t>
            </w:r>
            <w:r>
              <w:br/>
            </w:r>
            <w:r>
              <w:rPr>
                <w:rFonts w:ascii="Courier New"/>
              </w:rPr>
              <w:t xml:space="preserve">'Yes, monthly/infrequently' → 1</w:t>
            </w:r>
            <w:r>
              <w:br/>
            </w:r>
            <w:r>
              <w:rPr>
                <w:rFonts w:ascii="Courier New"/>
              </w:rPr>
              <w:t xml:space="preserve">'No, but I plan to' → 1 ⚠</w:t>
            </w:r>
            <w:r>
              <w:br/>
            </w:r>
            <w:r>
              <w:rPr>
                <w:rFonts w:ascii="Courier New"/>
              </w:rPr>
              <w:t xml:space="preserve">'Copilot/autocomplete only' → 0</w:t>
            </w:r>
            <w:r>
              <w:br/>
            </w:r>
            <w:r>
              <w:rPr>
                <w:rFonts w:ascii="Courier New"/>
              </w:rPr>
              <w:t xml:space="preserve">"No, and I don't plan to" → 0</w:t>
            </w:r>
            <w:r>
              <w:br/>
            </w:r>
          </w:p>
        </w:tc>
        <w:tc>
          <w:tcPr>
            <w:tcW w:w="3400" w:type="dxa"/>
            <w:shd w:val="clear" w:color="auto" w:fill="F5F8FF"/>
          </w:tcPr>
          <w:p>
            <w:r>
              <w:t xml:space="preserve">⚠ Non-user intent (plan to) grouped with infrequent use. Missing imputed with median (0).</w:t>
            </w:r>
          </w:p>
        </w:tc>
      </w:tr>
      <w:tr>
        <w:trPr>
          <w:cantSplit w:val="1"/>
        </w:trPr>
        <w:tc>
          <w:tcPr>
            <w:tcW w:w="2000" w:type="dxa"/>
            <w:shd w:val="clear" w:color="auto" w:fill="FFFFFF"/>
          </w:tcPr>
          <w:p>
            <w:r>
              <w:t xml:space="preserve">LearnedAI
(0/1)
Source: LearnCodeAI</w:t>
            </w:r>
          </w:p>
        </w:tc>
        <w:tc>
          <w:tcPr>
            <w:tcW w:w="3800" w:type="dxa"/>
            <w:shd w:val="clear" w:color="auto" w:fill="FFFFFF"/>
          </w:tcPr>
          <w:p>
            <w:pPr>
              <w:spacing w:after="60"/>
            </w:pPr>
            <w:r>
              <w:rPr>
                <w:rFonts w:ascii="Courier New"/>
              </w:rPr>
              <w:t xml:space="preserve">Any 'Yes' response → 1</w:t>
            </w:r>
            <w:r>
              <w:br/>
            </w:r>
            <w:r>
              <w:rPr>
                <w:rFonts w:ascii="Courier New"/>
              </w:rPr>
              <w:t xml:space="preserve">All 'No' responses → 0</w:t>
            </w:r>
            <w:r>
              <w:br/>
            </w:r>
            <w:r>
              <w:rPr>
                <w:rFonts w:ascii="Courier New"/>
              </w:rPr>
              <w:t xml:space="preserve">Missing → 0</w:t>
            </w:r>
            <w:r>
              <w:br/>
            </w:r>
          </w:p>
        </w:tc>
        <w:tc>
          <w:tcPr>
            <w:tcW w:w="3400" w:type="dxa"/>
            <w:shd w:val="clear" w:color="auto" w:fill="FFFFFF"/>
          </w:tcPr>
          <w:p>
            <w:r>
              <w:t xml:space="preserve">Binary flag. Official question: "Did you spend time in the last year learning AI programming or AI-enabled tooling on your own or at work?"</w:t>
            </w:r>
          </w:p>
        </w:tc>
      </w:tr>
      <w:tr>
        <w:trPr>
          <w:cantSplit w:val="1"/>
        </w:trPr>
        <w:tc>
          <w:tcPr>
            <w:tcW w:w="2000" w:type="dxa"/>
            <w:shd w:val="clear" w:color="auto" w:fill="F5F8FF"/>
          </w:tcPr>
          <w:p>
            <w:r>
              <w:t xml:space="preserve">ThreatScore
(0/1)
Source: AIThreat</w:t>
            </w:r>
          </w:p>
        </w:tc>
        <w:tc>
          <w:tcPr>
            <w:tcW w:w="3800" w:type="dxa"/>
            <w:shd w:val="clear" w:color="auto" w:fill="F5F8FF"/>
          </w:tcPr>
          <w:p>
            <w:pPr>
              <w:spacing w:after="60"/>
            </w:pPr>
            <w:r>
              <w:rPr>
                <w:rFonts w:ascii="Courier New"/>
              </w:rPr>
              <w:t xml:space="preserve">'Yes' → 1</w:t>
            </w:r>
            <w:r>
              <w:br/>
            </w:r>
            <w:r>
              <w:rPr>
                <w:rFonts w:ascii="Courier New"/>
              </w:rPr>
              <w:t xml:space="preserve">'No' → 0</w:t>
            </w:r>
            <w:r>
              <w:br/>
            </w:r>
            <w:r>
              <w:rPr>
                <w:rFonts w:ascii="Courier New"/>
              </w:rPr>
              <w:t xml:space="preserve">"I'm not sure" → 0</w:t>
            </w:r>
            <w:r>
              <w:br/>
            </w:r>
          </w:p>
        </w:tc>
        <w:tc>
          <w:tcPr>
            <w:tcW w:w="3400" w:type="dxa"/>
            <w:shd w:val="clear" w:color="auto" w:fill="F5F8FF"/>
          </w:tcPr>
          <w:p>
            <w:r>
              <w:t xml:space="preserve">Binary flag. "Unsure" collapsed to 0 (not threatened). Deliberate simplification — see CODEBOOK.md for rationale.</w:t>
            </w:r>
          </w:p>
        </w:tc>
      </w:tr>
    </w:tbl>
    <w:p>
      <w:r>
        <w:t xml:space="preserve">Clustering sample construction: Respondents were retained if they had non-missing values on AIUsageScore, AITrustScore, and AISentScore (n=33,231 of 33,720 AISelect respondents). AgentScore and AIComplexScore were median-imputed for the 1,312 and 1,609 respondents missing those values respectively. LearnedAI missing values (n=489) were coded 0. This sample is distinct from ‘complete AI module data’: the AIAgents question had 31,919 non-missing responses in the CSV; AI frustrations had 31,476; AILearnHow had 28,172.</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120" w:after="0"/>
      <w:jc w:val="center"/>
    </w:pPr>
    <w:r>
      <w:rPr>
        <w:rFonts w:ascii="Arial" w:cs="Arial" w:eastAsia="Arial" w:hAnsi="Arial"/>
        <w:b w:val="false"/>
        <w:bCs w:val="false"/>
        <w:i w:val="false"/>
        <w:iCs w:val="false"/>
        <w:caps w:val="false"/>
        <w:color w:val="888888"/>
        <w:sz w:val="17"/>
        <w:szCs w:val="17"/>
      </w:rPr>
      <w:t xml:space="preserve">Imagination Applied  |  Research Series  |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spacing w:before="0" w:after="160"/>
    </w:pPr>
    <w:r>
      <w:rPr>
        <w:rFonts w:ascii="Arial" w:cs="Arial" w:eastAsia="Arial" w:hAnsi="Arial"/>
        <w:b w:val="false"/>
        <w:bCs w:val="false"/>
        <w:i w:val="false"/>
        <w:iCs w:val="false"/>
        <w:caps w:val="false"/>
        <w:color w:val="888888"/>
        <w:sz w:val="18"/>
        <w:szCs w:val="18"/>
      </w:rPr>
      <w:t xml:space="preserve">Human–AI Work Patterns in Software Development</w:t>
    </w:r>
    <w:r>
      <w:rPr>
        <w:rFonts w:ascii="Arial" w:cs="Arial" w:eastAsia="Arial" w:hAnsi="Arial"/>
        <w:b w:val="false"/>
        <w:bCs w:val="false"/>
        <w:i w:val="false"/>
        <w:iCs w:val="false"/>
        <w:caps w:val="false"/>
        <w:color w:val="CCCCCC"/>
        <w:sz w:val="18"/>
        <w:szCs w:val="18"/>
      </w:rPr>
      <w:t xml:space="preserve">     |     </w:t>
    </w:r>
    <w:r>
      <w:rPr>
        <w:rFonts w:ascii="Arial" w:cs="Arial" w:eastAsia="Arial" w:hAnsi="Arial"/>
        <w:b w:val="false"/>
        <w:bCs w:val="false"/>
        <w:i/>
        <w:iCs/>
        <w:caps w:val="false"/>
        <w:color w:val="888888"/>
        <w:sz w:val="18"/>
        <w:szCs w:val="18"/>
      </w:rPr>
      <w:t xml:space="preserve">Stack Overflow Developer Survey Analysis  2023–2025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aps/>
      <w:color w:val="2E5BA8"/>
      <w:sz w:val="36"/>
      <w:szCs w:val="36"/>
    </w:rPr>
  </w:style>
  <w:style w:type="paragraph" w:styleId="Heading2">
    <w:name w:val="Heading 2"/>
    <w:basedOn w:val="Normal"/>
    <w:next w:val="Normal"/>
    <w:qFormat/>
    <w:pPr>
      <w:spacing w:before="300" w:after="120"/>
      <w:outlineLvl w:val="1"/>
    </w:pPr>
    <w:rPr>
      <w:rFonts w:ascii="Arial" w:cs="Arial" w:eastAsia="Arial" w:hAnsi="Arial"/>
      <w:b/>
      <w:bCs/>
      <w:color w:val="1A1A1A"/>
      <w:sz w:val="28"/>
      <w:szCs w:val="28"/>
    </w:rPr>
  </w:style>
  <w:style w:type="paragraph" w:styleId="Heading3">
    <w:name w:val="Heading 3"/>
    <w:basedOn w:val="Normal"/>
    <w:next w:val="Normal"/>
    <w:qFormat/>
    <w:pPr>
      <w:spacing w:before="240" w:after="8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101" Type="http://schemas.openxmlformats.org/officeDocument/2006/relationships/image" Target="media/fig1_paradox.png"/><Relationship Id="rId102" Type="http://schemas.openxmlformats.org/officeDocument/2006/relationships/image" Target="media/fig2_archetypes.png"/><Relationship Id="rId103" Type="http://schemas.openxmlformats.org/officeDocument/2006/relationships/image" Target="media/fig3_importances.png"/><Relationship Id="rId104" Type="http://schemas.openxmlformats.org/officeDocument/2006/relationships/image" Target="media/fig4_dip.png"/><Relationship Id="rId105" Type="http://schemas.openxmlformats.org/officeDocument/2006/relationships/image" Target="media/fig5_learnin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2026-03-04T20:29:40.777Z</dcterms:created>
  <dcterms:modified xsi:type="dcterms:W3CDTF">2026-03-04T20:29:40.778Z</dcterms:modified>
</cp:coreProperties>
</file>

<file path=docProps/custom.xml><?xml version="1.0" encoding="utf-8"?>
<Properties xmlns="http://schemas.openxmlformats.org/officeDocument/2006/custom-properties" xmlns:vt="http://schemas.openxmlformats.org/officeDocument/2006/docPropsVTypes"/>
</file>