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i w:val="false"/>
          <w:iCs w:val="false"/>
          <w:caps/>
          <w:color w:val="888888"/>
          <w:sz w:val="20"/>
          <w:szCs w:val="20"/>
        </w:rPr>
        <w:t xml:space="preserve">RESEARCH REPORT</w:t>
      </w:r>
    </w:p>
    <w:p>
      <w:pPr>
        <w:spacing w:before="0" w:after="80"/>
        <w:jc w:val="center"/>
      </w:pPr>
      <w:r>
        <w:rPr>
          <w:rFonts w:ascii="Arial" w:cs="Arial" w:eastAsia="Arial" w:hAnsi="Arial"/>
          <w:b/>
          <w:bCs/>
          <w:i w:val="false"/>
          <w:iCs w:val="false"/>
          <w:caps w:val="false"/>
          <w:color w:val="2E5BA8"/>
          <w:sz w:val="52"/>
          <w:szCs w:val="52"/>
        </w:rPr>
        <w:t xml:space="preserve">Human–AI Work Patterns in Software Development:</w:t>
      </w:r>
    </w:p>
    <w:p>
      <w:pPr>
        <w:spacing w:before="0" w:after="400"/>
        <w:jc w:val="center"/>
      </w:pPr>
      <w:r>
        <w:rPr>
          <w:rFonts w:ascii="Georgia" w:cs="Georgia" w:eastAsia="Georgia" w:hAnsi="Georgia"/>
          <w:b w:val="false"/>
          <w:bCs w:val="false"/>
          <w:i/>
          <w:iCs/>
          <w:caps w:val="false"/>
          <w:color w:val="1A1A1A"/>
          <w:sz w:val="40"/>
          <w:szCs w:val="40"/>
        </w:rPr>
        <w:t xml:space="preserve">Archetypes, Paradoxes, and the Decline of Trust</w:t>
      </w:r>
    </w:p>
    <w:p>
      <w:pPr>
        <w:pBdr>
          <w:bottom w:val="single" w:color="2E5BA8" w:sz="6" w:space="4"/>
        </w:pBdr>
        <w:spacing w:before="0" w:after="80"/>
        <w:jc w:val="center"/>
      </w:pPr>
      <w:r>
        <w:rPr>
          <w:rFonts w:ascii="Arial" w:cs="Arial" w:eastAsia="Arial" w:hAnsi="Arial"/>
          <w:b w:val="false"/>
          <w:bCs w:val="false"/>
          <w:i w:val="false"/>
          <w:iCs w:val="false"/>
          <w:caps w:val="false"/>
          <w:color w:val="555555"/>
          <w:sz w:val="22"/>
          <w:szCs w:val="22"/>
        </w:rPr>
        <w:t xml:space="preserve">A Repeated Cross-Sectional Analysis of the Stack Overflow Developer Survey  |  2023, 2024, 2025</w:t>
      </w:r>
    </w:p>
    <w:p>
      <w:pPr>
        <w:spacing w:before="240" w:after="240"/>
      </w:pPr>
    </w:p>
    <w:p>
      <w:pPr>
        <w:spacing w:before="0" w:after="80"/>
        <w:jc w:val="center"/>
      </w:pPr>
      <w:r>
        <w:rPr>
          <w:rFonts w:ascii="Arial" w:cs="Arial" w:eastAsia="Arial" w:hAnsi="Arial"/>
          <w:b/>
          <w:bCs/>
          <w:i w:val="false"/>
          <w:iCs w:val="false"/>
          <w:caps w:val="false"/>
          <w:color w:val="1A1A1A"/>
          <w:sz w:val="22"/>
          <w:szCs w:val="22"/>
        </w:rPr>
        <w:t xml:space="preserve">Imagination Applied Research Series</w:t>
      </w:r>
    </w:p>
    <w:p>
      <w:pPr>
        <w:spacing w:before="0" w:after="600"/>
        <w:jc w:val="center"/>
      </w:pPr>
      <w:r>
        <w:rPr>
          <w:rFonts w:ascii="Arial" w:cs="Arial" w:eastAsia="Arial" w:hAnsi="Arial"/>
          <w:b w:val="false"/>
          <w:bCs w:val="false"/>
          <w:i w:val="false"/>
          <w:iCs w:val="false"/>
          <w:caps w:val="false"/>
          <w:color w:val="555555"/>
          <w:sz w:val="20"/>
          <w:szCs w:val="20"/>
        </w:rPr>
        <w:t xml:space="preserve">Imagination Applied Research Series  |  2025</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Abstract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report presents a repeated cross-sectional data mining analysis of the Stack Overflow Developer Survey across 2023, 2024, and 2025, encompassing 203,812 combined survey responses from developers across up to 185 countries (177 in 2025; 185 in 2023 and 2024) (33,231 respondents with complete responses on the three core attitudinal features (AISelect, AIAcc, AISent) form the primary analytical sample for the 2025 analyses; secondary features were median-imputed or zero-coded where missing). Using clustering, association rule mining, and classification methods, we identify five heuristic AI adoption archetypes within the developer population, surface the attitudinal and behavioral features most strongly associated with daily AI use, and document a striking three-year pattern across successive survey cohorts: adoption is accelerating rapidly while trust and enthusiasm are in simultaneous, sharp decline. Because each year's survey is an independent cross-section, not a panel, these comparisons describe population-level shifts, not individual-level change.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AI usage among surveyed developers rose from 44.4% in 2023 to 78.5% in 2025. Over the same period, positive sentiment fell from 76.3% to 59.7%, negative sentiment grew from 3.2% to 20.4%, and the proportion who "highly distrust" AI output more than tripled, from 5.5% to 19.6%. On a harmonized denominator restricted to current AI users only — comparable across all three years — 2025 shows 39.3% high trust / 37.3% high distrust, versus 43.0% / 30.4% in 2024: a meaningful decline, though smaller than the full-denominator figures (which include non-users newly routed to the trust question in 2025). We term this the Adoption Paradox: rising adoption coincides with declining trust and sentiment — a pattern robust across all three survey years, though the cross-sectional design cannot establish causal direction.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Beyond the longitudinal picture, our classification analysis finds that how a developer feels about AI — their emotional orientation — is associated with daily adoption more strongly than trust, years of work experience, or years coding. Our frustration analysis identifies a transparency gap, not a quality gap, as the strongest correlate of distrust: developers are most demoralized when they cannot interrogate or take ownership of AI-generated output. And our learning pathway analysis finds that structured learning pathways are associated with substantially higher AI trust rates than informal peer learning — a pattern detailed in Section 7.3 with appropriate caveats on measurement precision.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These findings have direct implications for organizational AI adoption strategy and learning and development practice. The data are consistent with the hypothesis that ambient, self-directed adoption approaches are associated with lower trust rates than structured onboarding that builds both skill and ownership of AI-assisted workflows — though intervention claims should be treated as hypotheses suggested by the data rather than results established by it.</w:t>
      </w:r>
    </w:p>
    <w:p>
      <w:pPr>
        <w:spacing w:before="200" w:after="0"/>
      </w:pPr>
    </w:p>
    <w:p>
      <w:pPr>
        <w:spacing w:before="0" w:after="240"/>
      </w:pPr>
      <w:r>
        <w:rPr>
          <w:rFonts w:ascii="Arial" w:cs="Arial" w:eastAsia="Arial" w:hAnsi="Arial"/>
          <w:b/>
          <w:bCs/>
          <w:i w:val="false"/>
          <w:iCs w:val="false"/>
          <w:caps w:val="false"/>
          <w:color w:val="1A1A1A"/>
          <w:sz w:val="20"/>
          <w:szCs w:val="20"/>
        </w:rPr>
        <w:t xml:space="preserve">Keywords: AI adoption, developer sentiment, repeated cross-sectional survey analysis, k-means clustering, association rule mining, random forest classification, learning and development, organizational change</w:t>
      </w:r>
      <w:r>
        <w:rPr>
          <w:rFonts w:ascii="Arial" w:cs="Arial" w:eastAsia="Arial" w:hAnsi="Arial"/>
          <w:b w:val="false"/>
          <w:bCs w:val="false"/>
          <w:i/>
          <w:iCs/>
          <w:caps w:val="false"/>
          <w:color w:val="555555"/>
          <w:sz w:val="20"/>
          <w:szCs w:val="20"/>
        </w:rPr>
        <w:t xml:space="preserve"/>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 Introduction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past three years have produced an extraordinary natural experiment in technology adoption. Beginning in late 2022, AI coding assistants moved from curiosity to mainstream, reaching the majority of software developers faster than almost any prior technology category. But adoption rates alone tell an incomplete and potentially misleading story. Averages conceal structure. Majorities contain multitudes.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Survey-based research on AI adoption — including annual reports from McKinsey and Microsoft/LinkedIn Workforce — has focused largely on headline adoption rates and aggregate sentiment scores. These aggregates are useful as directional signals but insufficient for practitioners trying to understand why some individuals cross into regular AI use while others do not, or what predicts the difference between a confident daily user and a skeptical occasional user. Organizations designing AI adoption programs cannot build interventions around averages; they need archetypes.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report takes a different approach. Rather than tracking what the average developer thinks about AI, we apply data mining methods — clustering, association rule mining, and supervised classification — because these techniques are specifically suited to discovering latent subgroup structure within large heterogeneous populations; regression and descriptive statistics average across groups rather than revealing them. Our goal is to surface the latent structure within the developer population: who the adopters are, who the resisters are, what distinguishes them, and how the composition of those groups is shifting over time. We use the Stack Overflow Developer Survey — the largest annual survey of software developers, with 49,009 respondents in 2025 alone (per Stack Overflow’s published methodology; the CSV release contains 49,191 rows — see Appendix A.5 for reconciliation) — as our data source, analyzing three consecutive years (2023–2025) as repeated cross-sections. Because each survey year samples independently, comparisons over time reflect population-level shifts rather than individual-level change.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central questions guiding this analysis are:</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1. Does AI adoption among developers follow a spectrum, or do meaningful sub-groups exist?</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2. What attitudinal, behavioral, and demographic factors are most strongly associated with daily AI adoption?</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3. How are sentiment, trust, and usage patterns shifting over time, and do those trends cohere?</w:t>
      </w:r>
    </w:p>
    <w:p>
      <w:pPr>
        <w:pStyle w:val="ListParagraph"/>
        <w:spacing w:before="0" w:after="100" w:line="300"/>
      </w:pPr>
      <w:r>
        <w:rPr>
          <w:rFonts w:ascii="Georgia" w:cs="Georgia" w:eastAsia="Georgia" w:hAnsi="Georgia"/>
          <w:b w:val="false"/>
          <w:bCs w:val="false"/>
          <w:i w:val="false"/>
          <w:iCs w:val="false"/>
          <w:caps w:val="false"/>
          <w:color w:val="1A1A1A"/>
          <w:sz w:val="22"/>
          <w:szCs w:val="22"/>
        </w:rPr>
        <w:t xml:space="preserve">4. What practical levers do organizations have to accelerate adoption and reduce skepticism?</w:t>
      </w:r>
    </w:p>
    <w:p>
      <w:pPr>
        <w:spacing w:before="12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answers, as we document below, are empirically grounded and practically relevant. Adoption is rising faster than trust is consolidating. The 2025 cross-section shows a substantial actively-resistant profile (19.0% of the AI-module sample). Whether this share is growing across years cannot be established without applying a consistent archetype rule to all three survey years, which this analysis does not do. The data suggest that trust-building interventions will be harder to execute as adoption norms solidify.</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2. Related Work</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Research on AI adoption at scale has been dominated by industry surveys that report aggregate headline figures. McKinsey’s State of AI surveys (McKinsey Global Institute, 2023, 2024) document rising enterprise AI investment and broad adoption intent, but present averaged statistics that obscure the population heterogeneity practitioners must navigate. Microsoft and LinkedIn’s Work Trend Index (Microsoft &amp; LinkedIn, 2024) similarly surfaces aggregate skill-demand and adoption signals without modeling the attitudinal variance between individuals. These macro surveys provide essential context — and this report situates its longitudinal findings against their directional trends — but they do not answer the practitioner’s operational question: given that my organization contains enthusiastic adopters, skeptical non-users, and everyone in between, what actually is associated with who crosses into daily use, and what should I do differently for each group?</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Classical technology adoption frameworks offer a theoretical foundation but were designed for population-level aggregate prediction rather than within-population segmentation. Davis’s Technology Acceptance Model (TAM; Davis, 1989) established perceived usefulness and perceived ease of use as the primary predictors of technology adoption intention. Venkatesh et al.’s Unified Theory of Acceptance and Use of Technology (UTAUT; Venkatesh et al., 2003) extended this framework to include social influence and facilitating conditions. Rogers’s Diffusion of Innovations (Rogers, 2003) introduced the now-standard adopter segmentation — innovators, early adopters, early majority, late majority, laggards — but operationalized it through theoretical typology rather than empirical cluster analysis. The archetype-discovery approach in this report operationalizes a Rogers-style segmentation empirically, grounding each archetype in measured attitudinal and behavioral profiles. Critically, our classification analysis departs from the TAM/UTAUT emphasis on perceived usefulness by showing that emotional orientation (sentiment) is a stronger predictor of daily adoption than either trust or competency — a finding that challenges the prevailing model’s focus on cognitive appraisal over affective orientation.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More proximate prior work on AI-specific adoption among software developers has focused primarily on productivity outcomes. GitHub’s Copilot research has evolved across several studies. Kalliamvakou (2022) measured task completion speed and productivity; code quality was noted as planned future work. Subsequent GitHub studies examined quality more directly: a 2023 study of Copilot Chat (GitHub, 2023) found self-reported quality improvements across readability, maintainability, and confidence metrics, and a 2024 randomized controlled trial with 202 developers (GitHub, 2024) reported statistically significant improvements in readability (+3.6%), reliability (+2.9%), and maintainability (+2.5%) for Copilot-assisted code. GitClear’s longitudinal analyses (GitClear, 2024) offered a contrasting view, finding increased code churn and reduced refactoring in AI-assisted repositories. Taken together, this literature suggests code quality effects of AI assistance are context-dependent and contested. These studies examine the consequences of adoption rather than the predictors of it, and they do not model the attitudinal heterogeneity within developer populations. The Stack Overflow Developer Survey, by contrast, captures attitudinal, behavioral, and demographic data across the full spectrum of AI engagement — from active resistance to daily integration — making it uniquely suited to a predictive segmentation analysis of this kind. To the authors’ knowledge, this is the first study to apply data mining methods (k-means clustering, association rule mining, and Random Forest classification) to the Stack Overflow AI module data across three consecutive years to identify adoption archetypes and their behavioral and attitudinal correlates.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data mining methods employed here have established precedents in adjacent research domains. K-means clustering has been used extensively to segment learner populations in educational data mining (Romero &amp; Ventura, 2010) and to identify customer adoption profiles in technology marketing research. Association rule mining, introduced by Agrawal and Srikant (1994), has been applied to behavioral survey data to surface co-occurring attitude-behavior patterns. Random Forest classification (Breiman, 2001) is the current state of practice for feature-importance estimation in behavioral survey contexts, given its robustness to collinearity, its ability to capture non-linear interactions, and its interpretable feature-importance output. The combination of these three methods applied to a large-scale longitudinal developer survey constitutes the methodological contribution of this report, complementing the substantive findings on adoption dynamics.</w:t>
      </w:r>
    </w:p>
    <w:p>
      <w:pPr>
        <w:pStyle w:val="Heading1"/>
        <w:pBdr>
          <w:bottom w:val="single" w:color="2E5BA8" w:sz="8" w:space="4"/>
        </w:pBdr>
        <w:spacing w:before="400" w:after="160"/>
      </w:pPr>
      <w:r>
        <w:rPr>
          <w:rFonts w:ascii="Arial" w:cs="Arial" w:eastAsia="Arial" w:hAnsi="Arial"/>
          <w:b/>
          <w:bCs/>
          <w:caps/>
          <w:color w:val="2E5BA8"/>
          <w:sz w:val="36"/>
          <w:szCs w:val="36"/>
        </w:rPr>
        <w:t xml:space="preserve">3. Data and Methodology</w:t>
      </w:r>
    </w:p>
    <w:p>
      <w:pPr>
        <w:pStyle w:val="Heading2"/>
        <w:spacing w:before="300" w:after="120"/>
      </w:pPr>
      <w:r>
        <w:rPr>
          <w:rFonts w:ascii="Arial" w:cs="Arial" w:eastAsia="Arial" w:hAnsi="Arial"/>
          <w:b/>
          <w:bCs/>
          <w:color w:val="1A1A1A"/>
          <w:sz w:val="28"/>
          <w:szCs w:val="28"/>
        </w:rPr>
        <w:t xml:space="preserve">3.1  Data Source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analyses use the Stack Overflow Developer Survey, conducted annually by Stack Overflow and made publicly available for research. The survey covers software developers and those who write code professionally or recreationally across 177 countries. For this study, we use three consecutive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Year</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Survey N</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AI Questions?</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AI Respondents (AISelect)</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2023</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89,184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87,973 (98.6%)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65,437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60,907 (93.1%)</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2025</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49,191†</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Yes (expanded)</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33,720 (68.5%)</w:t>
            </w:r>
          </w:p>
        </w:tc>
      </w:tr>
    </w:tbl>
    <w:p>
      <w:r>
        <w:rPr>
          <w:sz w:val="18"/>
          <w:szCs w:val="18"/>
        </w:rPr>
        <w:t xml:space="preserve">† CSV row count. Stack Overflow’s published methodology page reports 49,009 qualified responses. See Appendix A.5 for reconciliation.</w:t>
      </w:r>
    </w:p>
    <w:p>
      <w:pPr>
        <w:spacing w:before="80" w:after="240"/>
        <w:jc w:val="center"/>
      </w:pPr>
      <w:r>
        <w:rPr>
          <w:rFonts w:ascii="Arial" w:cs="Arial" w:eastAsia="Arial" w:hAnsi="Arial"/>
          <w:b w:val="false"/>
          <w:bCs w:val="false"/>
          <w:i/>
          <w:iCs/>
          <w:caps w:val="false"/>
          <w:color w:val="888888"/>
          <w:sz w:val="17"/>
          <w:szCs w:val="17"/>
        </w:rPr>
        <w:t xml:space="preserve">Table 1. Survey sample sizes across years. Note the 2025 response rate for AISelect (68.5%) — see methodological note below.</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In 2025, only 68.5% of survey respondents answered the AI usage question (AISelect), compared to 93–99% in prior years. This likely reflects a survey redesign — possibly routing non-developers away from the AI module — though this specific explanation is an inference from the data pattern and is not documented in the publicly available 2025 methodology page. All 2025 adoption percentages are calculated as a proportion of the 33,720 who answered AISelect — representing the engaged developer population — not of all 49,191 respondents. The directional trend is valid; the absolute 2025 figure should be read as "78.5% of developers who engage with AI-related survey questions currently use AI tools." Note: Stack Overflow's published survey results page reports 33,662 AISelect respondents, while the downloadable CSV yields 33,720 — a 58-respondent difference likely attributable to dataset versioning between the public results page and the released CSV. The analytical sample of 33,231 used throughout this report is derived from the CSV and is unaffected by this minor discrepancy. A related discrepancy: Stack Overflow's official methodology page reports 49,009 total 2025 survey responses, while the downloadable CSV contains 49,191 rows — a difference of 182. This likely reflects post-publication quality filtering (e.g., removal of spam or incomplete submissions) applied to the results page but not yet reflected in the CSV release. The 203,812 combined-year total in this report is based on CSV row counts; using SO's published figure would yield approximately 203,630.</w:t>
            </w:r>
            <w:r>
              <w:rPr>
                <w:rFonts w:ascii="Arial" w:cs="Arial" w:eastAsia="Arial" w:hAnsi="Arial"/>
                <w:b w:val="false"/>
                <w:bCs w:val="false"/>
                <w:i w:val="false"/>
                <w:iCs w:val="false"/>
                <w:caps w:val="false"/>
                <w:color w:val="7D5900"/>
                <w:sz w:val="19"/>
                <w:szCs w:val="19"/>
              </w:rPr>
              <w:t xml:space="preserve"/>
            </w:r>
          </w:p>
        </w:tc>
      </w:tr>
    </w:tbl>
    <w:p>
      <w:pPr>
        <w:spacing w:before="160" w:after="0"/>
      </w:pPr>
    </w:p>
    <w:p>
      <w:pPr>
        <w:pStyle w:val="Heading2"/>
        <w:spacing w:before="300" w:after="120"/>
      </w:pPr>
      <w:r>
        <w:rPr>
          <w:rFonts w:ascii="Arial" w:cs="Arial" w:eastAsia="Arial" w:hAnsi="Arial"/>
          <w:b/>
          <w:bCs/>
          <w:color w:val="1A1A1A"/>
          <w:sz w:val="28"/>
          <w:szCs w:val="28"/>
        </w:rPr>
        <w:t xml:space="preserve">3.2  Key Variables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includes an extensive AI module that grew substantially between 2023 and 2025. The following variables are used across the analysis:</w:t>
      </w: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1200"/>
        <w:gridCol w:w="4200"/>
        <w:gridCol w:w="1500"/>
        <w:gridCol w:w="2460"/>
      </w:tblGrid>
      <w:tr>
        <w:trPr>
          <w:tblHeader/>
        </w:trPr>
        <w:tc>
          <w:tcPr>
            <w:tcW w:w="1200" w:type="dxa"/>
            <w:shd w:val="clear" w:color="auto" w:fill="2E5BA8"/>
          </w:tcPr>
          <w:p>
            <w:r>
              <w:rPr>
                <w:b/>
                <w:color w:val="FFFFFF"/>
              </w:rPr>
              <w:t xml:space="preserve">Variable</w:t>
            </w:r>
          </w:p>
        </w:tc>
        <w:tc>
          <w:tcPr>
            <w:tcW w:w="4200" w:type="dxa"/>
            <w:shd w:val="clear" w:color="auto" w:fill="2E5BA8"/>
          </w:tcPr>
          <w:p>
            <w:r>
              <w:rPr>
                <w:b/>
                <w:color w:val="FFFFFF"/>
              </w:rPr>
              <w:t xml:space="preserve">Question (verbatim)</w:t>
            </w:r>
          </w:p>
        </w:tc>
        <w:tc>
          <w:tcPr>
            <w:tcW w:w="1500" w:type="dxa"/>
            <w:shd w:val="clear" w:color="auto" w:fill="2E5BA8"/>
          </w:tcPr>
          <w:p>
            <w:r>
              <w:rPr>
                <w:b/>
                <w:color w:val="FFFFFF"/>
              </w:rPr>
              <w:t xml:space="preserve">Years Available</w:t>
            </w:r>
          </w:p>
        </w:tc>
        <w:tc>
          <w:tcPr>
            <w:tcW w:w="2460" w:type="dxa"/>
            <w:shd w:val="clear" w:color="auto" w:fill="2E5BA8"/>
          </w:tcPr>
          <w:p>
            <w:r>
              <w:rPr>
                <w:b/>
                <w:color w:val="FFFFFF"/>
              </w:rPr>
              <w:t xml:space="preserve">Scale</w:t>
            </w:r>
          </w:p>
        </w:tc>
      </w:tr>
      <w:tr>
        <w:tc>
          <w:tcPr>
            <w:tcW w:w="1200" w:type="dxa"/>
            <w:shd w:val="clear" w:color="auto" w:fill="F5F8FF"/>
          </w:tcPr>
          <w:p>
            <w:r>
              <w:t xml:space="preserve">AISelect</w:t>
            </w:r>
          </w:p>
        </w:tc>
        <w:tc>
          <w:tcPr>
            <w:tcW w:w="4200" w:type="dxa"/>
            <w:shd w:val="clear" w:color="auto" w:fill="F5F8FF"/>
          </w:tcPr>
          <w:p>
            <w:r>
              <w:t xml:space="preserve">Do you currently use AI tools in your development process?</w:t>
            </w:r>
          </w:p>
        </w:tc>
        <w:tc>
          <w:tcPr>
            <w:tcW w:w="1500" w:type="dxa"/>
            <w:shd w:val="clear" w:color="auto" w:fill="F5F8FF"/>
          </w:tcPr>
          <w:p>
            <w:r>
              <w:t xml:space="preserve">2023–2025</w:t>
            </w:r>
          </w:p>
        </w:tc>
        <w:tc>
          <w:tcPr>
            <w:tcW w:w="2460" w:type="dxa"/>
            <w:shd w:val="clear" w:color="auto" w:fill="F5F8FF"/>
          </w:tcPr>
          <w:p>
            <w:r>
              <w:t xml:space="preserve">Categorical (Yes/No variants)</w:t>
            </w:r>
          </w:p>
        </w:tc>
      </w:tr>
      <w:tr>
        <w:tc>
          <w:tcPr>
            <w:tcW w:w="1200" w:type="dxa"/>
            <w:shd w:val="clear" w:color="auto" w:fill="FFFFFF"/>
          </w:tcPr>
          <w:p>
            <w:r>
              <w:t xml:space="preserve">AISent</w:t>
            </w:r>
          </w:p>
        </w:tc>
        <w:tc>
          <w:tcPr>
            <w:tcW w:w="4200" w:type="dxa"/>
            <w:shd w:val="clear" w:color="auto" w:fill="FFFFFF"/>
          </w:tcPr>
          <w:p>
            <w:r>
              <w:t xml:space="preserve">How favorable is your stance on using AI tools...?</w:t>
            </w:r>
          </w:p>
        </w:tc>
        <w:tc>
          <w:tcPr>
            <w:tcW w:w="1500" w:type="dxa"/>
            <w:shd w:val="clear" w:color="auto" w:fill="FFFFFF"/>
          </w:tcPr>
          <w:p>
            <w:r>
              <w:t xml:space="preserve">2023–2025</w:t>
            </w:r>
          </w:p>
        </w:tc>
        <w:tc>
          <w:tcPr>
            <w:tcW w:w="2460" w:type="dxa"/>
            <w:shd w:val="clear" w:color="auto" w:fill="FFFFFF"/>
          </w:tcPr>
          <w:p>
            <w:r>
              <w:t xml:space="preserve">6-point Likert</w:t>
            </w:r>
          </w:p>
        </w:tc>
      </w:tr>
      <w:tr>
        <w:tc>
          <w:tcPr>
            <w:tcW w:w="1200" w:type="dxa"/>
            <w:shd w:val="clear" w:color="auto" w:fill="F5F8FF"/>
          </w:tcPr>
          <w:p>
            <w:r>
              <w:t xml:space="preserve">AIAcc / AIBen</w:t>
            </w:r>
          </w:p>
        </w:tc>
        <w:tc>
          <w:tcPr>
            <w:tcW w:w="4200" w:type="dxa"/>
            <w:shd w:val="clear" w:color="auto" w:fill="F5F8FF"/>
          </w:tcPr>
          <w:p>
            <w:r>
              <w:t xml:space="preserve">How much do you trust the accuracy of the output from AI tools...?</w:t>
            </w:r>
          </w:p>
        </w:tc>
        <w:tc>
          <w:tcPr>
            <w:tcW w:w="1500" w:type="dxa"/>
            <w:shd w:val="clear" w:color="auto" w:fill="F5F8FF"/>
          </w:tcPr>
          <w:p>
            <w:r>
              <w:t xml:space="preserve">All years*</w:t>
            </w:r>
          </w:p>
        </w:tc>
        <w:tc>
          <w:tcPr>
            <w:tcW w:w="2460" w:type="dxa"/>
            <w:shd w:val="clear" w:color="auto" w:fill="F5F8FF"/>
          </w:tcPr>
          <w:p>
            <w:r>
              <w:t xml:space="preserve">5-point Likert</w:t>
            </w:r>
          </w:p>
        </w:tc>
      </w:tr>
      <w:tr>
        <w:tc>
          <w:tcPr>
            <w:tcW w:w="1200" w:type="dxa"/>
            <w:shd w:val="clear" w:color="auto" w:fill="FFFFFF"/>
          </w:tcPr>
          <w:p>
            <w:r>
              <w:t xml:space="preserve">AIThreat</w:t>
            </w:r>
          </w:p>
        </w:tc>
        <w:tc>
          <w:tcPr>
            <w:tcW w:w="4200" w:type="dxa"/>
            <w:shd w:val="clear" w:color="auto" w:fill="FFFFFF"/>
          </w:tcPr>
          <w:p>
            <w:r>
              <w:t xml:space="preserve">Do you believe AI is a threat to your current job?</w:t>
            </w:r>
          </w:p>
        </w:tc>
        <w:tc>
          <w:tcPr>
            <w:tcW w:w="1500" w:type="dxa"/>
            <w:shd w:val="clear" w:color="auto" w:fill="FFFFFF"/>
          </w:tcPr>
          <w:p>
            <w:r>
              <w:t xml:space="preserve">2024–2025</w:t>
            </w:r>
          </w:p>
        </w:tc>
        <w:tc>
          <w:tcPr>
            <w:tcW w:w="2460" w:type="dxa"/>
            <w:shd w:val="clear" w:color="auto" w:fill="FFFFFF"/>
          </w:tcPr>
          <w:p>
            <w:r>
              <w:t xml:space="preserve">Yes / No / Unsure</w:t>
            </w:r>
          </w:p>
        </w:tc>
      </w:tr>
      <w:tr>
        <w:tc>
          <w:tcPr>
            <w:tcW w:w="1200" w:type="dxa"/>
            <w:shd w:val="clear" w:color="auto" w:fill="F5F8FF"/>
          </w:tcPr>
          <w:p>
            <w:r>
              <w:t xml:space="preserve">AIComplex</w:t>
            </w:r>
          </w:p>
        </w:tc>
        <w:tc>
          <w:tcPr>
            <w:tcW w:w="4200" w:type="dxa"/>
            <w:shd w:val="clear" w:color="auto" w:fill="F5F8FF"/>
          </w:tcPr>
          <w:p>
            <w:r>
              <w:t xml:space="preserve">How well do the AI tools you use handle complex tasks?</w:t>
            </w:r>
          </w:p>
        </w:tc>
        <w:tc>
          <w:tcPr>
            <w:tcW w:w="1500" w:type="dxa"/>
            <w:shd w:val="clear" w:color="auto" w:fill="F5F8FF"/>
          </w:tcPr>
          <w:p>
            <w:r>
              <w:t xml:space="preserve">2024–2025</w:t>
            </w:r>
          </w:p>
        </w:tc>
        <w:tc>
          <w:tcPr>
            <w:tcW w:w="2460" w:type="dxa"/>
            <w:shd w:val="clear" w:color="auto" w:fill="F5F8FF"/>
          </w:tcPr>
          <w:p>
            <w:r>
              <w:t xml:space="preserve">5-point scale + N/A</w:t>
            </w:r>
          </w:p>
        </w:tc>
      </w:tr>
      <w:tr>
        <w:tc>
          <w:tcPr>
            <w:tcW w:w="1200" w:type="dxa"/>
            <w:shd w:val="clear" w:color="auto" w:fill="FFFFFF"/>
          </w:tcPr>
          <w:p>
            <w:r>
              <w:t xml:space="preserve">AIAgents</w:t>
            </w:r>
          </w:p>
        </w:tc>
        <w:tc>
          <w:tcPr>
            <w:tcW w:w="4200" w:type="dxa"/>
            <w:shd w:val="clear" w:color="auto" w:fill="FFFFFF"/>
          </w:tcPr>
          <w:p>
            <w:r>
              <w:t xml:space="preserve">Are you using AI agents in your work?</w:t>
            </w:r>
          </w:p>
        </w:tc>
        <w:tc>
          <w:tcPr>
            <w:tcW w:w="1500" w:type="dxa"/>
            <w:shd w:val="clear" w:color="auto" w:fill="FFFFFF"/>
          </w:tcPr>
          <w:p>
            <w:r>
              <w:t xml:space="preserve">2025 only</w:t>
            </w:r>
          </w:p>
        </w:tc>
        <w:tc>
          <w:tcPr>
            <w:tcW w:w="2460" w:type="dxa"/>
            <w:shd w:val="clear" w:color="auto" w:fill="FFFFFF"/>
          </w:tcPr>
          <w:p>
            <w:r>
              <w:t xml:space="preserve">Frequency scale</w:t>
            </w:r>
          </w:p>
        </w:tc>
      </w:tr>
      <w:tr>
        <w:tc>
          <w:tcPr>
            <w:tcW w:w="1200" w:type="dxa"/>
            <w:shd w:val="clear" w:color="auto" w:fill="F5F8FF"/>
          </w:tcPr>
          <w:p>
            <w:r>
              <w:t xml:space="preserve">AIFrustration</w:t>
            </w:r>
          </w:p>
        </w:tc>
        <w:tc>
          <w:tcPr>
            <w:tcW w:w="4200" w:type="dxa"/>
            <w:shd w:val="clear" w:color="auto" w:fill="F5F8FF"/>
          </w:tcPr>
          <w:p>
            <w:r>
              <w:t xml:space="preserve">What frustrations have you encountered with AI tools?</w:t>
            </w:r>
          </w:p>
        </w:tc>
        <w:tc>
          <w:tcPr>
            <w:tcW w:w="1500" w:type="dxa"/>
            <w:shd w:val="clear" w:color="auto" w:fill="F5F8FF"/>
          </w:tcPr>
          <w:p>
            <w:r>
              <w:t xml:space="preserve">2025 only</w:t>
            </w:r>
          </w:p>
        </w:tc>
        <w:tc>
          <w:tcPr>
            <w:tcW w:w="2460" w:type="dxa"/>
            <w:shd w:val="clear" w:color="auto" w:fill="F5F8FF"/>
          </w:tcPr>
          <w:p>
            <w:r>
              <w:t xml:space="preserve">Multi-select</w:t>
            </w:r>
          </w:p>
        </w:tc>
      </w:tr>
      <w:tr>
        <w:tc>
          <w:tcPr>
            <w:tcW w:w="1200" w:type="dxa"/>
            <w:shd w:val="clear" w:color="auto" w:fill="FFFFFF"/>
          </w:tcPr>
          <w:p>
            <w:r>
              <w:t xml:space="preserve">LearnCodeAI</w:t>
            </w:r>
          </w:p>
        </w:tc>
        <w:tc>
          <w:tcPr>
            <w:tcW w:w="4200" w:type="dxa"/>
            <w:shd w:val="clear" w:color="auto" w:fill="FFFFFF"/>
          </w:tcPr>
          <w:p>
            <w:r>
              <w:t xml:space="preserve">Did you spend time in the last year learning AI programming or AI-enabled tooling?</w:t>
            </w:r>
          </w:p>
        </w:tc>
        <w:tc>
          <w:tcPr>
            <w:tcW w:w="1500" w:type="dxa"/>
            <w:shd w:val="clear" w:color="auto" w:fill="FFFFFF"/>
          </w:tcPr>
          <w:p>
            <w:r>
              <w:t xml:space="preserve">2025 only</w:t>
            </w:r>
          </w:p>
        </w:tc>
        <w:tc>
          <w:tcPr>
            <w:tcW w:w="2460" w:type="dxa"/>
            <w:shd w:val="clear" w:color="auto" w:fill="FFFFFF"/>
          </w:tcPr>
          <w:p>
            <w:r>
              <w:t xml:space="preserve">Yes/No (binarized)</w:t>
            </w:r>
          </w:p>
        </w:tc>
      </w:tr>
      <w:tr>
        <w:tc>
          <w:tcPr>
            <w:tcW w:w="1200" w:type="dxa"/>
            <w:shd w:val="clear" w:color="auto" w:fill="F5F8FF"/>
          </w:tcPr>
          <w:p>
            <w:r>
              <w:t xml:space="preserve">AILearnHow</w:t>
            </w:r>
          </w:p>
        </w:tc>
        <w:tc>
          <w:tcPr>
            <w:tcW w:w="4200" w:type="dxa"/>
            <w:shd w:val="clear" w:color="auto" w:fill="F5F8FF"/>
          </w:tcPr>
          <w:p>
            <w:r>
              <w:t xml:space="preserve">How did you learn to code for AI in the past year?</w:t>
            </w:r>
          </w:p>
        </w:tc>
        <w:tc>
          <w:tcPr>
            <w:tcW w:w="1500" w:type="dxa"/>
            <w:shd w:val="clear" w:color="auto" w:fill="F5F8FF"/>
          </w:tcPr>
          <w:p>
            <w:r>
              <w:t xml:space="preserve">2025 only</w:t>
            </w:r>
          </w:p>
        </w:tc>
        <w:tc>
          <w:tcPr>
            <w:tcW w:w="2460" w:type="dxa"/>
            <w:shd w:val="clear" w:color="auto" w:fill="F5F8FF"/>
          </w:tcPr>
          <w:p>
            <w:r>
              <w:t xml:space="preserve">Multi-select</w:t>
            </w:r>
          </w:p>
        </w:tc>
      </w:tr>
    </w:tbl>
    <w:p>
      <w:pPr>
        <w:spacing w:before="80" w:after="240"/>
        <w:jc w:val="center"/>
      </w:pPr>
      <w:r>
        <w:rPr>
          <w:rFonts w:ascii="Arial" w:cs="Arial" w:eastAsia="Arial" w:hAnsi="Arial"/>
          <w:b w:val="false"/>
          <w:bCs w:val="false"/>
          <w:i/>
          <w:iCs/>
          <w:caps w:val="false"/>
          <w:color w:val="888888"/>
          <w:sz w:val="17"/>
          <w:szCs w:val="17"/>
        </w:rPr>
        <w:t xml:space="preserve">Table 2. Key variables across years. *AIBen in 2023, AIAcc in 2024–2025; identical question wording and Likert scale confirmed from schema files.</w:t>
      </w:r>
    </w:p>
    <w:p>
      <w:pPr>
        <w:spacing w:before="200" w:after="0"/>
      </w:pPr>
    </w:p>
    <w:p>
      <w:pPr>
        <w:pStyle w:val="Heading2"/>
        <w:spacing w:before="300" w:after="120"/>
      </w:pPr>
      <w:r>
        <w:rPr>
          <w:rFonts w:ascii="Arial" w:cs="Arial" w:eastAsia="Arial" w:hAnsi="Arial"/>
          <w:b/>
          <w:bCs/>
          <w:color w:val="1A1A1A"/>
          <w:sz w:val="28"/>
          <w:szCs w:val="28"/>
        </w:rPr>
        <w:t xml:space="preserve">3.3  Feature Engineering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Categorical responses were encoded as ordinal numeric scores to enable distance-based clustering and regression-style classification. The core encodings are:</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AIUsageScore (0–4): Never → Daily, encoded from AISelect responses</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AITrustScore (0–4): Highly distrust → Highly trust, from AIAcc / AIBen</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AISentScore (0–5): Very unfavorable → Very favorable, from AISent</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AgentScore (0–2): No agent use → Active agent use, from AIAgents</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AIComplexScore (0–5): Very poor → Very well at complex tasks, from AIComplex</w:t>
      </w:r>
    </w:p>
    <w:p>
      <w:pPr>
        <w:pStyle w:val="ListParagraph"/>
        <w:numPr>
          <w:ilvl w:val="0"/>
          <w:numId w:val="2"/>
        </w:numPr>
        <w:spacing w:before="0" w:after="100" w:line="300"/>
      </w:pPr>
      <w:r>
        <w:rPr>
          <w:rFonts w:ascii="Georgia" w:cs="Georgia" w:eastAsia="Georgia" w:hAnsi="Georgia"/>
          <w:b w:val="false"/>
          <w:bCs w:val="false"/>
          <w:i w:val="false"/>
          <w:iCs w:val="false"/>
          <w:caps w:val="false"/>
          <w:color w:val="1A1A1A"/>
          <w:sz w:val="22"/>
          <w:szCs w:val="22"/>
        </w:rPr>
        <w:t xml:space="preserve">LearnedAI (0/1): Binary flag derived from LearnCodeAI — "Did you spend time in the last year learning AI programming or AI-enabled tooling?" Coded 1 if respondent selected any 'Yes' response, 0 otherwise.</w:t>
      </w:r>
    </w:p>
    <w:p>
      <w:pPr>
        <w:spacing w:before="8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Experience and context variables were also engineered for use in the association rule mining analysis: ExpBucket (Junior → Veteran, from WorkExp), OrgBucket (Solo/Micro → Enterprise), WorkMode (Remote/Hybrid/In-Person), and PrimaryRole (simplified from the multi-select DevType column). Note: these contextual variables appear in association rules only; the 8-feature classifier uses only the attitudinal and experience variables listed in Section 3.4. The final analysis dataset for 2025 contained 33,231 respondents with sufficient AI data for clustering and classification (median imputation applied to work experience, years coding, and job-threat perception).</w:t>
      </w:r>
    </w:p>
    <w:p>
      <w:pPr>
        <w:pStyle w:val="Heading2"/>
        <w:spacing w:before="300" w:after="120"/>
      </w:pPr>
      <w:r>
        <w:rPr>
          <w:rFonts w:ascii="Arial" w:cs="Arial" w:eastAsia="Arial" w:hAnsi="Arial"/>
          <w:b/>
          <w:bCs/>
          <w:color w:val="1A1A1A"/>
          <w:sz w:val="28"/>
          <w:szCs w:val="28"/>
        </w:rPr>
        <w:t xml:space="preserve">3.4  Analytical Methods</w:t>
      </w:r>
    </w:p>
    <w:p>
      <w:pPr>
        <w:pStyle w:val="Heading3"/>
        <w:spacing w:before="240" w:after="80"/>
      </w:pPr>
      <w:r>
        <w:rPr>
          <w:rFonts w:ascii="Arial" w:cs="Arial" w:eastAsia="Arial" w:hAnsi="Arial"/>
          <w:b/>
          <w:bCs/>
          <w:color w:val="555555"/>
          <w:sz w:val="24"/>
          <w:szCs w:val="24"/>
        </w:rPr>
        <w:t xml:space="preserve">Clustering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applied k-means clustering (scikit-learn) with StandardScaler normalization to six behavioral and attitudinal features: AIUsageScore, AITrustScore, AISentScore, AgentScore, AIComplexScore, and LearnedAI. Silhouette scores were computed for k=2 through k=8 with n_init=20 random restarts (seed=42). The statistical optimum was k=2 (silhouette=0.349), but k=5 was selected for analytical richness, as it produces five interpretively meaningful archetypes. This choice is transparent and justified on domain knowledge grounds; we report the silhouette scores for all k values. Cluster stability was confirmed by rerunning with three different random seeds (42, 99, 7), which produced identical silhouette scores (0.2837) and near-identical cluster size distributions. A methodological note: k-means assumes interval-scale, continuous features and Euclidean distance. The features used here are ordinal Likert-scale variables, for which equal numeric spacing is not guaranteed. More appropriate methods for ordinal data (k-prototypes, latent class analysis) were considered but not implemented, as the clustering goal was interpretive archetype generation rather than probabilistic class assignment. The archetypes should be read as useful approximations, not statistically optimal partitions. As a robustness check, we re-ran the clustering using k-modes (Huang, 1998), which treats features as categorical and uses Hamming distance — better suited to ordinal Likert data. At k=5, k-modes produced three clusters with strong correspondence to the k-means solution (Daily Integrators: ΔUsage=0.11, ΔTrust=0.25; Enthusiastic Adopters: ΔU=0.23, ΔT=0.28; Active Resisters: ΔU=0.06, ΔT=0.21) and two middle clusters with moderate-to-weak correspondence, suggesting the trust dimension is more algorithm-sensitive in the middle range. Notably, k-modes also showed no statistical elbow favoring k=2 — the cost curve decreases monotonically through k=6, confirming that the choice of k=5 for interpretive value is consistent across both algorithms.</w:t>
      </w:r>
    </w:p>
    <w:p>
      <w:pPr>
        <w:pStyle w:val="Heading3"/>
        <w:spacing w:before="240" w:after="80"/>
      </w:pPr>
      <w:r>
        <w:rPr>
          <w:rFonts w:ascii="Arial" w:cs="Arial" w:eastAsia="Arial" w:hAnsi="Arial"/>
          <w:b/>
          <w:bCs/>
          <w:color w:val="555555"/>
          <w:sz w:val="24"/>
          <w:szCs w:val="24"/>
        </w:rPr>
        <w:t xml:space="preserve">Association Rule Mining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Transactions were constructed from discretized behavioral, attitudinal, demographic, and contextual features (usage bins, sentiment bins, trust bins, agent use, experience bucket, org size, primary role). The Apriori algorithm (mlxtend) was run with minimum support=0.07 and minimum lift=1.3, generating 1,198 rules. Rules were filtered and ranked by lift and confidence for interpretation.</w:t>
      </w:r>
    </w:p>
    <w:p>
      <w:pPr>
        <w:pStyle w:val="Heading3"/>
        <w:spacing w:before="240" w:after="80"/>
      </w:pPr>
      <w:r>
        <w:rPr>
          <w:rFonts w:ascii="Arial" w:cs="Arial" w:eastAsia="Arial" w:hAnsi="Arial"/>
          <w:b/>
          <w:bCs/>
          <w:color w:val="555555"/>
          <w:sz w:val="24"/>
          <w:szCs w:val="24"/>
        </w:rPr>
        <w:t xml:space="preserve">Classification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trained a Random Forest classifier (200 trees, min_samples_leaf=20, seed=42) and a Decision Tree (max_depth=5, min_samples_leaf=50, seed=42) to predict daily AI adoption (AIUsageScore=4) from 8 features: AI Sentiment, Agent Engagement, Learned AI, AI Trust, AI Complexity Rating, Job Threat Perception, Years Work Experience, and Years Coding. The full clustering sample (n=33,231) was used; missing values in all features were median-imputed before fitting. A stratified 80/20 train-test split was used (seed=42; test n=6,647). Five-fold cross-validation (StratifiedKFold, seed=42) yielded 77.9% ± 0.2% accuracy across folds, confirming the stability of the accuracy estimate. Feature importances from the Random Forest were used to identify the variables most strongly associated with daily adoption in this dataset.</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4. The Three-Year Pattern: 2023–2025 (Repeated Cross-Sections)</w:t>
      </w:r>
    </w:p>
    <w:p>
      <w:pPr>
        <w:pStyle w:val="Heading2"/>
        <w:spacing w:before="300" w:after="120"/>
      </w:pPr>
      <w:r>
        <w:rPr>
          <w:rFonts w:ascii="Arial" w:cs="Arial" w:eastAsia="Arial" w:hAnsi="Arial"/>
          <w:b/>
          <w:bCs/>
          <w:color w:val="1A1A1A"/>
          <w:sz w:val="28"/>
          <w:szCs w:val="28"/>
        </w:rPr>
        <w:t xml:space="preserve">4.1  Adoption Is Accelerating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AI adoption among surveyed developers has grown sharply and consistently across all three years of this study. The proportion currently using AI tools rose from 44.4% in 2023 to 61.8% in 2024 to 78.5% in 2025 — a 34.1 percentage point increase over two years. Note on the 2023 figure: the paper computes 39,042 / 87,973 = 44.4%, where 87,973 is the count of respondents who answered AISelect in the 2023 CSV. Stack Overflow’s official results page reports 43.78% using 89,184 as the denominator (all 2023 respondents, including 1,211 who did not answer AISelect). Both figures refer to the same 39,042 current users; the difference is denominator choice. See Appendix A.5 for full reconciliation.</w:t>
      </w:r>
    </w:p>
    <w:p>
      <w:pPr>
        <w:spacing w:before="120" w:after="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44.4%</w:t>
            </w:r>
          </w:p>
          <w:p>
            <w:pPr>
              <w:spacing w:before="0" w:after="40"/>
              <w:jc w:val="center"/>
            </w:pPr>
            <w:r>
              <w:rPr>
                <w:rFonts w:ascii="Arial" w:cs="Arial" w:eastAsia="Arial" w:hAnsi="Arial"/>
                <w:b/>
                <w:bCs/>
                <w:i w:val="false"/>
                <w:iCs w:val="false"/>
                <w:caps w:val="false"/>
                <w:color w:val="1A1A1A"/>
                <w:sz w:val="18"/>
                <w:szCs w:val="18"/>
              </w:rPr>
              <w:t xml:space="preserve">2023 Adoption</w:t>
            </w:r>
          </w:p>
          <w:p>
            <w:pPr>
              <w:spacing w:before="0" w:after="0"/>
              <w:jc w:val="center"/>
            </w:pPr>
            <w:r>
              <w:rPr>
                <w:rFonts w:ascii="Arial" w:cs="Arial" w:eastAsia="Arial" w:hAnsi="Arial"/>
                <w:b w:val="false"/>
                <w:bCs w:val="false"/>
                <w:i/>
                <w:iCs/>
                <w:caps w:val="false"/>
                <w:color w:val="888888"/>
                <w:sz w:val="16"/>
                <w:szCs w:val="16"/>
              </w:rPr>
              <w:t xml:space="preserve">39,042 / 87,973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61.8%</w:t>
            </w:r>
          </w:p>
          <w:p>
            <w:pPr>
              <w:spacing w:before="0" w:after="40"/>
              <w:jc w:val="center"/>
            </w:pPr>
            <w:r>
              <w:rPr>
                <w:rFonts w:ascii="Arial" w:cs="Arial" w:eastAsia="Arial" w:hAnsi="Arial"/>
                <w:b/>
                <w:bCs/>
                <w:i w:val="false"/>
                <w:iCs w:val="false"/>
                <w:caps w:val="false"/>
                <w:color w:val="1A1A1A"/>
                <w:sz w:val="18"/>
                <w:szCs w:val="18"/>
              </w:rPr>
              <w:t xml:space="preserve">2024 Adoption</w:t>
            </w:r>
          </w:p>
          <w:p>
            <w:pPr>
              <w:spacing w:before="0" w:after="0"/>
              <w:jc w:val="center"/>
            </w:pPr>
            <w:r>
              <w:rPr>
                <w:rFonts w:ascii="Arial" w:cs="Arial" w:eastAsia="Arial" w:hAnsi="Arial"/>
                <w:b w:val="false"/>
                <w:bCs w:val="false"/>
                <w:i/>
                <w:iCs/>
                <w:caps w:val="false"/>
                <w:color w:val="888888"/>
                <w:sz w:val="16"/>
                <w:szCs w:val="16"/>
              </w:rPr>
              <w:t xml:space="preserve">37,662 / 60,907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78.5%</w:t>
            </w:r>
          </w:p>
          <w:p>
            <w:pPr>
              <w:spacing w:before="0" w:after="40"/>
              <w:jc w:val="center"/>
            </w:pPr>
            <w:r>
              <w:rPr>
                <w:rFonts w:ascii="Arial" w:cs="Arial" w:eastAsia="Arial" w:hAnsi="Arial"/>
                <w:b/>
                <w:bCs/>
                <w:i w:val="false"/>
                <w:iCs w:val="false"/>
                <w:caps w:val="false"/>
                <w:color w:val="1A1A1A"/>
                <w:sz w:val="18"/>
                <w:szCs w:val="18"/>
              </w:rPr>
              <w:t xml:space="preserve">2025 Adoption</w:t>
            </w:r>
          </w:p>
          <w:p>
            <w:pPr>
              <w:spacing w:before="0" w:after="0"/>
              <w:jc w:val="center"/>
            </w:pPr>
            <w:r>
              <w:rPr>
                <w:rFonts w:ascii="Arial" w:cs="Arial" w:eastAsia="Arial" w:hAnsi="Arial"/>
                <w:b w:val="false"/>
                <w:bCs w:val="false"/>
                <w:i/>
                <w:iCs/>
                <w:caps w:val="false"/>
                <w:color w:val="888888"/>
                <w:sz w:val="16"/>
                <w:szCs w:val="16"/>
              </w:rPr>
              <w:t xml:space="preserve">26,469 / 33,720 answered</w:t>
            </w:r>
          </w:p>
        </w:tc>
        <w:tc>
          <w:tcPr>
            <w:tcW w:type="dxa" w:w="2340"/>
            <w:tcBorders>
              <w:top w:val="single" w:color="CCCCCC" w:sz="4"/>
              <w:left w:val="single" w:color="CCCCCC" w:sz="4"/>
              <w:bottom w:val="single" w:color="CCCCCC" w:sz="4"/>
              <w:right w:val="single" w:color="CCCCCC" w:sz="4"/>
            </w:tcBorders>
            <w:shd w:fill="EAF0FB"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2E5BA8"/>
                <w:sz w:val="52"/>
                <w:szCs w:val="52"/>
              </w:rPr>
              <w:t xml:space="preserve">47.1%</w:t>
            </w:r>
          </w:p>
          <w:p>
            <w:pPr>
              <w:spacing w:before="0" w:after="40"/>
              <w:jc w:val="center"/>
            </w:pPr>
            <w:r>
              <w:rPr>
                <w:rFonts w:ascii="Arial" w:cs="Arial" w:eastAsia="Arial" w:hAnsi="Arial"/>
                <w:b/>
                <w:bCs/>
                <w:i w:val="false"/>
                <w:iCs w:val="false"/>
                <w:caps w:val="false"/>
                <w:color w:val="1A1A1A"/>
                <w:sz w:val="18"/>
                <w:szCs w:val="18"/>
              </w:rPr>
              <w:t xml:space="preserve">2025 — Daily Use</w:t>
            </w:r>
          </w:p>
          <w:p>
            <w:pPr>
              <w:spacing w:before="0" w:after="0"/>
              <w:jc w:val="center"/>
            </w:pPr>
            <w:r>
              <w:rPr>
                <w:rFonts w:ascii="Arial" w:cs="Arial" w:eastAsia="Arial" w:hAnsi="Arial"/>
                <w:b w:val="false"/>
                <w:bCs w:val="false"/>
                <w:i/>
                <w:iCs/>
                <w:caps w:val="false"/>
                <w:color w:val="888888"/>
                <w:sz w:val="16"/>
                <w:szCs w:val="16"/>
              </w:rPr>
              <w:t xml:space="preserve">15,883 respondents</w:t>
            </w:r>
          </w:p>
        </w:tc>
      </w:tr>
    </w:tbl>
    <w:p>
      <w:pPr>
        <w:spacing w:before="16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2025 figure is particularly notable: not only is 78.5% using AI tools, but 47.1% are doing so daily — nearly one in two surveyed developers has integrated AI into their everyday workflow. Note on denominators: Stack Overflow's published press materials cite 51% daily use, a figure filtered to professional developers (MainBranch = 'developer by profession'). Among those professionals who answered the AI usage question (n=26,045 of 37,467 total professional developers), this dataset yields 50.6% daily use — consistent with SO's published figure. The n=37,467 is total professional developers in the survey; the AI-question denominator is the smaller 26,045. A further 17.7% use AI tools weekly. Only 16.2% of 2025 respondents say they have no plans to use AI tools, down from 29.8% in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The AISelect question changed wording in 2025. In 2023 and 2024 it asked for a binary Yes/No response; in 2025 it introduced frequency granularity (daily/weekly/monthly). The "currently using" figures across years (44.4%, 61.8%, 78.5%) remain directionally comparable, but the 2025 figure may slightly overestimate adoption relative to a consistent binary measure. The trend direction is consistent across both interpretations; treat the absolute 2025 number with this caveat noted.</w:t>
            </w:r>
            <w:r>
              <w:rPr>
                <w:rFonts w:ascii="Arial" w:cs="Arial" w:eastAsia="Arial" w:hAnsi="Arial"/>
                <w:b w:val="false"/>
                <w:bCs w:val="false"/>
                <w:i w:val="false"/>
                <w:iCs w:val="false"/>
                <w:caps w:val="false"/>
                <w:color w:val="7D5900"/>
                <w:sz w:val="19"/>
                <w:szCs w:val="19"/>
              </w:rPr>
              <w:t xml:space="preserve"/>
            </w:r>
          </w:p>
        </w:tc>
      </w:tr>
    </w:tbl>
    <w:p>
      <w:pPr>
        <w:spacing w:before="160" w:after="0"/>
      </w:pPr>
    </w:p>
    <w:p>
      <w:pPr>
        <w:pStyle w:val="Heading2"/>
        <w:spacing w:before="300" w:after="120"/>
      </w:pPr>
      <w:r>
        <w:rPr>
          <w:rFonts w:ascii="Arial" w:cs="Arial" w:eastAsia="Arial" w:hAnsi="Arial"/>
          <w:b/>
          <w:bCs/>
          <w:color w:val="1A1A1A"/>
          <w:sz w:val="28"/>
          <w:szCs w:val="28"/>
        </w:rPr>
        <w:t xml:space="preserve">4.2  The Adoption Paradox: Sentiment and Trust Are Going the Other Way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Against this backdrop of surging adoption sits one of the most striking findings in this dataset. In the same period that AI usage nearly doubled, favorable sentiment dropped 16.6 percentage points, negative sentiment rose by 17.2 percentage points (from 3.2% to 20.4%), and the proportion who "highly distrust" AI output more than tripled.</w:t>
      </w:r>
    </w:p>
    <w:p>
      <w:pPr>
        <w:spacing w:before="120" w:after="0"/>
      </w:pP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3000"/>
        <w:gridCol w:w="1400"/>
        <w:gridCol w:w="1400"/>
        <w:gridCol w:w="1800"/>
        <w:gridCol w:w="1760"/>
      </w:tblGrid>
      <w:tr>
        <w:trPr>
          <w:tblHeader/>
        </w:trPr>
        <w:tc>
          <w:tcPr>
            <w:tcW w:w="3000" w:type="dxa"/>
            <w:shd w:val="clear" w:color="auto" w:fill="2E5BA8"/>
          </w:tcPr>
          <w:p>
            <w:r>
              <w:rPr>
                <w:b/>
                <w:color w:val="FFFFFF"/>
              </w:rPr>
              <w:t xml:space="preserve">Metric</w:t>
            </w:r>
          </w:p>
        </w:tc>
        <w:tc>
          <w:tcPr>
            <w:tcW w:w="1400" w:type="dxa"/>
            <w:shd w:val="clear" w:color="auto" w:fill="2E5BA8"/>
          </w:tcPr>
          <w:p>
            <w:r>
              <w:rPr>
                <w:b/>
                <w:color w:val="FFFFFF"/>
              </w:rPr>
              <w:t xml:space="preserve">2023</w:t>
            </w:r>
          </w:p>
        </w:tc>
        <w:tc>
          <w:tcPr>
            <w:tcW w:w="1400" w:type="dxa"/>
            <w:shd w:val="clear" w:color="auto" w:fill="2E5BA8"/>
          </w:tcPr>
          <w:p>
            <w:r>
              <w:rPr>
                <w:b/>
                <w:color w:val="FFFFFF"/>
              </w:rPr>
              <w:t xml:space="preserve">2024</w:t>
            </w:r>
          </w:p>
        </w:tc>
        <w:tc>
          <w:tcPr>
            <w:tcW w:w="1800" w:type="dxa"/>
            <w:shd w:val="clear" w:color="auto" w:fill="2E5BA8"/>
          </w:tcPr>
          <w:p>
            <w:r>
              <w:rPr>
                <w:b/>
                <w:color w:val="FFFFFF"/>
              </w:rPr>
              <w:t xml:space="preserve">2025</w:t>
            </w:r>
          </w:p>
        </w:tc>
        <w:tc>
          <w:tcPr>
            <w:tcW w:w="1760" w:type="dxa"/>
            <w:shd w:val="clear" w:color="auto" w:fill="2E5BA8"/>
          </w:tcPr>
          <w:p>
            <w:r>
              <w:rPr>
                <w:b/>
                <w:color w:val="FFFFFF"/>
              </w:rPr>
              <w:t xml:space="preserve">Change 23→25</w:t>
            </w:r>
          </w:p>
        </w:tc>
      </w:tr>
      <w:tr>
        <w:tc>
          <w:tcPr>
            <w:tcW w:w="3000" w:type="dxa"/>
            <w:shd w:val="clear" w:color="auto" w:fill="F5F8FF"/>
          </w:tcPr>
          <w:p>
            <w:r>
              <w:t xml:space="preserve">Positive sentiment</w:t>
            </w:r>
          </w:p>
        </w:tc>
        <w:tc>
          <w:tcPr>
            <w:tcW w:w="1400" w:type="dxa"/>
            <w:shd w:val="clear" w:color="auto" w:fill="F5F8FF"/>
          </w:tcPr>
          <w:p>
            <w:r>
              <w:t xml:space="preserve">76.3%</w:t>
            </w:r>
          </w:p>
        </w:tc>
        <w:tc>
          <w:tcPr>
            <w:tcW w:w="1400" w:type="dxa"/>
            <w:shd w:val="clear" w:color="auto" w:fill="F5F8FF"/>
          </w:tcPr>
          <w:p>
            <w:r>
              <w:t xml:space="preserve">72.0%</w:t>
            </w:r>
          </w:p>
        </w:tc>
        <w:tc>
          <w:tcPr>
            <w:tcW w:w="1800" w:type="dxa"/>
            <w:shd w:val="clear" w:color="auto" w:fill="F5F8FF"/>
          </w:tcPr>
          <w:p>
            <w:r>
              <w:t xml:space="preserve">59.7%</w:t>
            </w:r>
          </w:p>
        </w:tc>
        <w:tc>
          <w:tcPr>
            <w:tcW w:w="1760" w:type="dxa"/>
            <w:shd w:val="clear" w:color="auto" w:fill="F5F8FF"/>
          </w:tcPr>
          <w:p>
            <w:r>
              <w:t xml:space="preserve">−16.6pp</w:t>
            </w:r>
          </w:p>
        </w:tc>
      </w:tr>
      <w:tr>
        <w:tc>
          <w:tcPr>
            <w:tcW w:w="3000" w:type="dxa"/>
            <w:shd w:val="clear" w:color="auto" w:fill="FFFFFF"/>
          </w:tcPr>
          <w:p>
            <w:r>
              <w:t xml:space="preserve">Negative sentiment</w:t>
            </w:r>
          </w:p>
        </w:tc>
        <w:tc>
          <w:tcPr>
            <w:tcW w:w="1400" w:type="dxa"/>
            <w:shd w:val="clear" w:color="auto" w:fill="FFFFFF"/>
          </w:tcPr>
          <w:p>
            <w:r>
              <w:t xml:space="preserve">3.2%</w:t>
            </w:r>
          </w:p>
        </w:tc>
        <w:tc>
          <w:tcPr>
            <w:tcW w:w="1400" w:type="dxa"/>
            <w:shd w:val="clear" w:color="auto" w:fill="FFFFFF"/>
          </w:tcPr>
          <w:p>
            <w:r>
              <w:t xml:space="preserve">6.4%</w:t>
            </w:r>
          </w:p>
        </w:tc>
        <w:tc>
          <w:tcPr>
            <w:tcW w:w="1800" w:type="dxa"/>
            <w:shd w:val="clear" w:color="auto" w:fill="FFFFFF"/>
          </w:tcPr>
          <w:p>
            <w:r>
              <w:t xml:space="preserve">20.4%</w:t>
            </w:r>
          </w:p>
        </w:tc>
        <w:tc>
          <w:tcPr>
            <w:tcW w:w="1760" w:type="dxa"/>
            <w:shd w:val="clear" w:color="auto" w:fill="FFFFFF"/>
          </w:tcPr>
          <w:p>
            <w:r>
              <w:t xml:space="preserve">+17.2pp</w:t>
            </w:r>
          </w:p>
        </w:tc>
      </w:tr>
      <w:tr>
        <w:tc>
          <w:tcPr>
            <w:tcW w:w="3000" w:type="dxa"/>
            <w:shd w:val="clear" w:color="auto" w:fill="F5F8FF"/>
          </w:tcPr>
          <w:p>
            <w:r>
              <w:t xml:space="preserve">High trust (some/high)</w:t>
            </w:r>
          </w:p>
        </w:tc>
        <w:tc>
          <w:tcPr>
            <w:tcW w:w="1400" w:type="dxa"/>
            <w:shd w:val="clear" w:color="auto" w:fill="F5F8FF"/>
          </w:tcPr>
          <w:p>
            <w:r>
              <w:t xml:space="preserve">42.2%</w:t>
            </w:r>
          </w:p>
        </w:tc>
        <w:tc>
          <w:tcPr>
            <w:tcW w:w="1400" w:type="dxa"/>
            <w:shd w:val="clear" w:color="auto" w:fill="F5F8FF"/>
          </w:tcPr>
          <w:p>
            <w:r>
              <w:t xml:space="preserve">43.0%</w:t>
            </w:r>
          </w:p>
        </w:tc>
        <w:tc>
          <w:tcPr>
            <w:tcW w:w="1800" w:type="dxa"/>
            <w:shd w:val="clear" w:color="auto" w:fill="F5F8FF"/>
          </w:tcPr>
          <w:p>
            <w:r>
              <w:t xml:space="preserve">32.8% [39.3%*]</w:t>
            </w:r>
          </w:p>
        </w:tc>
        <w:tc>
          <w:tcPr>
            <w:tcW w:w="1760" w:type="dxa"/>
            <w:shd w:val="clear" w:color="auto" w:fill="F5F8FF"/>
          </w:tcPr>
          <w:p>
            <w:r>
              <w:t xml:space="preserve">−9.4pp [−3.7pp*]</w:t>
            </w:r>
          </w:p>
        </w:tc>
      </w:tr>
      <w:tr>
        <w:tc>
          <w:tcPr>
            <w:tcW w:w="3000" w:type="dxa"/>
            <w:shd w:val="clear" w:color="auto" w:fill="FFFFFF"/>
          </w:tcPr>
          <w:p>
            <w:r>
              <w:t xml:space="preserve">High distrust</w:t>
            </w:r>
          </w:p>
        </w:tc>
        <w:tc>
          <w:tcPr>
            <w:tcW w:w="1400" w:type="dxa"/>
            <w:shd w:val="clear" w:color="auto" w:fill="FFFFFF"/>
          </w:tcPr>
          <w:p>
            <w:r>
              <w:t xml:space="preserve">27.2%</w:t>
            </w:r>
          </w:p>
        </w:tc>
        <w:tc>
          <w:tcPr>
            <w:tcW w:w="1400" w:type="dxa"/>
            <w:shd w:val="clear" w:color="auto" w:fill="FFFFFF"/>
          </w:tcPr>
          <w:p>
            <w:r>
              <w:t xml:space="preserve">30.4%</w:t>
            </w:r>
          </w:p>
        </w:tc>
        <w:tc>
          <w:tcPr>
            <w:tcW w:w="1800" w:type="dxa"/>
            <w:shd w:val="clear" w:color="auto" w:fill="FFFFFF"/>
          </w:tcPr>
          <w:p>
            <w:r>
              <w:t xml:space="preserve">45.7% [37.3%*]</w:t>
            </w:r>
          </w:p>
        </w:tc>
        <w:tc>
          <w:tcPr>
            <w:tcW w:w="1760" w:type="dxa"/>
            <w:shd w:val="clear" w:color="auto" w:fill="FFFFFF"/>
          </w:tcPr>
          <w:p>
            <w:r>
              <w:t xml:space="preserve">+18.5pp [+7.0pp*]</w:t>
            </w:r>
          </w:p>
        </w:tc>
      </w:tr>
      <w:tr>
        <w:tc>
          <w:tcPr>
            <w:tcW w:w="3000" w:type="dxa"/>
            <w:shd w:val="clear" w:color="auto" w:fill="F5F8FF"/>
          </w:tcPr>
          <w:p>
            <w:r>
              <w:t xml:space="preserve">"Highly distrust" only</w:t>
            </w:r>
          </w:p>
        </w:tc>
        <w:tc>
          <w:tcPr>
            <w:tcW w:w="1400" w:type="dxa"/>
            <w:shd w:val="clear" w:color="auto" w:fill="F5F8FF"/>
          </w:tcPr>
          <w:p>
            <w:r>
              <w:t xml:space="preserve">5.5%</w:t>
            </w:r>
          </w:p>
        </w:tc>
        <w:tc>
          <w:tcPr>
            <w:tcW w:w="1400" w:type="dxa"/>
            <w:shd w:val="clear" w:color="auto" w:fill="F5F8FF"/>
          </w:tcPr>
          <w:p>
            <w:r>
              <w:t xml:space="preserve">7.9%</w:t>
            </w:r>
          </w:p>
        </w:tc>
        <w:tc>
          <w:tcPr>
            <w:tcW w:w="1800" w:type="dxa"/>
            <w:shd w:val="clear" w:color="auto" w:fill="F5F8FF"/>
          </w:tcPr>
          <w:p>
            <w:r>
              <w:t xml:space="preserve">19.6%</w:t>
            </w:r>
          </w:p>
        </w:tc>
        <w:tc>
          <w:tcPr>
            <w:tcW w:w="1760" w:type="dxa"/>
            <w:shd w:val="clear" w:color="auto" w:fill="F5F8FF"/>
          </w:tcPr>
          <w:p>
            <w:r>
              <w:t xml:space="preserve">+14.1pp</w:t>
            </w:r>
          </w:p>
        </w:tc>
      </w:tr>
      <w:tr>
        <w:tc>
          <w:tcPr>
            <w:tcW w:w="3000" w:type="dxa"/>
            <w:shd w:val="clear" w:color="auto" w:fill="FFFFFF"/>
          </w:tcPr>
          <w:p>
            <w:r>
              <w:t xml:space="preserve">Job threat: Yes</w:t>
            </w:r>
          </w:p>
        </w:tc>
        <w:tc>
          <w:tcPr>
            <w:tcW w:w="1400" w:type="dxa"/>
            <w:shd w:val="clear" w:color="auto" w:fill="FFFFFF"/>
          </w:tcPr>
          <w:p>
            <w:r>
              <w:t xml:space="preserve">N/A</w:t>
            </w:r>
          </w:p>
        </w:tc>
        <w:tc>
          <w:tcPr>
            <w:tcW w:w="1400" w:type="dxa"/>
            <w:shd w:val="clear" w:color="auto" w:fill="FFFFFF"/>
          </w:tcPr>
          <w:p>
            <w:r>
              <w:t xml:space="preserve">12.1%</w:t>
            </w:r>
          </w:p>
        </w:tc>
        <w:tc>
          <w:tcPr>
            <w:tcW w:w="1800" w:type="dxa"/>
            <w:shd w:val="clear" w:color="auto" w:fill="FFFFFF"/>
          </w:tcPr>
          <w:p>
            <w:r>
              <w:t xml:space="preserve">15.0%</w:t>
            </w:r>
          </w:p>
        </w:tc>
        <w:tc>
          <w:tcPr>
            <w:tcW w:w="1760" w:type="dxa"/>
            <w:shd w:val="clear" w:color="auto" w:fill="FFFFFF"/>
          </w:tcPr>
          <w:p>
            <w:r>
              <w:t xml:space="preserve">+2.9pp (24–25)</w:t>
            </w:r>
          </w:p>
        </w:tc>
      </w:tr>
    </w:tbl>
    <w:p>
      <w:pPr>
        <w:spacing w:before="80" w:after="240"/>
        <w:jc w:val="center"/>
      </w:pPr>
      <w:r>
        <w:rPr>
          <w:rFonts w:ascii="Arial" w:cs="Arial" w:eastAsia="Arial" w:hAnsi="Arial"/>
          <w:b w:val="false"/>
          <w:bCs w:val="false"/>
          <w:i/>
          <w:iCs/>
          <w:caps w:val="false"/>
          <w:color w:val="888888"/>
          <w:sz w:val="17"/>
          <w:szCs w:val="17"/>
        </w:rPr>
        <w:t xml:space="preserve">Table 3. Trust, sentiment, and threat perception across years. Trust (2023) is from AIBen; Trust (2024–2025) from AIAcc — identical question wording confirmed.</w:t>
      </w:r>
    </w:p>
    <w:p>
      <w:pPr>
        <w:spacing w:before="200" w:after="0"/>
      </w:pP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rPr>
          <w:tblHeader/>
        </w:trP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"More developers are using AI than ever before, while trust and enthusiasm are both sharply declining. These trends are not in tension — they are directionally consistent with a pattern in which adoption accompanies disillusionment, though cross-sectional data cannot establish causal direction."</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3010784"/>
                  <wp:effectExtent l="0" t="0" r="0" b="0"/>
                  <wp:docPr id="901" name="fig1_paradox.png" descr="Line chart showing AI adoption rising from 44.4% in 2023 to 78.5% in 2025 while positive sentiment falls from 76.3% to 59.7% and high distrust rises from 27.2% to 45.7%"/>
                  <wp:cNvGraphicFramePr/>
                  <a:graphic>
                    <a:graphicData uri="http://schemas.openxmlformats.org/drawingml/2006/picture">
                      <pic:pic>
                        <pic:nvPicPr>
                          <pic:cNvPr id="0" name="fig1_paradox.png"/>
                          <pic:cNvPicPr/>
                        </pic:nvPicPr>
                        <pic:blipFill>
                          <a:blip r:embed="rId101"/>
                          <a:stretch>
                            <a:fillRect/>
                          </a:stretch>
                        </pic:blipFill>
                        <pic:spPr>
                          <a:xfrm>
                            <a:off x="0" y="0"/>
                            <a:ext cx="5486400" cy="3010784"/>
                          </a:xfrm>
                          <a:prstGeom prst="rect">
                            <a:avLst/>
                          </a:prstGeom>
                        </pic:spPr>
                      </pic:pic>
                    </a:graphicData>
                  </a:graphic>
                </wp:inline>
              </w:drawing>
            </w:r>
          </w:p>
        </w:tc>
      </w:tr>
    </w:tbl>
    <w:p>
      <w:pPr>
        <w:spacing w:before="0" w:after="160" w:line="320"/>
        <w:jc w:val="left"/>
      </w:pPr>
      <w:r>
        <w:rPr>
          <w:rFonts w:ascii="Georgia" w:cs="Georgia" w:eastAsia="Georgia" w:hAnsi="Georgia"/>
          <w:b w:val="false"/>
          <w:bCs w:val="false"/>
          <w:i w:val="false"/>
          <w:iCs w:val="false"/>
          <w:caps w:val="false"/>
          <w:color w:val="1A1A1A"/>
          <w:sz w:val="22"/>
          <w:szCs w:val="22"/>
        </w:rPr>
        <w:t xml:space="preserve">We interpret this pattern as follows. Rapid, under-supported adoption — accompanied by organizational mandates, professional pressure, and tool accessibility rather than structured onboarding — is correlated with large numbers of developers landing in the "occasional user" zone: enough exposure to encounter AI's limitations, not enough practice to develop the competence and workflow integration associated with confidence. The cross-sectional data cannot confirm this interpretation, but it is consistent with a pattern in which disappointed early adopters form skeptical, stable positions. We return to this in Section 7.</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trust picture is particularly stark. The 2023 and 2024 trust questions were routed to current AI users only; in 2025 they were routed to all AISelect respondents including non-users, who show dramatically lower trust. For a fair year-over-year comparison, the primary figure should be the harmonized user-only 2025 cut: 39.3% high trust and 37.3% high distrust among current users (n=26,126) — still a meaningful decline from 2024 (43.0% / 30.4%), but less dramatic than the full-denominator headline. The full-denominator 2025 figures (32.8% high trust, 45.7% high distrust) are also shown in Table 3, but should be read with the routing caveat in mind. The direction is robust; the magnitude should be read against this denominator caveat.</w:t>
      </w:r>
    </w:p>
    <w:p>
      <w:pPr>
        <w:pStyle w:val="Heading2"/>
        <w:spacing w:before="300" w:after="120"/>
      </w:pPr>
      <w:r>
        <w:rPr>
          <w:rFonts w:ascii="Arial" w:cs="Arial" w:eastAsia="Arial" w:hAnsi="Arial"/>
          <w:b/>
          <w:bCs/>
          <w:color w:val="1A1A1A"/>
          <w:sz w:val="28"/>
          <w:szCs w:val="28"/>
        </w:rPr>
        <w:t xml:space="preserve">4.3  How Task Usage Has Shifted</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asks which development tasks respondents are using AI for. Comparing 2023, 2024, and 2025 reveals meaningful shifts in where AI is being applied — though the comparison requires care due to question restructuring in 2025.</w:t>
      </w:r>
    </w:p>
    <w:tbl>
      <w:tblPr>
        <w:tblW w:w="860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3200"/>
        <w:gridCol w:w="1400"/>
        <w:gridCol w:w="1400"/>
        <w:gridCol w:w="1400"/>
        <w:gridCol w:w="1200"/>
      </w:tblGrid>
      <w:tr>
        <w:trPr>
          <w:tblHeader/>
        </w:trPr>
        <w:tc>
          <w:tcPr>
            <w:tcW w:w="3200" w:type="dxa"/>
            <w:shd w:val="clear" w:color="auto" w:fill="2E5BA8"/>
          </w:tcPr>
          <w:p>
            <w:r>
              <w:rPr>
                <w:b/>
                <w:color w:val="FFFFFF"/>
              </w:rPr>
              <w:t xml:space="preserve">Task</w:t>
            </w:r>
          </w:p>
        </w:tc>
        <w:tc>
          <w:tcPr>
            <w:tcW w:w="1400" w:type="dxa"/>
            <w:shd w:val="clear" w:color="auto" w:fill="2E5BA8"/>
          </w:tcPr>
          <w:p>
            <w:r>
              <w:rPr>
                <w:b/>
                <w:color w:val="FFFFFF"/>
              </w:rPr>
              <w:t xml:space="preserve">2023</w:t>
            </w:r>
          </w:p>
        </w:tc>
        <w:tc>
          <w:tcPr>
            <w:tcW w:w="1400" w:type="dxa"/>
            <w:shd w:val="clear" w:color="auto" w:fill="2E5BA8"/>
          </w:tcPr>
          <w:p>
            <w:r>
              <w:rPr>
                <w:b/>
                <w:color w:val="FFFFFF"/>
              </w:rPr>
              <w:t xml:space="preserve">2024</w:t>
            </w:r>
          </w:p>
        </w:tc>
        <w:tc>
          <w:tcPr>
            <w:tcW w:w="1400" w:type="dxa"/>
            <w:shd w:val="clear" w:color="auto" w:fill="2E5BA8"/>
          </w:tcPr>
          <w:p>
            <w:r>
              <w:rPr>
                <w:b/>
                <w:color w:val="FFFFFF"/>
              </w:rPr>
              <w:t xml:space="preserve">2025</w:t>
            </w:r>
          </w:p>
        </w:tc>
        <w:tc>
          <w:tcPr>
            <w:tcW w:w="1200" w:type="dxa"/>
            <w:shd w:val="clear" w:color="auto" w:fill="2E5BA8"/>
          </w:tcPr>
          <w:p>
            <w:r>
              <w:rPr>
                <w:b/>
                <w:color w:val="FFFFFF"/>
              </w:rPr>
              <w:t xml:space="preserve">Trend</w:t>
            </w:r>
          </w:p>
        </w:tc>
      </w:tr>
      <w:tr>
        <w:trPr/>
        <w:tc>
          <w:tcPr>
            <w:tcW w:w="3200" w:type="dxa"/>
            <w:shd w:val="clear" w:color="auto" w:fill="F5F8FF"/>
          </w:tcPr>
          <w:p>
            <w:r>
              <w:t xml:space="preserve">Writing Code</w:t>
            </w:r>
          </w:p>
        </w:tc>
        <w:tc>
          <w:tcPr>
            <w:tcW w:w="1400" w:type="dxa"/>
            <w:shd w:val="clear" w:color="auto" w:fill="F5F8FF"/>
          </w:tcPr>
          <w:p>
            <w:r>
              <w:t xml:space="preserve">35.4%</w:t>
            </w:r>
          </w:p>
        </w:tc>
        <w:tc>
          <w:tcPr>
            <w:tcW w:w="1400" w:type="dxa"/>
            <w:shd w:val="clear" w:color="auto" w:fill="F5F8FF"/>
          </w:tcPr>
          <w:p>
            <w:r>
              <w:t xml:space="preserve">48.4%</w:t>
            </w:r>
          </w:p>
        </w:tc>
        <w:tc>
          <w:tcPr>
            <w:tcW w:w="1400" w:type="dxa"/>
            <w:shd w:val="clear" w:color="auto" w:fill="F5F8FF"/>
          </w:tcPr>
          <w:p>
            <w:r>
              <w:t xml:space="preserve">42.4%</w:t>
            </w:r>
          </w:p>
        </w:tc>
        <w:tc>
          <w:tcPr>
            <w:tcW w:w="1200" w:type="dxa"/>
            <w:shd w:val="clear" w:color="auto" w:fill="F5F8FF"/>
          </w:tcPr>
          <w:p>
            <w:r>
              <w:t xml:space="preserve">↑ then ↓</w:t>
            </w:r>
          </w:p>
        </w:tc>
      </w:tr>
      <w:tr>
        <w:trPr/>
        <w:tc>
          <w:tcPr>
            <w:tcW w:w="3200" w:type="dxa"/>
            <w:shd w:val="clear" w:color="auto" w:fill="FFFFFF"/>
          </w:tcPr>
          <w:p>
            <w:r>
              <w:t xml:space="preserve">Debugging / Fixing Code</w:t>
            </w:r>
          </w:p>
        </w:tc>
        <w:tc>
          <w:tcPr>
            <w:tcW w:w="1400" w:type="dxa"/>
            <w:shd w:val="clear" w:color="auto" w:fill="FFFFFF"/>
          </w:tcPr>
          <w:p>
            <w:r>
              <w:t xml:space="preserve">21.0%</w:t>
            </w:r>
          </w:p>
        </w:tc>
        <w:tc>
          <w:tcPr>
            <w:tcW w:w="1400" w:type="dxa"/>
            <w:shd w:val="clear" w:color="auto" w:fill="FFFFFF"/>
          </w:tcPr>
          <w:p>
            <w:r>
              <w:t xml:space="preserve">33.5%</w:t>
            </w:r>
          </w:p>
        </w:tc>
        <w:tc>
          <w:tcPr>
            <w:tcW w:w="1400" w:type="dxa"/>
            <w:shd w:val="clear" w:color="auto" w:fill="FFFFFF"/>
          </w:tcPr>
          <w:p>
            <w:r>
              <w:t xml:space="preserve">36.2%</w:t>
            </w:r>
          </w:p>
        </w:tc>
        <w:tc>
          <w:tcPr>
            <w:tcW w:w="1200" w:type="dxa"/>
            <w:shd w:val="clear" w:color="auto" w:fill="FFFFFF"/>
          </w:tcPr>
          <w:p>
            <w:r>
              <w:t xml:space="preserve">↑↑</w:t>
            </w:r>
          </w:p>
        </w:tc>
      </w:tr>
      <w:tr>
        <w:trPr/>
        <w:tc>
          <w:tcPr>
            <w:tcW w:w="3200" w:type="dxa"/>
            <w:shd w:val="clear" w:color="auto" w:fill="F5F8FF"/>
          </w:tcPr>
          <w:p>
            <w:r>
              <w:t xml:space="preserve">Documenting Code*</w:t>
            </w:r>
          </w:p>
        </w:tc>
        <w:tc>
          <w:tcPr>
            <w:tcW w:w="1400" w:type="dxa"/>
            <w:shd w:val="clear" w:color="auto" w:fill="F5F8FF"/>
          </w:tcPr>
          <w:p>
            <w:r>
              <w:t xml:space="preserve">14.7%</w:t>
            </w:r>
          </w:p>
        </w:tc>
        <w:tc>
          <w:tcPr>
            <w:tcW w:w="1400" w:type="dxa"/>
            <w:shd w:val="clear" w:color="auto" w:fill="F5F8FF"/>
          </w:tcPr>
          <w:p>
            <w:r>
              <w:t xml:space="preserve">23.7%</w:t>
            </w:r>
          </w:p>
        </w:tc>
        <w:tc>
          <w:tcPr>
            <w:tcW w:w="1400" w:type="dxa"/>
            <w:shd w:val="clear" w:color="auto" w:fill="F5F8FF"/>
          </w:tcPr>
          <w:p>
            <w:r>
              <w:t>33.4%</w:t>
            </w:r>
          </w:p>
        </w:tc>
        <w:tc>
          <w:tcPr>
            <w:tcW w:w="1200" w:type="dxa"/>
            <w:shd w:val="clear" w:color="auto" w:fill="F5F8FF"/>
          </w:tcPr>
          <w:p>
            <w:r>
              <w:t xml:space="preserve">↑↑↑</w:t>
            </w:r>
          </w:p>
        </w:tc>
      </w:tr>
      <w:tr>
        <w:trPr/>
        <w:tc>
          <w:tcPr>
            <w:tcW w:w="3200" w:type="dxa"/>
            <w:shd w:val="clear" w:color="auto" w:fill="FFFFFF"/>
          </w:tcPr>
          <w:p>
            <w:r>
              <w:t xml:space="preserve">Testing Code</w:t>
            </w:r>
          </w:p>
        </w:tc>
        <w:tc>
          <w:tcPr>
            <w:tcW w:w="1400" w:type="dxa"/>
            <w:shd w:val="clear" w:color="auto" w:fill="FFFFFF"/>
          </w:tcPr>
          <w:p>
            <w:r>
              <w:t xml:space="preserve">10.2%</w:t>
            </w:r>
          </w:p>
        </w:tc>
        <w:tc>
          <w:tcPr>
            <w:tcW w:w="1400" w:type="dxa"/>
            <w:shd w:val="clear" w:color="auto" w:fill="FFFFFF"/>
          </w:tcPr>
          <w:p>
            <w:r>
              <w:t xml:space="preserve">16.1%</w:t>
            </w:r>
          </w:p>
        </w:tc>
        <w:tc>
          <w:tcPr>
            <w:tcW w:w="1400" w:type="dxa"/>
            <w:shd w:val="clear" w:color="auto" w:fill="FFFFFF"/>
          </w:tcPr>
          <w:p>
            <w:r>
              <w:t xml:space="preserve">23.1%</w:t>
            </w:r>
          </w:p>
        </w:tc>
        <w:tc>
          <w:tcPr>
            <w:tcW w:w="1200" w:type="dxa"/>
            <w:shd w:val="clear" w:color="auto" w:fill="FFFFFF"/>
          </w:tcPr>
          <w:p>
            <w:r>
              <w:t xml:space="preserve">↑↑</w:t>
            </w:r>
          </w:p>
        </w:tc>
      </w:tr>
      <w:tr>
        <w:trPr/>
        <w:tc>
          <w:tcPr>
            <w:tcW w:w="3200" w:type="dxa"/>
            <w:shd w:val="clear" w:color="auto" w:fill="F5F8FF"/>
          </w:tcPr>
          <w:p>
            <w:r>
              <w:t xml:space="preserve">Learning / Codebase</w:t>
            </w:r>
          </w:p>
        </w:tc>
        <w:tc>
          <w:tcPr>
            <w:tcW w:w="1400" w:type="dxa"/>
            <w:shd w:val="clear" w:color="auto" w:fill="F5F8FF"/>
          </w:tcPr>
          <w:p>
            <w:r>
              <w:t xml:space="preserve">12.9%</w:t>
            </w:r>
          </w:p>
        </w:tc>
        <w:tc>
          <w:tcPr>
            <w:tcW w:w="1400" w:type="dxa"/>
            <w:shd w:val="clear" w:color="auto" w:fill="F5F8FF"/>
          </w:tcPr>
          <w:p>
            <w:r>
              <w:t xml:space="preserve">18.2%</w:t>
            </w:r>
          </w:p>
        </w:tc>
        <w:tc>
          <w:tcPr>
            <w:tcW w:w="1400" w:type="dxa"/>
            <w:shd w:val="clear" w:color="auto" w:fill="F5F8FF"/>
          </w:tcPr>
          <w:p>
            <w:r>
              <w:t>27.3%</w:t>
            </w:r>
          </w:p>
        </w:tc>
        <w:tc>
          <w:tcPr>
            <w:tcW w:w="1200" w:type="dxa"/>
            <w:shd w:val="clear" w:color="auto" w:fill="F5F8FF"/>
          </w:tcPr>
          <w:p>
            <w:r>
              <w:t>↑↑</w:t>
            </w:r>
          </w:p>
        </w:tc>
      </w:tr>
      <w:tr>
        <w:trPr/>
        <w:tc>
          <w:tcPr>
            <w:tcW w:w="3200" w:type="dxa"/>
            <w:shd w:val="clear" w:color="auto" w:fill="FFFFFF"/>
          </w:tcPr>
          <w:p>
            <w:r>
              <w:t xml:space="preserve">Search for Answers</w:t>
            </w:r>
          </w:p>
        </w:tc>
        <w:tc>
          <w:tcPr>
            <w:tcW w:w="1400" w:type="dxa"/>
            <w:shd w:val="clear" w:color="auto" w:fill="FFFFFF"/>
          </w:tcPr>
          <w:p>
            <w:r>
              <w:t xml:space="preserve">N/A</w:t>
            </w:r>
          </w:p>
        </w:tc>
        <w:tc>
          <w:tcPr>
            <w:tcW w:w="1400" w:type="dxa"/>
            <w:shd w:val="clear" w:color="auto" w:fill="FFFFFF"/>
          </w:tcPr>
          <w:p>
            <w:r>
              <w:t xml:space="preserve">39.9%</w:t>
            </w:r>
          </w:p>
        </w:tc>
        <w:tc>
          <w:tcPr>
            <w:tcW w:w="1400" w:type="dxa"/>
            <w:shd w:val="clear" w:color="auto" w:fill="FFFFFF"/>
          </w:tcPr>
          <w:p>
            <w:r>
              <w:t xml:space="preserve">52.8%</w:t>
            </w:r>
          </w:p>
        </w:tc>
        <w:tc>
          <w:tcPr>
            <w:tcW w:w="1200" w:type="dxa"/>
            <w:shd w:val="clear" w:color="auto" w:fill="FFFFFF"/>
          </w:tcPr>
          <w:p>
            <w:r>
              <w:t xml:space="preserve">—</w:t>
            </w:r>
          </w:p>
        </w:tc>
      </w:tr>
      <w:tr>
        <w:trPr/>
        <w:tc>
          <w:tcPr>
            <w:tcW w:w="3200" w:type="dxa"/>
            <w:shd w:val="clear" w:color="auto" w:fill="F5F8FF"/>
          </w:tcPr>
          <w:p>
            <w:r>
              <w:t xml:space="preserve">Generating Content</w:t>
            </w:r>
          </w:p>
        </w:tc>
        <w:tc>
          <w:tcPr>
            <w:tcW w:w="1400" w:type="dxa"/>
            <w:shd w:val="clear" w:color="auto" w:fill="F5F8FF"/>
          </w:tcPr>
          <w:p>
            <w:r>
              <w:t xml:space="preserve">N/A</w:t>
            </w:r>
          </w:p>
        </w:tc>
        <w:tc>
          <w:tcPr>
            <w:tcW w:w="1400" w:type="dxa"/>
            <w:shd w:val="clear" w:color="auto" w:fill="F5F8FF"/>
          </w:tcPr>
          <w:p>
            <w:r>
              <w:t xml:space="preserve">20.6%</w:t>
            </w:r>
          </w:p>
        </w:tc>
        <w:tc>
          <w:tcPr>
            <w:tcW w:w="1400" w:type="dxa"/>
            <w:shd w:val="clear" w:color="auto" w:fill="F5F8FF"/>
          </w:tcPr>
          <w:p>
            <w:r>
              <w:t xml:space="preserve">29.8%</w:t>
            </w:r>
          </w:p>
        </w:tc>
        <w:tc>
          <w:tcPr>
            <w:tcW w:w="1200" w:type="dxa"/>
            <w:shd w:val="clear" w:color="auto" w:fill="F5F8FF"/>
          </w:tcPr>
          <w:p>
            <w:r>
              <w:t xml:space="preserve">—</w:t>
            </w:r>
          </w:p>
        </w:tc>
      </w:tr>
      <w:tr>
        <w:trPr/>
        <w:tc>
          <w:tcPr>
            <w:tcW w:w="3200" w:type="dxa"/>
            <w:shd w:val="clear" w:color="auto" w:fill="FFFFFF"/>
          </w:tcPr>
          <w:p>
            <w:r>
              <w:t xml:space="preserve">Project Planning</w:t>
            </w:r>
          </w:p>
        </w:tc>
        <w:tc>
          <w:tcPr>
            <w:tcW w:w="1400" w:type="dxa"/>
            <w:shd w:val="clear" w:color="auto" w:fill="FFFFFF"/>
          </w:tcPr>
          <w:p>
            <w:r>
              <w:t xml:space="preserve">5.8%</w:t>
            </w:r>
          </w:p>
        </w:tc>
        <w:tc>
          <w:tcPr>
            <w:tcW w:w="1400" w:type="dxa"/>
            <w:shd w:val="clear" w:color="auto" w:fill="FFFFFF"/>
          </w:tcPr>
          <w:p>
            <w:r>
              <w:t xml:space="preserve">7.2%</w:t>
            </w:r>
          </w:p>
        </w:tc>
        <w:tc>
          <w:tcPr>
            <w:tcW w:w="1400" w:type="dxa"/>
            <w:shd w:val="clear" w:color="auto" w:fill="FFFFFF"/>
          </w:tcPr>
          <w:p>
            <w:r>
              <w:t xml:space="preserve">14.3%</w:t>
            </w:r>
          </w:p>
        </w:tc>
        <w:tc>
          <w:tcPr>
            <w:tcW w:w="1200" w:type="dxa"/>
            <w:shd w:val="clear" w:color="auto" w:fill="FFFFFF"/>
          </w:tcPr>
          <w:p>
            <w:r>
              <w:t xml:space="preserve">↑↑</w:t>
            </w:r>
          </w:p>
        </w:tc>
      </w:tr>
      <w:tr>
        <w:trPr/>
        <w:tc>
          <w:tcPr>
            <w:tcW w:w="3200" w:type="dxa"/>
            <w:shd w:val="clear" w:color="auto" w:fill="F5F8FF"/>
          </w:tcPr>
          <w:p>
            <w:r>
              <w:t xml:space="preserve">Code Review</w:t>
            </w:r>
          </w:p>
        </w:tc>
        <w:tc>
          <w:tcPr>
            <w:tcW w:w="1400" w:type="dxa"/>
            <w:shd w:val="clear" w:color="auto" w:fill="F5F8FF"/>
          </w:tcPr>
          <w:p>
            <w:r>
              <w:t xml:space="preserve">4.3%</w:t>
            </w:r>
          </w:p>
        </w:tc>
        <w:tc>
          <w:tcPr>
            <w:tcW w:w="1400" w:type="dxa"/>
            <w:shd w:val="clear" w:color="auto" w:fill="F5F8FF"/>
          </w:tcPr>
          <w:p>
            <w:r>
              <w:t xml:space="preserve">7.8%</w:t>
            </w:r>
          </w:p>
        </w:tc>
        <w:tc>
          <w:tcPr>
            <w:tcW w:w="1400" w:type="dxa"/>
            <w:shd w:val="clear" w:color="auto" w:fill="F5F8FF"/>
          </w:tcPr>
          <w:p>
            <w:r>
              <w:t xml:space="preserve">N/A</w:t>
            </w:r>
          </w:p>
        </w:tc>
        <w:tc>
          <w:tcPr>
            <w:tcW w:w="1200" w:type="dxa"/>
            <w:shd w:val="clear" w:color="auto" w:fill="F5F8FF"/>
          </w:tcPr>
          <w:p>
            <w: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Table 4. AI task usage as % of AISelect respondents (those who answered the AI usage question). Denominator: 2023=87,973; 2024=60,907; 2025=33,720. Using all-respondent denominators depresses 2025 figures by ~31% due to routing changes. *2025 "Documenting Code" combines "Documenting code" (29.1%) and "Creating or maintaining documentation" (25.3%); union = 33.4% of AISelect respondents.</w:t>
      </w:r>
    </w:p>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striking shift is in Documenting Code, which has grown from 14.7% in 2023 to 33.4% in 2025 (on an AISelect-answered denominator). Writing Code rose from 35.4% in 2023 to a peak of 48.4% in 2024, then partially retreated to 42.4% in 2025 — still above its 2023 level. Note: earlier drafts used all-respondent denominators and showed a larger apparent 2024→2025 decline; the corrected AISelect denominator shows a more modest retreat. Search for Answers leads all tasks in 2025 at 52.8% of AISelect respondents, with Writing Code second. This pattern suggests a maturation: developers may be pulling AI back from core creative coding tasks (where quality concerns are highest) and redirecting it to surrounding, lower-stakes tasks like documentation, search, and code review. This repositioning is consistent with the frustration data we examine in Section 7.2.</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5. Five Adoption Archetypes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aggregate statistics above describe a population. The clustering analysis below reveals that this population contains five heuristic sub-groups — not a smooth spectrum, but interpretively distinct attitudinal and behavioral profiles that suggest different intervention priorities. These groupings are stable across random seeds but should be read as useful approximations rather than a discovered latent ground truth.</w:t>
      </w:r>
    </w:p>
    <w:p>
      <w:pPr>
        <w:pStyle w:val="Heading2"/>
        <w:spacing w:before="300" w:after="120"/>
      </w:pPr>
      <w:r>
        <w:rPr>
          <w:rFonts w:ascii="Arial" w:cs="Arial" w:eastAsia="Arial" w:hAnsi="Arial"/>
          <w:b/>
          <w:bCs/>
          <w:color w:val="1A1A1A"/>
          <w:sz w:val="28"/>
          <w:szCs w:val="28"/>
        </w:rPr>
        <w:t xml:space="preserve">5.1  Clustering Methodology and Results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K-means clustering was applied to the 2025 survey population using six features: AI usage frequency, trust level, sentiment, agent engagement, complexity rating, and whether the developer had learned AI tooling in the past year. The working sample (n=33,231) was defined by complete responses on the three core attitudinal features (AISelect, AIAcc, AISent); missing values for AgentScore and AIComplexScore (present in ~4–6% of cases) were imputed with column medians, and LearnedAI missing values were coded 0. This differs from 'complete responses on all six features — the AIAgents question alone had 31,919 non-missing responses in the raw CSV. Silhouette analysis favored k=2 (score=0.349) statistically, reflecting a fundamental binary split between adopters and resisters. However, k=5 (score=0.284) was selected to produce actionably differentiated archetypes. The binary structure is itself a finding, discussed in Section 5.3.</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five resulting clusters are stable across random seeds and interpretable as coherent behavioral profiles. The names assigned to each cluster — Daily Integrators, Enthusiastic Adopters, and so on — are interpretive labels applied to the k=5 solution after fitting, not predetermined categories. They would shift if the cluster centroids shifted under different data, parameters, or years. Cluster sizes are reported as a percentage of the 33,231 respondents with complete responses on the three core features (usage, trust, sentiment); see Appendix A.6 for full sample construction rules.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Archetype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Share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Sentiment</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Agents</w:t>
            </w:r>
          </w:p>
        </w:tc>
        <w:tc>
          <w:tcPr>
            <w:tcW w:type="dxa" w:w="11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LearnedAI</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Cautious Experimenters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24.3%</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3.25/5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Partial</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Enthusiastic Adopters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24.0%</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3.49/4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2.59/4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Some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99%</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Active Resisters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19.0%</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0.47/4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0.43/4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0.82/5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Minimal</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Integrators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3.83/4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2.61/4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All</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w:t>
            </w:r>
          </w:p>
        </w:tc>
      </w:tr>
      <w:tr>
        <w:tc>
          <w:tcPr>
            <w:tcW w:type="dxa" w:w="24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Pragmatic Dabblers</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2.63/4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1.86/4</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3.61/5</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Some</w:t>
            </w:r>
          </w:p>
        </w:tc>
        <w:tc>
          <w:tcPr>
            <w:tcW w:type="dxa" w:w="11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w:t>
            </w:r>
          </w:p>
        </w:tc>
      </w:tr>
    </w:tbl>
    <w:p>
      <w:pPr>
        <w:spacing w:before="80" w:after="240"/>
        <w:jc w:val="center"/>
      </w:pPr>
      <w:r>
        <w:rPr>
          <w:rFonts w:ascii="Arial" w:cs="Arial" w:eastAsia="Arial" w:hAnsi="Arial"/>
          <w:b w:val="false"/>
          <w:bCs w:val="false"/>
          <w:i/>
          <w:iCs/>
          <w:caps w:val="false"/>
          <w:color w:val="888888"/>
          <w:sz w:val="17"/>
          <w:szCs w:val="17"/>
        </w:rPr>
        <w:t xml:space="preserve">Table 5. Cluster profiles. Usage: 0=Never, 4=Daily. Trust: 0=Highly Distrust, 4=Highly Trust. Sentiment: 0=Very Unfavorable, 5=Very Favorable. Agents: proportion actively using AI agents.</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2897238"/>
            <wp:effectExtent l="0" t="0" r="0" b="0"/>
            <wp:docPr id="902" name="fig2_archetypes.png" descr="Horizontal bar chart comparing five AI adoption archetypes across usage frequency, trust score, and sentiment score. Daily Integrators score highest on all three dimensions; Active Resisters score lowest."/>
            <wp:cNvGraphicFramePr/>
            <a:graphic>
              <a:graphicData uri="http://schemas.openxmlformats.org/drawingml/2006/picture">
                <pic:pic>
                  <pic:nvPicPr>
                    <pic:cNvPr id="0" name="fig2_archetypes.png"/>
                    <pic:cNvPicPr/>
                  </pic:nvPicPr>
                  <pic:blipFill>
                    <a:blip r:embed="rId102"/>
                    <a:stretch>
                      <a:fillRect/>
                    </a:stretch>
                  </pic:blipFill>
                  <pic:spPr>
                    <a:xfrm>
                      <a:off x="0" y="0"/>
                      <a:ext cx="5486400" cy="2897238"/>
                    </a:xfrm>
                    <a:prstGeom prst="rect">
                      <a:avLst/>
                    </a:prstGeom>
                  </pic:spPr>
                </pic:pic>
              </a:graphicData>
            </a:graphic>
          </wp:inline>
        </w:drawing>
      </w:r>
    </w:p>
    <w:p>
      <w:pPr>
        <w:pStyle w:val="Heading2"/>
        <w:spacing w:before="300" w:after="120"/>
      </w:pPr>
      <w:r>
        <w:rPr>
          <w:rFonts w:ascii="Arial" w:cs="Arial" w:eastAsia="Arial" w:hAnsi="Arial"/>
          <w:b/>
          <w:bCs/>
          <w:color w:val="1A1A1A"/>
          <w:sz w:val="28"/>
          <w:szCs w:val="28"/>
        </w:rPr>
        <w:t xml:space="preserve">5.2  Archetype Profiles</w:t>
      </w:r>
    </w:p>
    <w:p>
      <w:pPr>
        <w:pStyle w:val="Heading3"/>
        <w:spacing w:before="240" w:after="80"/>
      </w:pPr>
      <w:r>
        <w:rPr>
          <w:rFonts w:ascii="Arial" w:cs="Arial" w:eastAsia="Arial" w:hAnsi="Arial"/>
          <w:b/>
          <w:bCs/>
          <w:color w:val="555555"/>
          <w:sz w:val="24"/>
          <w:szCs w:val="24"/>
        </w:rPr>
        <w:t xml:space="preserve">Cautious Experimenters  (24.3%  |  ~8,100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the largest archetype and arguably the most strategically important. Cautious Experimenters are using AI tools regularly — their usage score of 3.07/4 indicates weekly-to-daily use — but trust has not followed. With a trust score of just 1.07/4 (between "somewhat distrust" and "highly distrust") against reasonably positive sentiment (3.25/5), these developers are willing to keep trying but have not yet crossed into genuine confidence. They have all learned a new AI tool in the past year, indicating engagement, but agent adoption within this group is uneven (agent score 0.59/2 — roughly a quarter are active agent users, while just over half have no agent engagement).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group is not resisting AI — they are using it while harboring significant reservations about its output quality. They represent an unfinished adoption journey, a population that organizations have succeeded in moving to the tool but not yet to meaningful trust. In the absence of structured support, some fraction of this group is likely to slide toward the Pragmatic Dabblers or even Active Resisters over time.</w:t>
      </w:r>
    </w:p>
    <w:p>
      <w:pPr>
        <w:pStyle w:val="Heading3"/>
        <w:spacing w:before="240" w:after="80"/>
      </w:pPr>
      <w:r>
        <w:rPr>
          <w:rFonts w:ascii="Arial" w:cs="Arial" w:eastAsia="Arial" w:hAnsi="Arial"/>
          <w:b/>
          <w:bCs/>
          <w:color w:val="555555"/>
          <w:sz w:val="24"/>
          <w:szCs w:val="24"/>
        </w:rPr>
        <w:t xml:space="preserve">Enthusiastic Adopters  (24.0%  |  ~8,000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Enthusiastic Adopters combine high usage (3.49/4), solid trust (2.59/4), and the highest-alongside-Daily-Integrators sentiment score (4.22/5). They have broadly positive orientations toward AI and use it frequently. The distinguishing feature is agent use: unlike Daily Integrators, Enthusiastic Adopters have not yet crossed into active agent use (score 0.45/2, indicating occasional rather than regular agent engagement). They are the "ready for the next step" group — equipped in attitude and habit but not yet operating at the frontier of AI-native workflows.</w:t>
      </w:r>
    </w:p>
    <w:p>
      <w:pPr>
        <w:pStyle w:val="Heading3"/>
        <w:spacing w:before="240" w:after="80"/>
      </w:pPr>
      <w:r>
        <w:rPr>
          <w:rFonts w:ascii="Arial" w:cs="Arial" w:eastAsia="Arial" w:hAnsi="Arial"/>
          <w:b/>
          <w:bCs/>
          <w:color w:val="555555"/>
          <w:sz w:val="24"/>
          <w:szCs w:val="24"/>
        </w:rPr>
        <w:t xml:space="preserve">Active Resisters  (19.0%  |  ~6,300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Active Resisters are not simply non-users; they maintain a coherent, mutually reinforcing anti-AI posture. Usage is near zero (0.47/4), trust is at the floor (0.43/4), and sentiment is starkly negative (0.82/5 — between "very unfavorable" and "unfavorable"). Only 10% have learned any AI tool in the past year. They see no benefit, have not invested in learning, and show no sign of changing. The association rule analysis (Section 7) confirms this as a syndrome: these variables co-occur at lift levels above 4.9, meaning the full resister profile is far more than the sum of individual negative signals.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Active Resisters are typically misidentified as a change management target. The data suggests the returns on direct persuasion attempts with this group are likely low. The more productive question is whether organizational contexts can be designed so that this group does not become a drag on peers who are still in their adoption journey.</w:t>
      </w:r>
    </w:p>
    <w:p>
      <w:pPr>
        <w:pStyle w:val="Heading3"/>
        <w:spacing w:before="240" w:after="80"/>
      </w:pPr>
      <w:r>
        <w:rPr>
          <w:rFonts w:ascii="Arial" w:cs="Arial" w:eastAsia="Arial" w:hAnsi="Arial"/>
          <w:b/>
          <w:bCs/>
          <w:color w:val="555555"/>
          <w:sz w:val="24"/>
          <w:szCs w:val="24"/>
        </w:rPr>
        <w:t xml:space="preserve">Daily Integrators  (17.6%  |  ~5,850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Daily Integrators represent the endpoint that AI adoption programs aspire to produce. Usage is at the daily ceiling (3.83/4), trust is high (2.61/4), sentiment is the most favorable of any cluster (4.44/5), and they are the only group with near-complete agent engagement (AgentScore 2.00 — actively using AI agents at work). They have moved beyond AI as a tool into AI as an integrated part of their professional workflow. Critically, their high trust and complexity ratings suggest they have developed genuine competency, not just familiarity.</w:t>
      </w:r>
    </w:p>
    <w:p>
      <w:pPr>
        <w:pStyle w:val="Heading3"/>
        <w:spacing w:before="240" w:after="80"/>
      </w:pPr>
      <w:r>
        <w:rPr>
          <w:rFonts w:ascii="Arial" w:cs="Arial" w:eastAsia="Arial" w:hAnsi="Arial"/>
          <w:b/>
          <w:bCs/>
          <w:color w:val="555555"/>
          <w:sz w:val="24"/>
          <w:szCs w:val="24"/>
        </w:rPr>
        <w:t xml:space="preserve">Pragmatic Dabblers  (15.0%  |  ~5,000 of clustered respondents)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Pragmatic Dabblers use AI occasionally (2.63/4 — between monthly and weekly), with moderate trust (1.86/4) and moderately positive sentiment (3.61/5). Distinctively, zero percent of this cluster has learned a new AI tool in the past year, suggesting a stable "use what you already know" orientation. They are not opposed to AI but are not investing in it either. This group responds best to demonstrated value — specific, concrete use cases that justify the effort of deepening engagement.</w:t>
      </w:r>
    </w:p>
    <w:p>
      <w:pPr>
        <w:pStyle w:val="Heading2"/>
        <w:spacing w:before="300" w:after="120"/>
      </w:pPr>
      <w:r>
        <w:rPr>
          <w:rFonts w:ascii="Arial" w:cs="Arial" w:eastAsia="Arial" w:hAnsi="Arial"/>
          <w:b/>
          <w:bCs/>
          <w:color w:val="1A1A1A"/>
          <w:sz w:val="28"/>
          <w:szCs w:val="28"/>
        </w:rPr>
        <w:t xml:space="preserve">5.3  The Binary Underlying Structure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statistical preference for k=2 over k=5 is itself a finding. With k=2, the silhouette score rises to 0.349, revealing that the developer population is fundamentally polarized between adopters (approximately 65% of the clustered population) and resisters (approximately 35%). The five archetypes are refinements within this binary split, not departures from it.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association rules add texture to the resister profile. Rules with the highest lift values (&gt;4.9) characterize developers who combine: negative sentiment, no agent use, no learning investment, low trust, and non-use — all simultaneously. Note on provenance: the association rule analysis predates a code correction to the bin_threat() function (see pipeline_v2.py). Since the cited high-lift rules involve sentiment, agent use, learning, and trust — not job threat — the cited lift values are not affected by that fix. The high lift means this full profile co-occurs far more than its components would predict independently, confirming that resistance is a coherent syndrome rather than a collection of independent reservations. Notably, the structural variables (role, org size, experience) produce rules with lift of only 1.3–1.8, indicating that behavioral and attitudinal factors predict adoption far better than demographic ones.</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6. What Features Are Associated With Daily Adoption</w:t>
      </w:r>
    </w:p>
    <w:p>
      <w:pPr>
        <w:pStyle w:val="Heading2"/>
        <w:spacing w:before="300" w:after="120"/>
      </w:pPr>
      <w:r>
        <w:rPr>
          <w:rFonts w:ascii="Arial" w:cs="Arial" w:eastAsia="Arial" w:hAnsi="Arial"/>
          <w:b/>
          <w:bCs/>
          <w:color w:val="1A1A1A"/>
          <w:sz w:val="28"/>
          <w:szCs w:val="28"/>
        </w:rPr>
        <w:t xml:space="preserve">6.1  Classification Results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To identify the variables most strongly associated with daily AI adoption in this cross-sectional dataset, we trained a Random Forest classifier (200 trees) and a Decision Tree (max depth 5) on 33,231 respondents, using 8 features: AI Sentiment, Agent Engagement, Learned AI, AI Trust, AI Complexity Rating, Job Threat Perception, Years Work Experience, and Years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1390"/>
      </w:tblGrid>
      <w:tr>
        <w:trPr>
          <w:tblHeader/>
        </w:trPr>
        <w:tc>
          <w:tcPr>
            <w:tcW w:type="dxa" w:w="2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Model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Accuracy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Precision (Daily)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Recall (Daily)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F1 (Daily)</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Random Forest (200 trees)</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77.1%</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75.5%</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79.3%</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Decision Tree (depth 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5-Fold CV (RF)</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77.9% ± 0.2%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Table 6. Classification performance. Target: daily AI adoption (AIUsageScore=4). Test set n=6,647. Five-fold CV: 77.9% ± 0.2% (StratifiedKFold, seed=42).</w:t>
      </w:r>
    </w:p>
    <w:p>
      <w:pPr>
        <w:spacing w:before="16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77.1% accuracy on a binary classification task (47.1% daily adopters in the sample) represents a meaningfully predictive model. More important than the overall accuracy are the feature importances, which reveal which variables are doing the predictive work.</w:t>
      </w:r>
    </w:p>
    <w:p>
      <w:pPr>
        <w:pStyle w:val="Heading2"/>
        <w:spacing w:before="300" w:after="120"/>
      </w:pPr>
      <w:r>
        <w:rPr>
          <w:rFonts w:ascii="Arial" w:cs="Arial" w:eastAsia="Arial" w:hAnsi="Arial"/>
          <w:b/>
          <w:bCs/>
          <w:color w:val="1A1A1A"/>
          <w:sz w:val="28"/>
          <w:szCs w:val="28"/>
        </w:rPr>
        <w:t xml:space="preserve">6.2  Sentiment Is the Strongest Model Feature</w:t>
      </w:r>
    </w:p>
    <w:tbl>
      <w:tblPr>
        <w:tblW w:w="936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800"/>
        <w:gridCol w:w="1600"/>
        <w:gridCol w:w="4960"/>
      </w:tblGrid>
      <w:tr>
        <w:trPr>
          <w:tblHeader/>
        </w:trPr>
        <w:tc>
          <w:tcPr>
            <w:tcW w:w="2800" w:type="dxa"/>
            <w:shd w:val="clear" w:color="auto" w:fill="2E5BA8"/>
          </w:tcPr>
          <w:p>
            <w:r>
              <w:rPr>
                <w:b/>
                <w:color w:val="FFFFFF"/>
              </w:rPr>
              <w:t xml:space="preserve">Feature</w:t>
            </w:r>
          </w:p>
        </w:tc>
        <w:tc>
          <w:tcPr>
            <w:tcW w:w="1600" w:type="dxa"/>
            <w:shd w:val="clear" w:color="auto" w:fill="2E5BA8"/>
          </w:tcPr>
          <w:p>
            <w:r>
              <w:rPr>
                <w:b/>
                <w:color w:val="FFFFFF"/>
              </w:rPr>
              <w:t xml:space="preserve">RF Importance</w:t>
            </w:r>
          </w:p>
        </w:tc>
        <w:tc>
          <w:tcPr>
            <w:tcW w:w="4960" w:type="dxa"/>
            <w:shd w:val="clear" w:color="auto" w:fill="2E5BA8"/>
          </w:tcPr>
          <w:p>
            <w:r>
              <w:rPr>
                <w:b/>
                <w:color w:val="FFFFFF"/>
              </w:rPr>
              <w:t xml:space="preserve">Interpretation</w:t>
            </w:r>
          </w:p>
        </w:tc>
      </w:tr>
      <w:tr>
        <w:tc>
          <w:tcPr>
            <w:tcW w:w="2800" w:type="dxa"/>
            <w:shd w:val="clear" w:color="auto" w:fill="F5F8FF"/>
          </w:tcPr>
          <w:p>
            <w:r>
              <w:t xml:space="preserve">AI Sentiment</w:t>
            </w:r>
          </w:p>
        </w:tc>
        <w:tc>
          <w:tcPr>
            <w:tcW w:w="1600" w:type="dxa"/>
            <w:shd w:val="clear" w:color="auto" w:fill="F5F8FF"/>
          </w:tcPr>
          <w:p>
            <w:r>
              <w:t xml:space="preserve">42.9%</w:t>
            </w:r>
          </w:p>
        </w:tc>
        <w:tc>
          <w:tcPr>
            <w:tcW w:w="4960" w:type="dxa"/>
            <w:shd w:val="clear" w:color="auto" w:fill="F5F8FF"/>
          </w:tcPr>
          <w:p>
            <w:r>
              <w:t xml:space="preserve">Emotional orientation toward AI tools — dominant feature</w:t>
            </w:r>
          </w:p>
        </w:tc>
      </w:tr>
      <w:tr>
        <w:tc>
          <w:tcPr>
            <w:tcW w:w="2800" w:type="dxa"/>
            <w:shd w:val="clear" w:color="auto" w:fill="FFFFFF"/>
          </w:tcPr>
          <w:p>
            <w:r>
              <w:t xml:space="preserve">Learned AI Tools (yr)</w:t>
            </w:r>
          </w:p>
        </w:tc>
        <w:tc>
          <w:tcPr>
            <w:tcW w:w="1600" w:type="dxa"/>
            <w:shd w:val="clear" w:color="auto" w:fill="FFFFFF"/>
          </w:tcPr>
          <w:p>
            <w:r>
              <w:t xml:space="preserve">16.3%</w:t>
            </w:r>
          </w:p>
        </w:tc>
        <w:tc>
          <w:tcPr>
            <w:tcW w:w="4960" w:type="dxa"/>
            <w:shd w:val="clear" w:color="auto" w:fill="FFFFFF"/>
          </w:tcPr>
          <w:p>
            <w:r>
              <w:t xml:space="preserve">Invested in AI learning this year</w:t>
            </w:r>
          </w:p>
        </w:tc>
      </w:tr>
      <w:tr>
        <w:tc>
          <w:tcPr>
            <w:tcW w:w="2800" w:type="dxa"/>
            <w:shd w:val="clear" w:color="auto" w:fill="F5F8FF"/>
          </w:tcPr>
          <w:p>
            <w:r>
              <w:t xml:space="preserve">Agent Engagement</w:t>
            </w:r>
          </w:p>
        </w:tc>
        <w:tc>
          <w:tcPr>
            <w:tcW w:w="1600" w:type="dxa"/>
            <w:shd w:val="clear" w:color="auto" w:fill="F5F8FF"/>
          </w:tcPr>
          <w:p>
            <w:r>
              <w:t xml:space="preserve">13.6%</w:t>
            </w:r>
          </w:p>
        </w:tc>
        <w:tc>
          <w:tcPr>
            <w:tcW w:w="4960" w:type="dxa"/>
            <w:shd w:val="clear" w:color="auto" w:fill="F5F8FF"/>
          </w:tcPr>
          <w:p>
            <w:r>
              <w:t xml:space="preserve">Whether developer uses AI agents</w:t>
            </w:r>
          </w:p>
        </w:tc>
      </w:tr>
      <w:tr>
        <w:tc>
          <w:tcPr>
            <w:tcW w:w="2800" w:type="dxa"/>
            <w:shd w:val="clear" w:color="auto" w:fill="FFFFFF"/>
          </w:tcPr>
          <w:p>
            <w:r>
              <w:t xml:space="preserve">AI Complexity Rating</w:t>
            </w:r>
          </w:p>
        </w:tc>
        <w:tc>
          <w:tcPr>
            <w:tcW w:w="1600" w:type="dxa"/>
            <w:shd w:val="clear" w:color="auto" w:fill="FFFFFF"/>
          </w:tcPr>
          <w:p>
            <w:r>
              <w:t xml:space="preserve">10.1%</w:t>
            </w:r>
          </w:p>
        </w:tc>
        <w:tc>
          <w:tcPr>
            <w:tcW w:w="4960" w:type="dxa"/>
            <w:shd w:val="clear" w:color="auto" w:fill="FFFFFF"/>
          </w:tcPr>
          <w:p>
            <w:r>
              <w:t xml:space="preserve">How well developer believes AI handles complex tasks</w:t>
            </w:r>
          </w:p>
        </w:tc>
      </w:tr>
      <w:tr>
        <w:tc>
          <w:tcPr>
            <w:tcW w:w="2800" w:type="dxa"/>
            <w:shd w:val="clear" w:color="auto" w:fill="F5F8FF"/>
          </w:tcPr>
          <w:p>
            <w:r>
              <w:t xml:space="preserve">AI Trust Level</w:t>
            </w:r>
          </w:p>
        </w:tc>
        <w:tc>
          <w:tcPr>
            <w:tcW w:w="1600" w:type="dxa"/>
            <w:shd w:val="clear" w:color="auto" w:fill="F5F8FF"/>
          </w:tcPr>
          <w:p>
            <w:r>
              <w:t xml:space="preserve">9.2%</w:t>
            </w:r>
          </w:p>
        </w:tc>
        <w:tc>
          <w:tcPr>
            <w:tcW w:w="4960" w:type="dxa"/>
            <w:shd w:val="clear" w:color="auto" w:fill="F5F8FF"/>
          </w:tcPr>
          <w:p>
            <w:r>
              <w:t xml:space="preserve">Trust in AI output accuracy</w:t>
            </w:r>
          </w:p>
        </w:tc>
      </w:tr>
      <w:tr>
        <w:tc>
          <w:tcPr>
            <w:tcW w:w="2800" w:type="dxa"/>
            <w:shd w:val="clear" w:color="auto" w:fill="FFFFFF"/>
          </w:tcPr>
          <w:p>
            <w:r>
              <w:t xml:space="preserve">Years Work Experience</w:t>
            </w:r>
          </w:p>
        </w:tc>
        <w:tc>
          <w:tcPr>
            <w:tcW w:w="1600" w:type="dxa"/>
            <w:shd w:val="clear" w:color="auto" w:fill="FFFFFF"/>
          </w:tcPr>
          <w:p>
            <w:r>
              <w:t xml:space="preserve">4.0%</w:t>
            </w:r>
          </w:p>
        </w:tc>
        <w:tc>
          <w:tcPr>
            <w:tcW w:w="4960" w:type="dxa"/>
            <w:shd w:val="clear" w:color="auto" w:fill="FFFFFF"/>
          </w:tcPr>
          <w:p>
            <w:r>
              <w:t xml:space="preserve">Professional experience</w:t>
            </w:r>
          </w:p>
        </w:tc>
      </w:tr>
      <w:tr>
        <w:tc>
          <w:tcPr>
            <w:tcW w:w="2800" w:type="dxa"/>
            <w:shd w:val="clear" w:color="auto" w:fill="F5F8FF"/>
          </w:tcPr>
          <w:p>
            <w:r>
              <w:t xml:space="preserve">Years Coding</w:t>
            </w:r>
          </w:p>
        </w:tc>
        <w:tc>
          <w:tcPr>
            <w:tcW w:w="1600" w:type="dxa"/>
            <w:shd w:val="clear" w:color="auto" w:fill="F5F8FF"/>
          </w:tcPr>
          <w:p>
            <w:r>
              <w:t xml:space="preserve">3.6%</w:t>
            </w:r>
          </w:p>
        </w:tc>
        <w:tc>
          <w:tcPr>
            <w:tcW w:w="4960" w:type="dxa"/>
            <w:shd w:val="clear" w:color="auto" w:fill="F5F8FF"/>
          </w:tcPr>
          <w:p>
            <w:r>
              <w:t xml:space="preserve">Technical experience</w:t>
            </w:r>
          </w:p>
        </w:tc>
      </w:tr>
      <w:tr>
        <w:tc>
          <w:tcPr>
            <w:tcW w:w="2800" w:type="dxa"/>
            <w:shd w:val="clear" w:color="auto" w:fill="FFFFFF"/>
          </w:tcPr>
          <w:p>
            <w:r>
              <w:t xml:space="preserve">Job Threat Perception</w:t>
            </w:r>
          </w:p>
        </w:tc>
        <w:tc>
          <w:tcPr>
            <w:tcW w:w="1600" w:type="dxa"/>
            <w:shd w:val="clear" w:color="auto" w:fill="FFFFFF"/>
          </w:tcPr>
          <w:p>
            <w:r>
              <w:t xml:space="preserve">0.6%</w:t>
            </w:r>
          </w:p>
        </w:tc>
        <w:tc>
          <w:tcPr>
            <w:tcW w:w="4960" w:type="dxa"/>
            <w:shd w:val="clear" w:color="auto" w:fill="FFFFFF"/>
          </w:tcPr>
          <w:p>
            <w:r>
              <w:t xml:space="preserve">Whether developer sees AI as job threat</w:t>
            </w:r>
          </w:p>
        </w:tc>
      </w:tr>
    </w:tbl>
    <w:p>
      <w:pPr>
        <w:spacing w:before="80" w:after="240"/>
        <w:jc w:val="center"/>
      </w:pPr>
      <w:r>
        <w:rPr>
          <w:rFonts w:ascii="Arial" w:cs="Arial" w:eastAsia="Arial" w:hAnsi="Arial"/>
          <w:b w:val="false"/>
          <w:bCs w:val="false"/>
          <w:i/>
          <w:iCs/>
          <w:caps w:val="false"/>
          <w:color w:val="888888"/>
          <w:sz w:val="17"/>
          <w:szCs w:val="17"/>
        </w:rPr>
        <w:t xml:space="preserve">Table 7. Random Forest feature importances. AI Sentiment is the dominant model feature (42.9%), outweighing all other features in the 8-feature model — including AI Trust (9.2%), Agent Engagement (13.6%), and experience-level features combined. Note: Gini-based importance (used here) is known to favor high-cardinality features; AISentScore (6 levels) may be inflated relative to binary features. Permutation importance (10 repeats on held-out test set) was also computed as a robustness check — generally considered more reliable than Gini. Permutation results: AISentScore 13.28 (rank 1), LearnedAI 2.41 (2), AgentScore 1.89 (3), AIComplexScore 1.76 (4), AITrustScore 1.52 (5). AISentScore remained #1 by a wide margin under both methods, and the same top-6 features appeared in both rankings.</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486400" cy="2769995"/>
            <wp:effectExtent l="0" t="0" r="0" b="0"/>
            <wp:docPr id="903" name="fig3_importances.png" descr="Horizontal bar chart of Random Forest feature importances for daily AI adoption. AI Sentiment is the dominant feature at 42.9%, followed by Learned AI Tools at 16.3% and Agent Engagement at 13.6%."/>
            <wp:cNvGraphicFramePr/>
            <a:graphic>
              <a:graphicData uri="http://schemas.openxmlformats.org/drawingml/2006/picture">
                <pic:pic>
                  <pic:nvPicPr>
                    <pic:cNvPr id="0" name="fig3_importances.png"/>
                    <pic:cNvPicPr/>
                  </pic:nvPicPr>
                  <pic:blipFill>
                    <a:blip r:embed="rId103"/>
                    <a:stretch>
                      <a:fillRect/>
                    </a:stretch>
                  </pic:blipFill>
                  <pic:spPr>
                    <a:xfrm>
                      <a:off x="0" y="0"/>
                      <a:ext cx="5486400" cy="2769995"/>
                    </a:xfrm>
                    <a:prstGeom prst="rect">
                      <a:avLst/>
                    </a:prstGeom>
                  </pic:spPr>
                </pic:pic>
              </a:graphicData>
            </a:graphic>
          </wp:inline>
        </w:drawing>
      </w: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rPr>
          <w:tblHeader/>
        </w:trP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"How you feel about AI is more strongly associated with daily use than how much you trust it, how long you have been coding, or how many years you have coded."</w:t>
            </w:r>
          </w:p>
        </w:tc>
      </w:tr>
    </w:tbl>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the classification analysis's most consequential finding: AI Sentiment — the developer's emotional orientation toward AI — is the variable most strongly associated with daily adoption in this dataset, accounting for 42.9% of the Random Forest’s feature importance. It outweighs AI Trust Level (9.2%) by a factor of nearly five. It outweighs Years Coding (3.6%) by more than eleven times.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Decision Tree's structure makes this vivid: in every high-confidence path to daily adoption, the first split is on sentiment. Developers with sentiment above 3.5 (between "indifferent" and "favorable") then proceed through agent engagement, learning behavior, and coding experience to reach a predicted probability approaching 95% for daily use. Every path to non-adoption also begins with sentiment, at or below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w:t>
            </w:r>
            <w:r>
              <w:rPr>
                <w:rFonts w:ascii="Arial" w:cs="Arial" w:eastAsia="Arial" w:hAnsi="Arial"/>
                <w:b w:val="false"/>
                <w:bCs w:val="false"/>
                <w:i w:val="false"/>
                <w:iCs w:val="false"/>
                <w:caps w:val="false"/>
                <w:color w:val="7D5900"/>
                <w:sz w:val="19"/>
                <w:szCs w:val="19"/>
              </w:rPr>
              <w:t xml:space="preserve">Sentiment and usage are both measured at a single point in time in the same survey. We cannot establish causal direction from this data: it is equally plausible that positive sentiment drives adoption, or that adoption shapes sentiment, or that both are driven by a third factor (such as workplace culture or individual personality). What we can say is that they are strongly associated, and that addressing sentiment — not just access or training — should be part of any adoption strategy. The temporal ordering of interventions matters.</w:t>
            </w:r>
          </w:p>
        </w:tc>
      </w:tr>
    </w:tbl>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7. The Mechanics of Skepticism</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aggregate trust decline documented in Section 4 is not uniform. The following analyses identify the specific pathways through which skepticism develops — and, by implication, the specific intervention points that could interrupt those pathways.</w:t>
      </w:r>
    </w:p>
    <w:p>
      <w:pPr>
        <w:pStyle w:val="Heading2"/>
        <w:spacing w:before="300" w:after="120"/>
      </w:pPr>
      <w:r>
        <w:rPr>
          <w:rFonts w:ascii="Arial" w:cs="Arial" w:eastAsia="Arial" w:hAnsi="Arial"/>
          <w:b/>
          <w:bCs/>
          <w:color w:val="1A1A1A"/>
          <w:sz w:val="28"/>
          <w:szCs w:val="28"/>
        </w:rPr>
        <w:t xml:space="preserve">7.1  The Occasional-User Dip</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One of the most actionable findings in this dataset is a non-linear relationship between usage frequency and trust. Examining mean trust scores by usage group reveals a valley at the "monthly or infrequent"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 Group</w:t>
            </w:r>
          </w:p>
        </w:tc>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Trust Score (0–4)</w:t>
            </w:r>
          </w:p>
        </w:tc>
        <w:tc>
          <w:tcPr>
            <w:tcW w:type="dxa" w:w="312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Interpretation</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Won't Use AI</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0.58</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Baseline: opted out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Planning to Try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1.64</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Pre-use optimism</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Monthly / Infrequent Use</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1.31</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THE DIP</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Weekly Use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Recovery begins</w:t>
            </w:r>
          </w:p>
        </w:tc>
      </w:tr>
      <w:tr>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Use</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2.21</w:t>
            </w:r>
          </w:p>
        </w:tc>
        <w:tc>
          <w:tcPr>
            <w:tcW w:type="dxa" w:w="312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Highest trust</w:t>
            </w:r>
          </w:p>
        </w:tc>
      </w:tr>
    </w:tbl>
    <w:p>
      <w:pPr>
        <w:spacing w:before="80" w:after="240"/>
        <w:jc w:val="center"/>
      </w:pPr>
      <w:r>
        <w:rPr>
          <w:rFonts w:ascii="Arial" w:cs="Arial" w:eastAsia="Arial" w:hAnsi="Arial"/>
          <w:b w:val="false"/>
          <w:bCs w:val="false"/>
          <w:i/>
          <w:iCs/>
          <w:caps w:val="false"/>
          <w:color w:val="888888"/>
          <w:sz w:val="17"/>
          <w:szCs w:val="17"/>
        </w:rPr>
        <w:t xml:space="preserve">Table 8. Mean AI Trust Score by usage frequency. "Planning to try" scores higher than "monthly/infrequent" users — pre-use optimism exceeds first-contact reality.</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5029200" cy="2743200"/>
            <wp:effectExtent l="0" t="0" r="0" b="0"/>
            <wp:docPr id="904" name="fig4_dip.png" descr="Line chart showing trust score by AI usage frequency. Trust dips at the monthly/infrequent stage (1.31) before recovering among weekly (1.72) and daily users (2.21), illustrating the adoption valley."/>
            <wp:cNvGraphicFramePr/>
            <a:graphic>
              <a:graphicData uri="http://schemas.openxmlformats.org/drawingml/2006/picture">
                <pic:pic>
                  <pic:nvPicPr>
                    <pic:cNvPr id="0" name="fig4_dip.png"/>
                    <pic:cNvPicPr/>
                  </pic:nvPicPr>
                  <pic:blipFill>
                    <a:blip r:embed="rId104"/>
                    <a:stretch>
                      <a:fillRect/>
                    </a:stretch>
                  </pic:blipFill>
                  <pic:spPr>
                    <a:xfrm>
                      <a:off x="0" y="0"/>
                      <a:ext cx="5029200" cy="2743200"/>
                    </a:xfrm>
                    <a:prstGeom prst="rect">
                      <a:avLst/>
                    </a:prstGeom>
                  </pic:spPr>
                </pic:pic>
              </a:graphicData>
            </a:graphic>
          </wp:inline>
        </w:drawing>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Developers who use AI monthly or infrequently trust it less than developers who have never used it but plan to. Their mean trust score (1.31) falls below both the "planning to try" group (1.64) and weekly users (1.72). The dip is not gradual — it is discrete. Something happens at the point of first contact that damages trust below baseline, and only further use begins to rebuild it.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We interpret this as the adoption valley: the gap between expectation and first-contact reality. Developers approach AI tools with a degree of optimism (reflected in the higher trust score among those planning to try). When they encounter the tool's limitations — partial outputs, non-explainable reasoning, slower debugging cycles — without the competence to navigate those limitations, trust drops. The critical insight is that continued use produces recovery: weekly users are back above the pre-use level, and daily users are highest of all. The danger zone is not pre-use; it is occasional use without sufficient support to cross the competence threshold.</w:t>
      </w:r>
    </w:p>
    <w:p>
      <w:pPr>
        <w:pStyle w:val="Heading2"/>
        <w:spacing w:before="300" w:after="120"/>
      </w:pPr>
      <w:r>
        <w:rPr>
          <w:rFonts w:ascii="Arial" w:cs="Arial" w:eastAsia="Arial" w:hAnsi="Arial"/>
          <w:b/>
          <w:bCs/>
          <w:color w:val="1A1A1A"/>
          <w:sz w:val="28"/>
          <w:szCs w:val="28"/>
        </w:rPr>
        <w:t xml:space="preserve">7.2  Frustration and Distrust: An Associative Pattern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survey asks developers to identify frustrations with AI tools. The analysis below examines the distrust rate — the proportion identifying as "somewhat" or "highly" distrusting AI — among developers who have experienced each frustration type. The ordering is revealing: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1300"/>
        <w:gridCol w:w="3360"/>
      </w:tblGrid>
      <w:tr>
        <w:trPr>
          <w:tblHeader/>
        </w:trPr>
        <w:tc>
          <w:tcPr>
            <w:tcW w:type="dxa" w:w="3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Frustration</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13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Distrust Rate</w:t>
            </w:r>
          </w:p>
        </w:tc>
        <w:tc>
          <w:tcPr>
            <w:tcW w:type="dxa" w:w="33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Interpretation</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Don't use AI regularly</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7,381</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Non-users (expected)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Debugging AI code is more time-consuming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14,234</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53.8%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Key finding</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Hard to understand how/why code works</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5,128</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47.3%</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 Key finding</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Almost right but not quite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20,771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Largest group, lower distrust</w:t>
            </w:r>
          </w:p>
        </w:tc>
      </w:tr>
      <w:tr>
        <w:tc>
          <w:tcPr>
            <w:tcW w:type="dxa" w:w="3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Became less confident in own skills</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6,303</w:t>
            </w:r>
          </w:p>
        </w:tc>
        <w:tc>
          <w:tcPr>
            <w:tcW w:type="dxa" w:w="13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41.3%</w:t>
            </w:r>
          </w:p>
        </w:tc>
        <w:tc>
          <w:tcPr>
            <w:tcW w:type="dxa" w:w="33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Self-efficacy concern</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No problems encountered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1,236</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Satisfied users</w:t>
            </w:r>
          </w:p>
        </w:tc>
      </w:tr>
    </w:tbl>
    <w:p>
      <w:pPr>
        <w:spacing w:before="80" w:after="240"/>
        <w:jc w:val="center"/>
      </w:pPr>
      <w:r>
        <w:rPr>
          <w:rFonts w:ascii="Arial" w:cs="Arial" w:eastAsia="Arial" w:hAnsi="Arial"/>
          <w:b w:val="false"/>
          <w:bCs w:val="false"/>
          <w:i/>
          <w:iCs/>
          <w:caps w:val="false"/>
          <w:color w:val="888888"/>
          <w:sz w:val="17"/>
          <w:szCs w:val="17"/>
        </w:rPr>
        <w:t xml:space="preserve">Table 9. Distrust rate by frustration type. Transparency and ownership failures are associated with higher distrust rates than output quality failures.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important observation is what is not at the top of the distrust ranking. "Almost right but not quite" — the most commonly cited frustration, affecting 20,771 respondents — produces a distrust rate of 42.5%. But "debugging AI-generated code is more time-consuming" (14,234 respondents) produces a higher distrust rate of 53.8%, and "it's hard to understand how or why the code works" produces 47.3% distrust despite being less common.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frustration most strongly associated with distrust is not that AI code is wrong. It is that AI code is hard to own. When developers cannot interrogate the logic behind AI output, cannot efficiently debug it when it fails, or cannot explain it to a colleague or reviewer, trust collapses. The data pattern is consistent with a transparency and workflow design problem rather than a pure model quality problem. Better AI workflows — that preserve developer agency, explainability, and debugging efficiency — may matter as much as model improvements, though this interpretation should be treated as a hypothesis the data suggests rather than a conclusion it establishes.</w:t>
      </w:r>
    </w:p>
    <w:p>
      <w:pPr>
        <w:pStyle w:val="Heading2"/>
        <w:spacing w:before="300" w:after="120"/>
      </w:pPr>
      <w:r>
        <w:rPr>
          <w:rFonts w:ascii="Arial" w:cs="Arial" w:eastAsia="Arial" w:hAnsi="Arial"/>
          <w:b/>
          <w:bCs/>
          <w:color w:val="1A1A1A"/>
          <w:sz w:val="28"/>
          <w:szCs w:val="28"/>
        </w:rPr>
        <w:t xml:space="preserve">7.3  How Learning Method Predicts Trust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Among the most practically actionable findings is the relationship between how a developer learned to use AI and how much they trust it. The spread across learning methods is 29 percentage points — larger than many structural variables practitioners typically focus on. Important caveat on precision: this gap is anchored at the top by the bootcamp cohort (66.5%, n=495), which is large enough to be directionally meaningful but small enough that the specific rate is sensitive to composition. When restricted to single-method learners, the bootcamp group shrinks to n=21, making the precise magnitude unreliable at that end. The directional finding — structured learning is associated with substantially higher trust rates than informal peer-to-peer transfer — is robust; the "29 points" headline should be understood as an indicative spread, not a precise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3960"/>
      </w:tblGrid>
      <w:tr>
        <w:trPr>
          <w:tblHeader/>
        </w:trPr>
        <w:tc>
          <w:tcPr>
            <w:tcW w:type="dxa" w:w="3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Learning Method</w:t>
            </w:r>
          </w:p>
        </w:tc>
        <w:tc>
          <w:tcPr>
            <w:tcW w:type="dxa" w:w="1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 Rate</w:t>
            </w:r>
          </w:p>
        </w:tc>
        <w:tc>
          <w:tcPr>
            <w:tcW w:type="dxa" w:w="10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39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Category</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Coding Bootcamp</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66.5%</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495</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Online Courses / Certs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52.4%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3,373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Structured-digital</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School / University</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48.4%</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1,204</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Structured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Games / Coding Challenges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48.0%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Active practice</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YouTube / Videos</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45.5%</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8,360</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Tools (self-taught)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11,358</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Books / Physical Media</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43.0%</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1,761</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Blogs / Podcasts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41.2%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6,240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Stack Overflow / SE</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40.9%</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3,673</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Community-based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Online Search / Forums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39.7%</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9,720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Technical Documentation</w:t>
            </w:r>
          </w:p>
        </w:tc>
        <w:tc>
          <w:tcPr>
            <w:tcW w:type="dxa" w:w="1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39.4%</w:t>
            </w:r>
          </w:p>
        </w:tc>
        <w:tc>
          <w:tcPr>
            <w:tcW w:type="dxa" w:w="10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9,327</w:t>
            </w:r>
          </w:p>
        </w:tc>
        <w:tc>
          <w:tcPr>
            <w:tcW w:type="dxa" w:w="39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Self-directed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Colleague / On-the-Job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37.3%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4,715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Informal</w:t>
            </w:r>
          </w:p>
        </w:tc>
      </w:tr>
    </w:tbl>
    <w:p>
      <w:pPr>
        <w:spacing w:before="80" w:after="240"/>
        <w:jc w:val="center"/>
      </w:pPr>
      <w:r>
        <w:rPr>
          <w:rFonts w:ascii="Arial" w:cs="Arial" w:eastAsia="Arial" w:hAnsi="Arial"/>
          <w:b w:val="false"/>
          <w:bCs w:val="false"/>
          <w:i/>
          <w:iCs/>
          <w:caps w:val="false"/>
          <w:color w:val="888888"/>
          <w:sz w:val="17"/>
          <w:szCs w:val="17"/>
        </w:rPr>
        <w:t xml:space="preserve">Table 10. Trust rate by AI learning method. Structured learning pathways are consistently associated with higher trust rates than informal or self-directed methods.</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jc w:val="center"/>
      </w:pPr>
      <w:r>
        <w:drawing>
          <wp:inline distT="0" distB="0" distL="0" distR="0">
            <wp:extent cx="4528927" cy="3200400"/>
            <wp:effectExtent l="0" t="0" r="0" b="0"/>
            <wp:docPr id="905" name="fig5_learning.png" descr="Horizontal bar chart ranking AI learning methods by trust rate. Coding Bootcamp leads at 66.5% (n=495) and Colleague/On-the-Job is last at 37.3% (n=4,715), a 29-point indicative spread."/>
            <wp:cNvGraphicFramePr/>
            <a:graphic>
              <a:graphicData uri="http://schemas.openxmlformats.org/drawingml/2006/picture">
                <pic:pic>
                  <pic:nvPicPr>
                    <pic:cNvPr id="0" name="fig5_learning.png"/>
                    <pic:cNvPicPr/>
                  </pic:nvPicPr>
                  <pic:blipFill>
                    <a:blip r:embed="rId105"/>
                    <a:stretch>
                      <a:fillRect/>
                    </a:stretch>
                  </pic:blipFill>
                  <pic:spPr>
                    <a:xfrm>
                      <a:off x="0" y="0"/>
                      <a:ext cx="4528927" cy="3200400"/>
                    </a:xfrm>
                    <a:prstGeom prst="rect">
                      <a:avLst/>
                    </a:prstGeom>
                  </pic:spPr>
                </pic:pic>
              </a:graphicData>
            </a:graphic>
          </wp:inline>
        </w:drawing>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Developers who learned AI through structured channels — coding bootcamps (66.5%), online courses (52.4%), or school (48.4%) — trust AI output substantially more than those who learned informally. The lowest trust rate belongs to colleague or on-the-job training (37.3%) — the most common default in organizational settings.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finding implicates a self-reinforcing problem. Organizations that rely on informal peer-to-peer knowledge transfer to onboard employees to AI tools are associated with the lowest-trust cohorts in this dataset. Those low-trust users become the colleagues who informally train the next wave of learners. The pattern is consistent with a self-reinforcing dynamic. Structured, intentional learning pathways are associated with substantially higher trust rates and may represent a lever for breaking that pattern — though intervention claims should be treated as hypotheses the cross-sectional data suggests, not effects it establishes.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A potential confound: bootcamp learners skew younger (24% aged 18–24 vs. 11% for colleague-trained), and younger developers may be more positively oriented toward AI independently of how they learned it. The trust gradient across methods is large enough that it is unlikely to be fully explained by age, but a controlled study with matched samples would strengthen the causal inference here. A second limitation: the AILearnHow question is multi-select, meaning a single respondent may appear in multiple rows of Table 10. The trust rates reported are therefore for populations who used a given method, not for mutually exclusive groups. The 29-percentage-point gap between bootcamp and colleague learning reflects the difference in trust rates between two overlapping populations, not two cleanly separated cohorts. Analyses restricted to respondents who selected only one learning method (n=5,216) confirmed the key directional finding: structured methods (bootcamp, online courses, school) consistently outperform informal methods (colleague/on-the-job) in trust rates, and colleague learning remains last in both analyses. Mid-ranking positions shift meaningfully in the single-method subset, and the bootcamp group shrinks to n=21, making its specific rate unreliable. The 29pp gap headline should be understood as robust at the endpoints; the precise ordering of middle-tier methods is more sensitive to the multi-select overlap than the headline claim.</w:t>
            </w:r>
            <w:r>
              <w:rPr>
                <w:rFonts w:ascii="Arial" w:cs="Arial" w:eastAsia="Arial" w:hAnsi="Arial"/>
                <w:b w:val="false"/>
                <w:bCs w:val="false"/>
                <w:i w:val="false"/>
                <w:iCs w:val="false"/>
                <w:caps w:val="false"/>
                <w:color w:val="7D5900"/>
                <w:sz w:val="19"/>
                <w:szCs w:val="19"/>
              </w:rPr>
              <w:t xml:space="preserve"/>
            </w:r>
          </w:p>
        </w:tc>
      </w:tr>
    </w:tbl>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8. Unexpected Patterns</w:t>
      </w:r>
    </w:p>
    <w:p>
      <w:pPr>
        <w:pStyle w:val="Heading2"/>
        <w:spacing w:before="300" w:after="120"/>
      </w:pPr>
      <w:r>
        <w:rPr>
          <w:rFonts w:ascii="Arial" w:cs="Arial" w:eastAsia="Arial" w:hAnsi="Arial"/>
          <w:b/>
          <w:bCs/>
          <w:color w:val="1A1A1A"/>
          <w:sz w:val="28"/>
          <w:szCs w:val="28"/>
        </w:rPr>
        <w:t xml:space="preserve">8.1  The Job Threat Paradox</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 counterintuitive finding emerges from the job threat data. Developers who believe AI threatens their current job use AI tools more frequently than those who do not feel threatened: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Job Threat Perception</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AI Usage Score</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Mean Trust Score</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Yes — AI threatens my job</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3.047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1.977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4,748</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I'm not sure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2.854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7,043</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No — AI does not threaten</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2.668</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1.612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21,335</w:t>
            </w:r>
          </w:p>
        </w:tc>
      </w:tr>
    </w:tbl>
    <w:p>
      <w:pPr>
        <w:spacing w:before="80" w:after="240"/>
        <w:jc w:val="center"/>
      </w:pPr>
      <w:r>
        <w:rPr>
          <w:rFonts w:ascii="Arial" w:cs="Arial" w:eastAsia="Arial" w:hAnsi="Arial"/>
          <w:b w:val="false"/>
          <w:bCs w:val="false"/>
          <w:i/>
          <w:iCs/>
          <w:caps w:val="false"/>
          <w:color w:val="888888"/>
          <w:sz w:val="17"/>
          <w:szCs w:val="17"/>
        </w:rPr>
        <w:t xml:space="preserve">Table 11. AI usage and trust by job threat perception. Threatened developers use AI more, and also report higher trust scores, than non-threatened peers — a counterintuitive pairing examined in the text.</w:t>
      </w:r>
    </w:p>
    <w:p>
      <w:pPr>
        <w:spacing w:before="200" w:after="0"/>
      </w:pP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runs counter to the predictions of the "fear causes avoidance" model that most change management frameworks assume. Developers who feel threatened by AI are not withdrawing from it — they are hedging. They are using the tool that might replace them, possibly to understand its capabilities better, possibly to build competency as a defensive measure, possibly because their organizational context is mandating use more forcefully for precisely the roles most at risk.</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trust picture is equally interesting: threatened developers also score higher on trust (1.977) than non-threatened developers (1.612). They distrust AI less than those who see no threat — perhaps because they have formed more realistic assessments of what AI can and cannot do. This is not complacent trust; it is informed engagement.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practical implication is that threatened workers need a different intervention than is typically designed. They are not resisters who need persuasion. They are anxious early adopters who need scaffolding: structured pathways to build genuine competency quickly, and organizational signals that their engagement is recognized and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A800" w:sz="4"/>
              <w:left w:val="single" w:color="CCA800" w:sz="4"/>
              <w:bottom w:val="single" w:color="CCA800" w:sz="4"/>
              <w:right w:val="single" w:color="CCA800" w:sz="4"/>
            </w:tcBorders>
            <w:shd w:fill="FFF3CD" w:val="clear"/>
            <w:tcMar>
              <w:top w:type="dxa" w:w="100"/>
              <w:left w:type="dxa" w:w="200"/>
              <w:bottom w:type="dxa" w:w="100"/>
              <w:right w:type="dxa" w:w="200"/>
            </w:tcMar>
          </w:tcPr>
          <w:p>
            <w:pPr>
              <w:spacing w:before="0" w:after="0"/>
            </w:pPr>
            <w:r>
              <w:rPr>
                <w:rFonts w:ascii="Arial" w:cs="Arial" w:eastAsia="Arial" w:hAnsi="Arial"/>
                <w:b/>
                <w:bCs/>
                <w:i w:val="false"/>
                <w:iCs w:val="false"/>
                <w:caps w:val="false"/>
                <w:color w:val="7D5900"/>
                <w:sz w:val="19"/>
                <w:szCs w:val="19"/>
              </w:rPr>
              <w:t xml:space="preserve">Methodological Note: </w:t>
            </w:r>
            <w:r>
              <w:rPr>
                <w:rFonts w:ascii="Arial" w:cs="Arial" w:eastAsia="Arial" w:hAnsi="Arial"/>
                <w:b w:val="false"/>
                <w:bCs w:val="false"/>
                <w:i w:val="false"/>
                <w:iCs w:val="false"/>
                <w:caps w:val="false"/>
                <w:color w:val="7D5900"/>
                <w:sz w:val="19"/>
                <w:szCs w:val="19"/>
              </w:rPr>
              <w:t xml:space="preserve">Causality cannot be established from cross-sectional data. An alternative interpretation: heavy AI users may be more aware of AI's capabilities and therefore more inclined to perceive a job threat. Both directions are plausible and the data does not distinguish them.</w:t>
            </w:r>
          </w:p>
        </w:tc>
      </w:tr>
    </w:tbl>
    <w:p>
      <w:pPr>
        <w:pStyle w:val="Heading2"/>
        <w:spacing w:before="300" w:after="120"/>
      </w:pPr>
      <w:r>
        <w:rPr>
          <w:rFonts w:ascii="Arial" w:cs="Arial" w:eastAsia="Arial" w:hAnsi="Arial"/>
          <w:b/>
          <w:bCs/>
          <w:color w:val="1A1A1A"/>
          <w:sz w:val="28"/>
          <w:szCs w:val="28"/>
        </w:rPr>
        <w:t xml:space="preserve">8.2  The Agent Realism Shift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 second unexpected pattern emerges from the agent use data. Comparing sentiment distributions across agent engagement levels, weekly agent users show higher "Favorable" sentiment (51.3%) than daily agent users (36.7%). But the picture is more nuanced than it first appears.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Daily agent users have near-zero "Very Unfavorable" sentiment (0.8%) and the highest proportion of "Very Favorable" responses (54.0%). Weekly users show more "Favorable" responses but also more "Unfavorable" ones. Daily agent users also score highest on both trust (compared to non-agent users) and complexity ratings — they have the most favorable assessment of what AI can actually do.</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What this pattern describes is a realism shift. Weekly agent users are in the honeymoon phase — enthusiastic, moderately positive. Daily agent users have moved past enthusiasm into something more durable: pragmatic confidence. The "Favorable" percentage drops not because experience is negative, but because "Very Favorable" — a category of genuine conviction — absorbs the distribution. This is what mastery looks like in survey data.</w:t>
      </w:r>
    </w:p>
    <w:p>
      <w:pPr>
        <w:pStyle w:val="Heading2"/>
        <w:spacing w:before="300" w:after="120"/>
      </w:pPr>
      <w:r>
        <w:rPr>
          <w:rFonts w:ascii="Arial" w:cs="Arial" w:eastAsia="Arial" w:hAnsi="Arial"/>
          <w:b/>
          <w:bCs/>
          <w:color w:val="1A1A1A"/>
          <w:sz w:val="28"/>
          <w:szCs w:val="28"/>
        </w:rPr>
        <w:t xml:space="preserve">8.3  Stack Overflow's Most Engaged Users Are Most AI-Resistant</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Among the contextual findings, one carries a notable meta-irony. Developers who visit Stack Overflow multiple times per day — the platform's most engaged power users — show the lowest mean AI usage score (2.38) and the highest AI opt-out rate of any visit frequency group. Usage scores broadly decrease as SO visit frequency increases, reaching 3.04 among infrequent (once every 2–3 months) visitors and 2.38 among those visiting multiple times per day.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most plausible interpretation: Stack Overflow power users rely on human-curated, peer-reviewed knowledge as their primary problem-solving resource. AI search represents a direct substitution threat to that ecosystem, and these developers have the most invested in the existing system. They are not naive about AI; they have chosen to privilege verifiable, community-validated answers over probabilistic AI output. This is a principled position, not a failure of understanding.</w:t>
      </w:r>
    </w:p>
    <w:p>
      <w:pPr>
        <w:pStyle w:val="Heading1"/>
        <w:pBdr>
          <w:bottom w:val="single" w:color="2E5BA8" w:sz="8" w:space="4"/>
        </w:pBdr>
        <w:spacing w:before="400" w:after="160"/>
      </w:pPr>
      <w:r>
        <w:rPr>
          <w:rFonts w:ascii="Arial" w:cs="Arial" w:eastAsia="Arial" w:hAnsi="Arial"/>
          <w:b/>
          <w:bCs/>
          <w:caps/>
          <w:color w:val="2E5BA8"/>
          <w:sz w:val="36"/>
          <w:szCs w:val="36"/>
        </w:rPr>
        <w:t xml:space="preserve">9. Implications for Practice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findings above, taken together, constitute a clear argument for a specific model of organizational AI adoption. The following implications are grounded directly in the data.</w:t>
      </w:r>
    </w:p>
    <w:p>
      <w:pPr>
        <w:pStyle w:val="Heading2"/>
        <w:spacing w:before="300" w:after="120"/>
      </w:pPr>
      <w:r>
        <w:rPr>
          <w:rFonts w:ascii="Arial" w:cs="Arial" w:eastAsia="Arial" w:hAnsi="Arial"/>
          <w:b/>
          <w:bCs/>
          <w:color w:val="1A1A1A"/>
          <w:sz w:val="28"/>
          <w:szCs w:val="28"/>
        </w:rPr>
        <w:t xml:space="preserve">9.1  Adopt an Archetype-Based Strategy, Not a One-Size Approach</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Twenty-four percent of the developer population are Cautious Experimenters — using AI regularly but without trust. Twenty-four percent are Enthusiastic Adopters, close to the frontier but not yet using agents. Nineteen percent are Active Resisters with a stable, self-reinforcing anti-AI posture. Fifteen percent are Pragmatic Dabblers waiting to be convinced. Seventeen percent are Daily Integrators already at the destination.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These groups need different interventions. Cautious Experimenters need trust-building: structured workflow integration, ownership-preserving practices, and explicit attention to debuggability and explainability. Enthusiastic Adopters need a path to agent use and deeper integration. Pragmatic Dabblers need demonstrated concrete value. Active Resisters show a coherent, mutually reinforcing posture that has not yielded to adoption pressure — though this cross-sectional snapshot cannot confirm whether individuals in this cluster are permanently fixed. The more productive organizational question may be how to design workflows that don't create friction for colleagues who are still in their adoption journey, while leaving the door open for individual movement.</w:t>
      </w:r>
    </w:p>
    <w:p>
      <w:pPr>
        <w:pStyle w:val="Heading2"/>
        <w:spacing w:before="300" w:after="120"/>
      </w:pPr>
      <w:r>
        <w:rPr>
          <w:rFonts w:ascii="Arial" w:cs="Arial" w:eastAsia="Arial" w:hAnsi="Arial"/>
          <w:b/>
          <w:bCs/>
          <w:color w:val="1A1A1A"/>
          <w:sz w:val="28"/>
          <w:szCs w:val="28"/>
        </w:rPr>
        <w:t xml:space="preserve">9.2  Design for the Adoption Valley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occasional-user dip is the clearest finding with the most direct organizational intervention. Developers who are given access to AI tools without structured onboarding are likely to pass through the valley — encountering AI's limitations before developing the competency to navigate them — and emerge skeptical. Occasional, unsupported use is worse for trust than no use at all.</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Organizations should design AI onboarding to move people through the valley quickly: structured use cases that build early competency, explicit guidance on AI's strengths and limitations, and feedback mechanisms that help developers calibrate expectations before they harden into distrust. The goal is to prevent trust from bottoming out in the occasional-use zone.</w:t>
      </w:r>
    </w:p>
    <w:p>
      <w:pPr>
        <w:pStyle w:val="Heading2"/>
        <w:spacing w:before="300" w:after="120"/>
      </w:pPr>
      <w:r>
        <w:rPr>
          <w:rFonts w:ascii="Arial" w:cs="Arial" w:eastAsia="Arial" w:hAnsi="Arial"/>
          <w:b/>
          <w:bCs/>
          <w:color w:val="1A1A1A"/>
          <w:sz w:val="28"/>
          <w:szCs w:val="28"/>
        </w:rPr>
        <w:t xml:space="preserve">9.3  Replace Informal Adoption With Structured Learning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directional trust gap between structured and informal learners is among the strongest practical signals in this dataset. At the extremes, the spread reaches approximately 29 percentage points — though as noted in Section 7.3, the upper bound rests on the bootcamp cohort (n=495, with single-method n=21), so the more robust comparison is online courses (52.4%) vs. colleague/on-the-job (37.3%), a 15-point gap with much larger samples on both ends. Organizations that rely on AI tools to spread organically through peer-to-peer informal knowledge transfer show consistently lower trust rates in this dataset. The colleague-trained cohort trusts AI less than every other learning pathway measured.</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is not an argument against peer learning in general; it is a specific caution about unstructured, ambient AI onboarding. Structured programs — whether formal courses, facilitated workshops, or cohort-based learning — are associated with higher trust rates and may support more capable and productive AI use, though this cross-sectional data cannot establish that direction. The investment in designed learning experiences pays dividends in adoption quality, not just speed.</w:t>
      </w:r>
    </w:p>
    <w:p>
      <w:pPr>
        <w:pStyle w:val="Heading2"/>
        <w:spacing w:before="300" w:after="120"/>
      </w:pPr>
      <w:r>
        <w:rPr>
          <w:rFonts w:ascii="Arial" w:cs="Arial" w:eastAsia="Arial" w:hAnsi="Arial"/>
          <w:b/>
          <w:bCs/>
          <w:color w:val="1A1A1A"/>
          <w:sz w:val="28"/>
          <w:szCs w:val="28"/>
        </w:rPr>
        <w:t xml:space="preserve">9.4  Address Emotional Orientation, Not Just Competency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classification finding that AI Sentiment is a stronger feature than AI Trust in predicting daily adoption — in the statistical sense — reframes the standard adoption model. Most enterprise AI adoption programs are built around access + training = usage. The data suggests the more accurate model is: access + training + positive emotional orientation = daily adoption.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Emotional orientation toward AI is shaped by early experiences, by peer culture, by organizational framing, and by the narrative in which AI tools are introduced. Organizations that introduce AI as "a tool to reduce costs" or "a productivity mandate" are likely to generate a different emotional orientation than those that introduce it as "a way to reclaim time for the work you find most meaningful." The framing matters. The story matters. These are learning design and change management questions, not technology questions.</w:t>
      </w:r>
    </w:p>
    <w:p>
      <w:pPr>
        <w:pStyle w:val="Heading2"/>
        <w:spacing w:before="300" w:after="120"/>
      </w:pPr>
      <w:r>
        <w:rPr>
          <w:rFonts w:ascii="Arial" w:cs="Arial" w:eastAsia="Arial" w:hAnsi="Arial"/>
          <w:b/>
          <w:bCs/>
          <w:color w:val="1A1A1A"/>
          <w:sz w:val="28"/>
          <w:szCs w:val="28"/>
        </w:rPr>
        <w:t xml:space="preserve">9.5  Prioritize Transparency and Ownership in Workflow Design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frustration data consistently point to a pattern: the most trust-damaging AI interactions are those in which developers lose ownership of and visibility into the output. Debugging AI-generated code that is slow to diagnose, code whose logic is opaque, code that developers cannot stand behind in review — these experiences damage trust more than AI being simply wrong.</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Workflow design should prioritize AI-assisted practices that preserve developer agency and explainability. This means favoring incremental AI assistance over wholesale AI generation, building review and understanding into AI-assisted workflows rather than treating AI output as complete, and explicitly rewarding the practice of understanding (not just using) AI-generated output. These are not AI configuration questions; they are organizational and learning design questions.</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10. Limitations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This analysis is subject to the following limitations, which should be considered when interpreting findings and designing interventions based on them.</w:t>
      </w:r>
    </w:p>
    <w:p>
      <w:pPr>
        <w:pStyle w:val="Heading2"/>
        <w:spacing w:before="300" w:after="120"/>
      </w:pPr>
      <w:r>
        <w:rPr>
          <w:rFonts w:ascii="Arial" w:cs="Arial" w:eastAsia="Arial" w:hAnsi="Arial"/>
          <w:b/>
          <w:bCs/>
          <w:color w:val="1A1A1A"/>
          <w:sz w:val="28"/>
          <w:szCs w:val="28"/>
        </w:rPr>
        <w:t xml:space="preserve">10.1  Self-Report Bias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data is self-reported survey data. Developers may over-report AI adoption to signal competence or professional currency, or under-report frustrations to avoid appearing incompetent. There is no behavioral ground truth against which to validate these figures. The patterns across questions are internally consistent, and directional comparisons with macro surveys (McKinsey) are broadly aligned, but absolute figures should be treated with appropriate caution.</w:t>
      </w:r>
    </w:p>
    <w:p>
      <w:pPr>
        <w:pStyle w:val="Heading2"/>
        <w:spacing w:before="300" w:after="120"/>
      </w:pPr>
      <w:r>
        <w:rPr>
          <w:rFonts w:ascii="Arial" w:cs="Arial" w:eastAsia="Arial" w:hAnsi="Arial"/>
          <w:b/>
          <w:bCs/>
          <w:color w:val="1A1A1A"/>
          <w:sz w:val="28"/>
          <w:szCs w:val="28"/>
        </w:rPr>
        <w:t xml:space="preserve">10.2  Cross-Year Comparability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Four methodological issues affect year-over-year comparisons. First, the AISelect question changed wording in 2025, making the adoption trend directionally valid but not perfectly comparable. Second, the trust question appears under different column names (AIBen in 2023, AIAcc in 2024–2025), though we confirmed identical question wording from the schema files. Third, 2025's survey response rate for the AI module dropped to 68.5%, compared to 93–99% in prior years, which may introduce selection effects into the 2025 figures. Fourth, and most consequentially for the trust trend: in 2023 and 2024, the trust question (AIAcc/AIBen) was routed to current AI users only; in 2025 it was asked of all AISelect respondents, including non-users and those planning to use AI. Non-users show dramatically lower trust (8.9% high trust vs. 39.3% for current users in 2025), which means the paper's headline 2025 trust figures (32.8% high trust, 45.7% high distrust) are not directly comparable to 2023/2024. On a harmonized user-only denominator (n=26,126), 2025 shows 39.3% high trust and 37.3% high distrust — still a substantial decline from 2024 (43.0% / 30.4%), but considerably less dramatic. Both figures are reported in Table 3.</w:t>
      </w:r>
    </w:p>
    <w:p>
      <w:pPr>
        <w:pStyle w:val="Heading2"/>
        <w:spacing w:before="300" w:after="120"/>
      </w:pPr>
      <w:r>
        <w:rPr>
          <w:rFonts w:ascii="Arial" w:cs="Arial" w:eastAsia="Arial" w:hAnsi="Arial"/>
          <w:b/>
          <w:bCs/>
          <w:color w:val="1A1A1A"/>
          <w:sz w:val="28"/>
          <w:szCs w:val="28"/>
        </w:rPr>
        <w:t xml:space="preserve">10.3  Cross-Sectional Causality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All findings are correlational. In particular, the classification finding that AI Sentiment is associated with adoption is based on co-measured variables: sentiment and usage are both assessed at the same point in time. The causal direction cannot be established from this data. Similarly, the learning method → trust finding may be partly explained by pre-existing orientation differences between developers who seek out structured courses versus those who rely on informal learning.</w:t>
      </w:r>
    </w:p>
    <w:p>
      <w:r>
        <w:t xml:space="preserve">10.3a  Feature Circularity (AgentScore and LearnedAI)
A related limitation applies to two features in the classification model. AgentScore measures AI agent use frequency — a behavior that is a strict subset of AI tool use. Daily agent users are, by definition, already among the most active AI users, which creates mechanical correlation between AgentScore and the target variable (daily AI adoption). This likely inflates AgentScore’s apparent importance (13.6%) beyond its independent contribution. LearnedAI (whether the developer invested in AI learning this year) has a similar, if less severe, entanglement: developers who invested in AI learning are unsurprisingly more likely to use AI daily. These features are worth including as descriptors of the daily-adopter profile, but readers should interpret their importance scores cautiously. The core sentiment finding (42.9%) is not affected by this issue, as sentiment is conceptually and temporally distinct from daily adoption frequency.</w:t>
      </w:r>
    </w:p>
    <w:p>
      <w:pPr>
        <w:pStyle w:val="Heading2"/>
        <w:spacing w:before="300" w:after="120"/>
      </w:pPr>
      <w:r>
        <w:rPr>
          <w:rFonts w:ascii="Arial" w:cs="Arial" w:eastAsia="Arial" w:hAnsi="Arial"/>
          <w:b/>
          <w:bCs/>
          <w:color w:val="1A1A1A"/>
          <w:sz w:val="28"/>
          <w:szCs w:val="28"/>
        </w:rPr>
        <w:t xml:space="preserve">10.4  Clustering Methodology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choice of k=5 clusters is justified on interpretability grounds, not statistical grounds. The silhouette optimum is k=2 (score=0.349). K-means with k=5 achieves a silhouette of 0.284. The five heuristic archetypes are stable across seeds and interpretable, but they represent a deliberate choice to prioritize actionability over statistical parsimony. Readers should understand that the "true" cluster structure is more binary than the five-archetype frame suggests.</w:t>
      </w:r>
    </w:p>
    <w:p>
      <w:pPr>
        <w:pStyle w:val="Heading2"/>
        <w:spacing w:before="300" w:after="120"/>
      </w:pPr>
      <w:r>
        <w:rPr>
          <w:rFonts w:ascii="Arial" w:cs="Arial" w:eastAsia="Arial" w:hAnsi="Arial"/>
          <w:b/>
          <w:bCs/>
          <w:color w:val="1A1A1A"/>
          <w:sz w:val="28"/>
          <w:szCs w:val="28"/>
        </w:rPr>
        <w:t xml:space="preserve">10.5  Generalizability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Stack Overflow survey skews toward professional developers, particularly those active on the platform. It underrepresents some developer populations (notably those in regions with lower Stack Overflow penetration) and over-represents others. The findings apply most directly to professional software developers in North America, Europe, and major technology hubs. The principles may generalize to other technical knowledge worker populations, but this extrapolation should be made cautiously.</w:t>
      </w:r>
    </w:p>
    <w:p>
      <w:pPr>
        <w:spacing w:before="0" w:after="0"/>
      </w:pPr>
      <w:r>
        <w:br w:type="page"/>
      </w:r>
    </w:p>
    <w:p>
      <w:pPr>
        <w:pStyle w:val="Heading1"/>
        <w:pBdr>
          <w:bottom w:val="single" w:color="2E5BA8" w:sz="8" w:space="4"/>
        </w:pBdr>
        <w:spacing w:before="400" w:after="160"/>
      </w:pPr>
      <w:r>
        <w:rPr>
          <w:rFonts w:ascii="Arial" w:cs="Arial" w:eastAsia="Arial" w:hAnsi="Arial"/>
          <w:b/>
          <w:bCs/>
          <w:caps/>
          <w:color w:val="2E5BA8"/>
          <w:sz w:val="36"/>
          <w:szCs w:val="36"/>
        </w:rPr>
        <w:t xml:space="preserve">11. Conclusion</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story that the aggregate data tells about AI adoption is incomplete at best and misleading at worst. Yes, adoption is up — dramatically. But behind the headline figures lies a more complicated picture: a population that is more divided than it has ever been, where the 2025 cross-section shows a substantial actively-resistant profile (19% of the AI-module sample), and where patterns that might be expected to build trust — more usage, more exposure — are instead associated with lower trust among occasional users.</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Adoption Paradox is real and measurable in this dataset — adoption rose sharply while trust and sentiment declined across the same period. In 2023, 76% of surveyed developers were favorably disposed toward AI tools; by 2025, that figure was 60% — a 16-point decline in two years. "Highly distrust" has gone from a marginal position (5.5%) to a mainstream one (19.6%) in two years. These are not rounding errors or survey noise. They represent substantial shifts in how a large professional community relates to a technology category, though the cross-sectional design cannot confirm whether these trends will continue.</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But the data also contains grounds for optimism about what is achievable with intentional practice. Daily Integrators — the 17.6% of developers who have reached the destination of confident, agent-enabled daily AI use — show that the endpoint is real and achievable. The five archetypes give organizations a map of where their people are. The learning pathway data gives them a lever: structured learning is associated with substantially higher trust rates. The frustration data gives them a design brief: preserve ownership, preserve explainability, preserve debuggability.</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The fundamental argument of this report is that adoption rates are the wrong metric. Organizations that are measuring AI adoption success by the percentage of employees who have access to, or have tried, AI tools are measuring the wrong thing. The right metric is confident, trusting, daily integration — the Daily Integrator profile. Getting people to that destination requires understanding where they are starting from, how adoption valleys form, what makes skepticism crystallize, and why the story you tell about AI in the learning environment matters as much as the tool you hand people.</w:t>
      </w:r>
    </w:p>
    <w:tbl>
      <w:tblPr>
        <w:tblW w:type="dxa" w:w="9360"/>
        <w:tblBorders>
          <w:top w:val="single" w:color="2E5BA8" w:sz="12"/>
          <w:left w:val="none" w:sz="0"/>
          <w:bottom w:val="single" w:color="2E5BA8" w:sz="12"/>
          <w:right w:val="none" w:sz="0"/>
          <w:insideH w:val="single" w:color="auto" w:sz="4"/>
          <w:insideV w:val="single" w:color="auto" w:sz="4"/>
        </w:tblBorders>
      </w:tblPr>
      <w:tblGrid>
        <w:gridCol w:w="9360"/>
      </w:tblGrid>
      <w:tr>
        <w:trPr>
          <w:tblHeader/>
        </w:trPr>
        <w:tc>
          <w:tcPr>
            <w:tcW w:type="dxa" w:w="9360"/>
            <w:tcBorders>
              <w:top w:val="none" w:sz="0"/>
              <w:left w:val="none" w:sz="0"/>
              <w:bottom w:val="none" w:sz="0"/>
              <w:right w:val="none" w:sz="0"/>
            </w:tcBorders>
            <w:shd w:fill="EAF0FB" w:val="clear"/>
            <w:tcMar>
              <w:top w:type="dxa" w:w="180"/>
              <w:left w:type="dxa" w:w="360"/>
              <w:bottom w:type="dxa" w:w="180"/>
              <w:right w:type="dxa" w:w="360"/>
            </w:tcMar>
          </w:tcPr>
          <w:p>
            <w:pPr>
              <w:spacing w:before="0" w:after="0"/>
              <w:jc w:val="center"/>
            </w:pPr>
            <w:r>
              <w:rPr>
                <w:rFonts w:ascii="Georgia" w:cs="Georgia" w:eastAsia="Georgia" w:hAnsi="Georgia"/>
                <w:b w:val="false"/>
                <w:bCs w:val="false"/>
                <w:i/>
                <w:iCs/>
                <w:caps w:val="false"/>
                <w:color w:val="2E5BA8"/>
                <w:sz w:val="26"/>
                <w:szCs w:val="26"/>
              </w:rPr>
              <w:t xml:space="preserve">"The organizations that will succeed with AI are not the ones that move fastest to adoption. They are the ones that invest in the journey — and understand that how people feel about AI shapes whether they use it every bit as much as whether they have access to it."</w:t>
            </w:r>
          </w:p>
        </w:tc>
      </w:tr>
    </w:tbl>
    <w:p>
      <w:pPr>
        <w:pStyle w:val="Heading1"/>
        <w:pBdr>
          <w:bottom w:val="single" w:color="2E5BA8" w:sz="8" w:space="4"/>
        </w:pBdr>
        <w:spacing w:before="400" w:after="160"/>
      </w:pPr>
      <w:r>
        <w:rPr>
          <w:rFonts w:ascii="Arial" w:cs="Arial" w:eastAsia="Arial" w:hAnsi="Arial"/>
          <w:b/>
          <w:bCs/>
          <w:caps/>
          <w:color w:val="2E5BA8"/>
          <w:sz w:val="36"/>
          <w:szCs w:val="36"/>
        </w:rPr>
        <w:t xml:space="preserve">References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Agrawal, R., &amp; Srikant, R. (1994). Fast algorithms for mining association rules. Proceedings of the 20th International Conference on Very Large Data Bases (VLDB), 1215, 487–499.</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Breiman, L. (2001). Random forests. Machine Learning, 45(1), 5–32. https://doi.org/10.1023/A:1010933404324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Davis, F. D. (1989). Perceived usefulness, perceived ease of use, and user acceptance of information technology. MIS Quarterly, 13(3), 319–340. https://doi.org/10.2307/249008</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GitClear. (2024). Coding on Copilot: 2023 data suggests copilots are introducing downward pressure on code quality. GitClear Research. https://www.gitclear.com/coding_on_copilot</w:t>
      </w:r>
    </w:p>
    <w:p>
      <w:r>
        <w:t xml:space="preserve">GitHub. (2023, October 10). Research: Quantifying GitHub Copilot’s impact on code quality. GitHub Blog. https://github.blog/news-insights/research/research-quantifying-github-copilots-impact-on-code-quality/</w:t>
      </w:r>
    </w:p>
    <w:p>
      <w:r>
        <w:t xml:space="preserve">GitHub. (2024, November 18). Does GitHub Copilot improve code quality? Here’s what the data says. GitHub Blog. https://github.blog/news-insights/research/does-github-copilot-improve-code-quality-heres-what-the-data-says/</w:t>
      </w:r>
    </w:p>
    <w:p>
      <w:r>
        <w:t xml:space="preserve">Huang, Z. (1998). Extensions to the k-means algorithm for clustering large data sets with categorical values. Data Mining and Knowledge Discovery, 2(3), 283–304. https://doi.org/10.1023/A:1009769707641</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Kalliamvakou, E. (2022, September 7). Research: Quantifying GitHub Copilot’s impact on developer productivity and happiness. GitHub Blog. https://github.blog/2022/09/07/research-quantifying-github-copilots-impact-on-developer-productivity-and-happiness/</w:t>
      </w:r>
    </w:p>
    <w:p>
      <w:r>
        <w:t xml:space="preserve">MacQueen, J. B. (1967). Some methods for classification and analysis of multivariate observations. Proceedings of the 5th Berkeley Symposium on Mathematical Statistics and Probability, 1, 281–297. University of California Press.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McKinsey Global Institute. (2023). The state of AI in 2023: Generative AI’s breakout year. McKinsey &amp; Company. https://www.mckinsey.com/capabilities/quantumblack/our-insights/the-state-of-ai-in-2023</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McKinsey Global Institute. (2024). The state of AI in early 2024: Gen AI adoption spikes and starts to generate value. McKinsey &amp; Company. https://www.mckinsey.com/capabilities/quantumblack/our-insights/the-state-of-ai-in-early-2024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Microsoft &amp; LinkedIn. (2024). 2024 Work Trend Index: AI at work. Microsoft. https://www.microsoft.com/en-us/worklab/work-trend-index</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Rogers, E. M. (2003). Diffusion of innovations (5th ed.). Free Press.</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Romero, C., &amp; Ventura, S. (2010). Educational data mining: A review of the state of the art. IEEE Transactions on Systems, Man, and Cybernetics, Part C, 40(6), 601–618. https://doi.org/10.1109/TSMCC.2010.2053532</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Rousseeuw, P. J. (1987). Silhouettes: A graphical aid to the interpretation and validation of cluster analysis. Journal of Computational and Applied Mathematics, 20, 53–65. https://doi.org/10.1016/0377-0427(87)90125-7</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(2023). Stack Overflow developer survey 2023. https://survey.stackoverflow.co/2023/</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(2024). Stack Overflow developer survey 2024. https://survey.stackoverflow.co/2024/</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Stack Overflow. (2025). Stack Overflow developer survey 2025. https://survey.stackoverflow.co/2025/</w:t>
      </w:r>
    </w:p>
    <w:p>
      <w:pPr>
        <w:spacing w:before="0" w:after="120" w:line="320"/>
        <w:ind w:left="720" w:hanging="720"/>
        <w:jc w:val="left"/>
      </w:pPr>
      <w:r>
        <w:rPr>
          <w:rFonts w:ascii="Georgia" w:cs="Georgia" w:eastAsia="Georgia" w:hAnsi="Georgia"/>
          <w:b w:val="false"/>
          <w:bCs w:val="false"/>
          <w:i w:val="false"/>
          <w:iCs w:val="false"/>
          <w:caps w:val="false"/>
          <w:color w:val="1A1A1A"/>
          <w:sz w:val="22"/>
          <w:szCs w:val="22"/>
        </w:rPr>
        <w:t xml:space="preserve">Venkatesh, V., Morris, M. G., Davis, G. B., &amp; Davis, F. D. (2003). User acceptance of information technology: Toward a unified view. MIS Quarterly, 27(3), 425–478. https://doi.org/10.2307/30036540</w:t>
      </w:r>
    </w:p>
    <w:p>
      <w:pPr>
        <w:pStyle w:val="Heading1"/>
        <w:pBdr>
          <w:bottom w:val="single" w:color="2E5BA8" w:sz="8" w:space="4"/>
        </w:pBdr>
        <w:spacing w:before="400" w:after="160"/>
      </w:pPr>
      <w:r>
        <w:rPr>
          <w:rFonts w:ascii="Arial" w:cs="Arial" w:eastAsia="Arial" w:hAnsi="Arial"/>
          <w:b/>
          <w:bCs/>
          <w:caps/>
          <w:color w:val="2E5BA8"/>
          <w:sz w:val="36"/>
          <w:szCs w:val="36"/>
        </w:rPr>
        <w:t xml:space="preserve">Appendix: Verified Data Summary</w:t>
      </w:r>
    </w:p>
    <w:p>
      <w:pPr>
        <w:pStyle w:val="Heading2"/>
        <w:spacing w:before="300" w:after="120"/>
      </w:pPr>
      <w:r>
        <w:rPr>
          <w:rFonts w:ascii="Arial" w:cs="Arial" w:eastAsia="Arial" w:hAnsi="Arial"/>
          <w:b/>
          <w:bCs/>
          <w:color w:val="1A1A1A"/>
          <w:sz w:val="28"/>
          <w:szCs w:val="28"/>
        </w:rPr>
        <w:t xml:space="preserve">A.1  Key Statistics — Triple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Metric</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2023</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2024</w:t>
            </w:r>
          </w:p>
        </w:tc>
        <w:tc>
          <w:tcPr>
            <w:tcW w:type="dxa" w:w="234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2025</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Survey N</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89,184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65,437</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49,191</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Adoption (using)</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78.5%</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Adoption (daily, 2025)</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47.1%</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Positive Sentiment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59.7%</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Negative Sentiment</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20.4%</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 Trust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43.0%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32.8%</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 Distrust</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27.2%</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30.4%</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45.7%</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"Highly Distrust" only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19.6%</w:t>
            </w:r>
          </w:p>
        </w:tc>
      </w:tr>
      <w:tr>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Job Threat: Yes</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12.1%</w:t>
            </w:r>
          </w:p>
        </w:tc>
        <w:tc>
          <w:tcPr>
            <w:tcW w:type="dxa" w:w="234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AI Complexity (mean 0–5)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N/A</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2.20</w:t>
            </w:r>
          </w:p>
        </w:tc>
      </w:tr>
    </w:tbl>
    <w:p>
      <w:pPr>
        <w:spacing w:before="80" w:after="240"/>
        <w:jc w:val="center"/>
      </w:pPr>
      <w:r>
        <w:rPr>
          <w:rFonts w:ascii="Arial" w:cs="Arial" w:eastAsia="Arial" w:hAnsi="Arial"/>
          <w:b w:val="false"/>
          <w:bCs w:val="false"/>
          <w:i/>
          <w:iCs/>
          <w:caps w:val="false"/>
          <w:color w:val="888888"/>
          <w:sz w:val="17"/>
          <w:szCs w:val="17"/>
        </w:rPr>
        <w:t xml:space="preserve">All figures verified against raw counts from source CSV files.</w:t>
      </w:r>
    </w:p>
    <w:p>
      <w:pPr>
        <w:spacing w:before="200" w:after="0"/>
      </w:pPr>
    </w:p>
    <w:p>
      <w:pPr>
        <w:pStyle w:val="Heading2"/>
        <w:spacing w:before="300" w:after="120"/>
      </w:pPr>
      <w:r>
        <w:rPr>
          <w:rFonts w:ascii="Arial" w:cs="Arial" w:eastAsia="Arial" w:hAnsi="Arial"/>
          <w:b/>
          <w:bCs/>
          <w:color w:val="1A1A1A"/>
          <w:sz w:val="28"/>
          <w:szCs w:val="28"/>
        </w:rPr>
        <w:t xml:space="preserve">A.2  Cluster Profiles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700"/>
        <w:gridCol w:w="900"/>
        <w:gridCol w:w="900"/>
        <w:gridCol w:w="1100"/>
        <w:gridCol w:w="900"/>
        <w:gridCol w:w="860"/>
      </w:tblGrid>
      <w:tr>
        <w:trPr>
          <w:tblHeader/>
        </w:trPr>
        <w:tc>
          <w:tcPr>
            <w:tcW w:type="dxa" w:w="22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Archetype</w:t>
            </w:r>
          </w:p>
        </w:tc>
        <w:tc>
          <w:tcPr>
            <w:tcW w:type="dxa" w:w="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n</w:t>
            </w:r>
          </w:p>
        </w:tc>
        <w:tc>
          <w:tcPr>
            <w:tcW w:type="dxa" w:w="7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Usage</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Trust</w:t>
            </w:r>
          </w:p>
        </w:tc>
        <w:tc>
          <w:tcPr>
            <w:tcW w:type="dxa" w:w="11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Sentiment</w:t>
            </w:r>
          </w:p>
        </w:tc>
        <w:tc>
          <w:tcPr>
            <w:tcW w:type="dxa" w:w="9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Agents</w:t>
            </w:r>
          </w:p>
        </w:tc>
        <w:tc>
          <w:tcPr>
            <w:tcW w:type="dxa" w:w="86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LearnedAI</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Cautious Experimenters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8,090</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24.3%</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3.07</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1.07</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3.25</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0.59</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Enthusiastic Adopters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7,986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24.0%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3.49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2.59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4.22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0.45</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99%</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Active Resisters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6,318</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19.0%</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0.47</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0.43</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0.82</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0.08</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Daily Integrators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5,847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17.6%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3.83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4.44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93%</w:t>
            </w:r>
          </w:p>
        </w:tc>
      </w:tr>
      <w:tr>
        <w:tc>
          <w:tcPr>
            <w:tcW w:type="dxa" w:w="22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Pragmatic Dabblers</w:t>
            </w:r>
          </w:p>
        </w:tc>
        <w:tc>
          <w:tcPr>
            <w:tcW w:type="dxa" w:w="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4,990</w:t>
            </w:r>
          </w:p>
        </w:tc>
        <w:tc>
          <w:tcPr>
            <w:tcW w:type="dxa" w:w="7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15.0%</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2.63</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1.86</w:t>
            </w:r>
          </w:p>
        </w:tc>
        <w:tc>
          <w:tcPr>
            <w:tcW w:type="dxa" w:w="11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3.61</w:t>
            </w:r>
          </w:p>
        </w:tc>
        <w:tc>
          <w:tcPr>
            <w:tcW w:type="dxa" w:w="9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0.40</w:t>
            </w:r>
          </w:p>
        </w:tc>
        <w:tc>
          <w:tcPr>
            <w:tcW w:type="dxa" w:w="86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0%</w:t>
            </w:r>
          </w:p>
        </w:tc>
      </w:tr>
    </w:tbl>
    <w:p>
      <w:pPr>
        <w:spacing w:before="80" w:after="240"/>
        <w:jc w:val="center"/>
      </w:pPr>
      <w:r>
        <w:rPr>
          <w:rFonts w:ascii="Arial" w:cs="Arial" w:eastAsia="Arial" w:hAnsi="Arial"/>
          <w:b w:val="false"/>
          <w:bCs w:val="false"/>
          <w:i/>
          <w:iCs/>
          <w:caps w:val="false"/>
          <w:color w:val="888888"/>
          <w:sz w:val="17"/>
          <w:szCs w:val="17"/>
        </w:rPr>
        <w:t xml:space="preserve">K-means, k=5, seed=42, n_init=20, N=33,231. Silhouette: k=2 (0.349), k=5 (0.284).</w:t>
      </w:r>
    </w:p>
    <w:p>
      <w:pPr>
        <w:spacing w:before="200" w:after="0"/>
      </w:pPr>
    </w:p>
    <w:p>
      <w:pPr>
        <w:pStyle w:val="Heading2"/>
        <w:spacing w:before="300" w:after="120"/>
      </w:pPr>
      <w:r>
        <w:rPr>
          <w:rFonts w:ascii="Arial" w:cs="Arial" w:eastAsia="Arial" w:hAnsi="Arial"/>
          <w:b/>
          <w:bCs/>
          <w:color w:val="1A1A1A"/>
          <w:sz w:val="28"/>
          <w:szCs w:val="28"/>
        </w:rPr>
        <w:t xml:space="preserve">A.3  Classification Model Performance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1390"/>
      </w:tblGrid>
      <w:tr>
        <w:trPr>
          <w:tblHeader/>
        </w:trPr>
        <w:tc>
          <w:tcPr>
            <w:tcW w:type="dxa" w:w="280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Model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Accuracy</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Precision</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Recall</w:t>
            </w:r>
          </w:p>
        </w:tc>
        <w:tc>
          <w:tcPr>
            <w:tcW w:type="dxa" w:w="1390"/>
            <w:tcBorders>
              <w:top w:val="single" w:color="CCCCCC" w:sz="4"/>
              <w:left w:val="single" w:color="CCCCCC" w:sz="4"/>
              <w:bottom w:val="single" w:color="CCCCCC" w:sz="4"/>
              <w:right w:val="single" w:color="CCCCCC" w:sz="4"/>
            </w:tcBorders>
            <w:shd w:fill="2E5BA8" w:val="clear"/>
            <w:tcMar>
              <w:top w:type="dxa" w:w="80"/>
              <w:left w:type="dxa" w:w="120"/>
              <w:bottom w:type="dxa" w:w="80"/>
              <w:right w:type="dxa" w:w="120"/>
            </w:tcMar>
          </w:tcPr>
          <w:p>
            <w:pPr>
              <w:spacing w:before="0" w:after="0"/>
              <w:jc w:val="center"/>
            </w:pPr>
            <w:r>
              <w:rPr>
                <w:rFonts w:ascii="Arial" w:cs="Arial" w:eastAsia="Arial" w:hAnsi="Arial"/>
                <w:b/>
                <w:bCs/>
                <w:i w:val="false"/>
                <w:iCs w:val="false"/>
                <w:caps w:val="false"/>
                <w:color w:val="FFFFFF"/>
                <w:sz w:val="19"/>
                <w:szCs w:val="19"/>
              </w:rPr>
              <w:t xml:space="preserve">Daily F1</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Random Forest (200 trees, seed=42)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77.1%</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75.5%</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79.3%</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Decision Tree (depth=5, seed=42)</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76.5%</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72.1%</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80.9%</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76.3%</w:t>
            </w:r>
          </w:p>
        </w:tc>
      </w:tr>
      <w:tr>
        <w:tc>
          <w:tcPr>
            <w:tcW w:type="dxa" w:w="280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left"/>
            </w:pPr>
            <w:r>
              <w:rPr>
                <w:rFonts w:ascii="Arial" w:cs="Arial" w:eastAsia="Arial" w:hAnsi="Arial"/>
                <w:b/>
                <w:bCs/>
                <w:i w:val="false"/>
                <w:iCs w:val="false"/>
                <w:caps w:val="false"/>
                <w:color w:val="1A1A1A"/>
                <w:sz w:val="19"/>
                <w:szCs w:val="19"/>
              </w:rPr>
              <w:t xml:space="preserve">5-Fold CV Mean ± Std (RF)</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77.9% ± 0.2%</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c>
          <w:tcPr>
            <w:tcW w:type="dxa" w:w="1390"/>
            <w:tcBorders>
              <w:top w:val="single" w:color="CCCCCC" w:sz="4"/>
              <w:left w:val="single" w:color="CCCCCC" w:sz="4"/>
              <w:bottom w:val="single" w:color="CCCCCC" w:sz="4"/>
              <w:right w:val="single" w:color="CCCCCC" w:sz="4"/>
            </w:tcBorders>
            <w:shd w:fill="F5F8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aps w:val="false"/>
                <w:color w:val="1A1A1A"/>
                <w:sz w:val="19"/>
                <w:szCs w:val="19"/>
              </w:rPr>
              <w:t xml:space="preserve">—</w:t>
            </w:r>
          </w:p>
        </w:tc>
      </w:tr>
    </w:tbl>
    <w:p>
      <w:pPr>
        <w:spacing w:before="80" w:after="240"/>
        <w:jc w:val="center"/>
      </w:pPr>
      <w:r>
        <w:rPr>
          <w:rFonts w:ascii="Arial" w:cs="Arial" w:eastAsia="Arial" w:hAnsi="Arial"/>
          <w:b w:val="false"/>
          <w:bCs w:val="false"/>
          <w:i/>
          <w:iCs/>
          <w:caps w:val="false"/>
          <w:color w:val="888888"/>
          <w:sz w:val="17"/>
          <w:szCs w:val="17"/>
        </w:rPr>
        <w:t xml:space="preserve">Target: daily AI adoption. Test N=6,647 (20% stratified split). Seed=42.</w:t>
      </w:r>
    </w:p>
    <w:p>
      <w:pPr>
        <w:spacing w:before="200" w:after="0"/>
      </w:pPr>
    </w:p>
    <w:p>
      <w:pPr>
        <w:pStyle w:val="Heading2"/>
        <w:spacing w:before="300" w:after="120"/>
      </w:pPr>
      <w:r>
        <w:rPr>
          <w:rFonts w:ascii="Arial" w:cs="Arial" w:eastAsia="Arial" w:hAnsi="Arial"/>
          <w:b/>
          <w:bCs/>
          <w:color w:val="1A1A1A"/>
          <w:sz w:val="28"/>
          <w:szCs w:val="28"/>
        </w:rPr>
        <w:t xml:space="preserve">A.4  Data Availability
Note: This report is published as a practitioner research report under the Imagination Applied Research Series. It has not undergone formal peer review.</w:t>
      </w:r>
    </w:p>
    <w:p>
      <w:pPr>
        <w:spacing w:before="0" w:after="160" w:line="320"/>
        <w:jc w:val="left"/>
      </w:pPr>
      <w:r>
        <w:rPr>
          <w:rFonts w:ascii="Georgia" w:cs="Georgia" w:eastAsia="Georgia" w:hAnsi="Georgia"/>
          <w:b w:val="false"/>
          <w:bCs w:val="false"/>
          <w:i w:val="false"/>
          <w:iCs w:val="false"/>
          <w:caps w:val="false"/>
          <w:color w:val="1A1A1A"/>
          <w:sz w:val="22"/>
          <w:szCs w:val="22"/>
        </w:rPr>
        <w:t xml:space="preserve">Source data: Stack Overflow Developer Survey 2023, 2024, and 2025, publicly available at survey.stackoverflow.co/datasets. All analysis code, variable recode documentation (CODEBOOK.md), and denominator reconciliation tables (DENOMINATORS.md) are available in the GitHub repository accompanying this report at the URL below. The repository includes five integrated robustness checks (3-seed cluster stability, 5-fold CV, permutation importance, k-modes cost curve, and single-method learner validation).
Repository: https://github.com/jpenzell/ai-adoption-paradox Key scripts: pipeline_v2.py (clustering, association rules, classification), longitudinal.py (three-year trend analysis), deep_dives.py (additional findings). All figures cited in this report were triple-verified against raw CSV counts prior to publication.</w:t>
      </w:r>
    </w:p>
    <w:p>
      <w:r>
        <w:t xml:space="preserve">A.5  Denominator Reconciliation</w:t>
      </w:r>
    </w:p>
    <w:p>
      <w:r>
        <w:t xml:space="preserve">The table below lists every key denominator used in this report alongside the corresponding official Stack Overflow published figure and the downloaded CSV count. Differences are noted with a plausible explanation; none affect the analytical conclusions.</w:t>
      </w:r>
    </w:p>
    <w:p>
      <w:r>
        <w:t xml:space="preserve">File identifiers (SHA-256, first 16 hex chars):
  2025 CSV: 2d1f65308877282e  (140,893,245 bytes)
  2024 CSV: 7f2c2dbf6989d00b  (159,525,875 bytes)
  2023 CSV: 828874a3cf0fa1bb  (158,626,799 bytes)</w:t>
      </w:r>
    </w:p>
    <w:tbl>
      <w:tblPr>
        <w:tblW w:w="920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400"/>
        <w:gridCol w:w="1600"/>
        <w:gridCol w:w="1200"/>
        <w:gridCol w:w="1400"/>
        <w:gridCol w:w="2600"/>
      </w:tblGrid>
      <w:tr>
        <w:trPr>
          <w:tblHeader/>
        </w:trPr>
        <w:tc>
          <w:tcPr>
            <w:tcW w:w="2400" w:type="dxa"/>
            <w:shd w:val="clear" w:color="auto" w:fill="2E5BA8"/>
          </w:tcPr>
          <w:p>
            <w:r>
              <w:rPr>
                <w:b/>
                <w:color w:val="FFFFFF"/>
              </w:rPr>
              <w:t xml:space="preserve">Denominator</w:t>
            </w:r>
          </w:p>
        </w:tc>
        <w:tc>
          <w:tcPr>
            <w:tcW w:w="1600" w:type="dxa"/>
            <w:shd w:val="clear" w:color="auto" w:fill="2E5BA8"/>
          </w:tcPr>
          <w:p>
            <w:r>
              <w:rPr>
                <w:b/>
                <w:color w:val="FFFFFF"/>
              </w:rPr>
              <w:t xml:space="preserve">SO Published</w:t>
            </w:r>
          </w:p>
        </w:tc>
        <w:tc>
          <w:tcPr>
            <w:tcW w:w="1200" w:type="dxa"/>
            <w:shd w:val="clear" w:color="auto" w:fill="2E5BA8"/>
          </w:tcPr>
          <w:p>
            <w:r>
              <w:rPr>
                <w:b/>
                <w:color w:val="FFFFFF"/>
              </w:rPr>
              <w:t xml:space="preserve">CSV Count</w:t>
            </w:r>
          </w:p>
        </w:tc>
        <w:tc>
          <w:tcPr>
            <w:tcW w:w="1400" w:type="dxa"/>
            <w:shd w:val="clear" w:color="auto" w:fill="2E5BA8"/>
          </w:tcPr>
          <w:p>
            <w:r>
              <w:rPr>
                <w:b/>
                <w:color w:val="FFFFFF"/>
              </w:rPr>
              <w:t xml:space="preserve">Used in Analysis</w:t>
            </w:r>
          </w:p>
        </w:tc>
        <w:tc>
          <w:tcPr>
            <w:tcW w:w="2600" w:type="dxa"/>
            <w:shd w:val="clear" w:color="auto" w:fill="2E5BA8"/>
          </w:tcPr>
          <w:p>
            <w:r>
              <w:rPr>
                <w:b/>
                <w:color w:val="FFFFFF"/>
              </w:rPr>
              <w:t xml:space="preserve">Notes</w:t>
            </w:r>
          </w:p>
        </w:tc>
      </w:tr>
      <w:tr>
        <w:trPr/>
        <w:tc>
          <w:tcPr>
            <w:tcW w:w="2400" w:type="dxa"/>
            <w:shd w:val="clear" w:color="auto" w:fill="F5F8FF"/>
          </w:tcPr>
          <w:p>
            <w:r>
              <w:t xml:space="preserve">2025 total responses</w:t>
            </w:r>
          </w:p>
        </w:tc>
        <w:tc>
          <w:tcPr>
            <w:tcW w:w="1600" w:type="dxa"/>
            <w:shd w:val="clear" w:color="auto" w:fill="F5F8FF"/>
          </w:tcPr>
          <w:p>
            <w:r>
              <w:t xml:space="preserve">49,009 (methodology page)</w:t>
            </w:r>
          </w:p>
        </w:tc>
        <w:tc>
          <w:tcPr>
            <w:tcW w:w="1200" w:type="dxa"/>
            <w:shd w:val="clear" w:color="auto" w:fill="F5F8FF"/>
          </w:tcPr>
          <w:p>
            <w:r>
              <w:t xml:space="preserve">49,191</w:t>
            </w:r>
          </w:p>
        </w:tc>
        <w:tc>
          <w:tcPr>
            <w:tcW w:w="1400" w:type="dxa"/>
            <w:shd w:val="clear" w:color="auto" w:fill="F5F8FF"/>
          </w:tcPr>
          <w:p>
            <w:r>
              <w:t xml:space="preserve">49,191</w:t>
            </w:r>
          </w:p>
        </w:tc>
        <w:tc>
          <w:tcPr>
            <w:tcW w:w="2600" w:type="dxa"/>
            <w:shd w:val="clear" w:color="auto" w:fill="F5F8FF"/>
          </w:tcPr>
          <w:p>
            <w:r>
              <w:t xml:space="preserve">Difference of 182 rows; likely post-publication quality filtering. Combined headline 203,812 uses CSV counts; SO figure yields ~203,630.</w:t>
            </w:r>
          </w:p>
        </w:tc>
      </w:tr>
      <w:tr>
        <w:trPr/>
        <w:tc>
          <w:tcPr>
            <w:tcW w:w="2400" w:type="dxa"/>
            <w:shd w:val="clear" w:color="auto" w:fill="FFFFFF"/>
          </w:tcPr>
          <w:p>
            <w:r>
              <w:t xml:space="preserve">2025 AISelect respondents</w:t>
            </w:r>
          </w:p>
        </w:tc>
        <w:tc>
          <w:tcPr>
            <w:tcW w:w="1600" w:type="dxa"/>
            <w:shd w:val="clear" w:color="auto" w:fill="FFFFFF"/>
          </w:tcPr>
          <w:p>
            <w:r>
              <w:t xml:space="preserve">33,662 (AI page)</w:t>
            </w:r>
          </w:p>
        </w:tc>
        <w:tc>
          <w:tcPr>
            <w:tcW w:w="1200" w:type="dxa"/>
            <w:shd w:val="clear" w:color="auto" w:fill="FFFFFF"/>
          </w:tcPr>
          <w:p>
            <w:r>
              <w:t xml:space="preserve">33,720</w:t>
            </w:r>
          </w:p>
        </w:tc>
        <w:tc>
          <w:tcPr>
            <w:tcW w:w="1400" w:type="dxa"/>
            <w:shd w:val="clear" w:color="auto" w:fill="FFFFFF"/>
          </w:tcPr>
          <w:p>
            <w:r>
              <w:t xml:space="preserve">33,720</w:t>
            </w:r>
          </w:p>
        </w:tc>
        <w:tc>
          <w:tcPr>
            <w:tcW w:w="2600" w:type="dxa"/>
            <w:shd w:val="clear" w:color="auto" w:fill="FFFFFF"/>
          </w:tcPr>
          <w:p>
            <w:r>
              <w:t xml:space="preserve">Difference of 58. Analytical sample of 33,231 derived from CSV.</w:t>
            </w:r>
          </w:p>
        </w:tc>
      </w:tr>
      <w:tr>
        <w:trPr/>
        <w:tc>
          <w:tcPr>
            <w:tcW w:w="2400" w:type="dxa"/>
            <w:shd w:val="clear" w:color="auto" w:fill="F5F8FF"/>
          </w:tcPr>
          <w:p>
            <w:r>
              <w:t xml:space="preserve">2025 professional devs (total)</w:t>
            </w:r>
          </w:p>
        </w:tc>
        <w:tc>
          <w:tcPr>
            <w:tcW w:w="1600" w:type="dxa"/>
            <w:shd w:val="clear" w:color="auto" w:fill="F5F8FF"/>
          </w:tcPr>
          <w:p>
            <w:r>
              <w:t xml:space="preserve">37,356 (results page)</w:t>
            </w:r>
          </w:p>
        </w:tc>
        <w:tc>
          <w:tcPr>
            <w:tcW w:w="1200" w:type="dxa"/>
            <w:shd w:val="clear" w:color="auto" w:fill="F5F8FF"/>
          </w:tcPr>
          <w:p>
            <w:r>
              <w:t xml:space="preserve">37,467</w:t>
            </w:r>
          </w:p>
        </w:tc>
        <w:tc>
          <w:tcPr>
            <w:tcW w:w="1400" w:type="dxa"/>
            <w:shd w:val="clear" w:color="auto" w:fill="F5F8FF"/>
          </w:tcPr>
          <w:p>
            <w:r>
              <w:t xml:space="preserve">Reported as 37,467</w:t>
            </w:r>
          </w:p>
        </w:tc>
        <w:tc>
          <w:tcPr>
            <w:tcW w:w="2600" w:type="dxa"/>
            <w:shd w:val="clear" w:color="auto" w:fill="F5F8FF"/>
          </w:tcPr>
          <w:p>
            <w:r>
              <w:t xml:space="preserve">Difference of 111 rows; same versioning gap.</w:t>
            </w:r>
          </w:p>
        </w:tc>
      </w:tr>
      <w:tr>
        <w:trPr/>
        <w:tc>
          <w:tcPr>
            <w:tcW w:w="2400" w:type="dxa"/>
            <w:shd w:val="clear" w:color="auto" w:fill="FFFFFF"/>
          </w:tcPr>
          <w:p>
            <w:r>
              <w:t xml:space="preserve">2025 prof. devs — AISelect</w:t>
            </w:r>
          </w:p>
        </w:tc>
        <w:tc>
          <w:tcPr>
            <w:tcW w:w="1600" w:type="dxa"/>
            <w:shd w:val="clear" w:color="auto" w:fill="FFFFFF"/>
          </w:tcPr>
          <w:p>
            <w:r>
              <w:t xml:space="preserve">26,004 (AI page)</w:t>
            </w:r>
          </w:p>
        </w:tc>
        <w:tc>
          <w:tcPr>
            <w:tcW w:w="1200" w:type="dxa"/>
            <w:shd w:val="clear" w:color="auto" w:fill="FFFFFF"/>
          </w:tcPr>
          <w:p>
            <w:r>
              <w:t xml:space="preserve">26,045</w:t>
            </w:r>
          </w:p>
        </w:tc>
        <w:tc>
          <w:tcPr>
            <w:tcW w:w="1400" w:type="dxa"/>
            <w:shd w:val="clear" w:color="auto" w:fill="FFFFFF"/>
          </w:tcPr>
          <w:p>
            <w:r>
              <w:t xml:space="preserve">26,045</w:t>
            </w:r>
          </w:p>
        </w:tc>
        <w:tc>
          <w:tcPr>
            <w:tcW w:w="2600" w:type="dxa"/>
            <w:shd w:val="clear" w:color="auto" w:fill="FFFFFF"/>
          </w:tcPr>
          <w:p>
            <w:r>
              <w:t xml:space="preserve">Used to compute 50.6% daily rate, consistent with SO's published 51%.</w:t>
            </w:r>
          </w:p>
        </w:tc>
      </w:tr>
      <w:tr>
        <w:trPr/>
        <w:tc>
          <w:tcPr>
            <w:tcW w:w="2400" w:type="dxa"/>
            <w:shd w:val="clear" w:color="auto" w:fill="F5F8FF"/>
          </w:tcPr>
          <w:p>
            <w:r>
              <w:t xml:space="preserve">2025 AIAgents respondents</w:t>
            </w:r>
          </w:p>
        </w:tc>
        <w:tc>
          <w:tcPr>
            <w:tcW w:w="1600" w:type="dxa"/>
            <w:shd w:val="clear" w:color="auto" w:fill="F5F8FF"/>
          </w:tcPr>
          <w:p>
            <w:r>
              <w:t xml:space="preserve">31,877 (AI page)</w:t>
            </w:r>
          </w:p>
        </w:tc>
        <w:tc>
          <w:tcPr>
            <w:tcW w:w="1200" w:type="dxa"/>
            <w:shd w:val="clear" w:color="auto" w:fill="F5F8FF"/>
          </w:tcPr>
          <w:p>
            <w:r>
              <w:t xml:space="preserve">31,919</w:t>
            </w:r>
          </w:p>
        </w:tc>
        <w:tc>
          <w:tcPr>
            <w:tcW w:w="1400" w:type="dxa"/>
            <w:shd w:val="clear" w:color="auto" w:fill="F5F8FF"/>
          </w:tcPr>
          <w:p>
            <w:r>
              <w:t xml:space="preserve">Not used directly</w:t>
            </w:r>
          </w:p>
        </w:tc>
        <w:tc>
          <w:tcPr>
            <w:tcW w:w="2600" w:type="dxa"/>
            <w:shd w:val="clear" w:color="auto" w:fill="F5F8FF"/>
          </w:tcPr>
          <w:p>
            <w:r>
              <w:t xml:space="preserve">AgentScore imputed for 1,312 in clustering sample (see A.6).</w:t>
            </w:r>
          </w:p>
        </w:tc>
      </w:tr>
      <w:tr>
        <w:trPr/>
        <w:tc>
          <w:tcPr>
            <w:tcW w:w="2400" w:type="dxa"/>
            <w:shd w:val="clear" w:color="auto" w:fill="FFFFFF"/>
          </w:tcPr>
          <w:p>
            <w:r>
              <w:t xml:space="preserve">2023 countries</w:t>
            </w:r>
          </w:p>
        </w:tc>
        <w:tc>
          <w:tcPr>
            <w:tcW w:w="1600" w:type="dxa"/>
            <w:shd w:val="clear" w:color="auto" w:fill="FFFFFF"/>
          </w:tcPr>
          <w:p>
            <w:r>
              <w:t xml:space="preserve">185 (methodology)</w:t>
            </w:r>
          </w:p>
        </w:tc>
        <w:tc>
          <w:tcPr>
            <w:tcW w:w="1200" w:type="dxa"/>
            <w:shd w:val="clear" w:color="auto" w:fill="FFFFFF"/>
          </w:tcPr>
          <w:p>
            <w:r>
              <w:t xml:space="preserve">185 distinct</w:t>
            </w:r>
          </w:p>
        </w:tc>
        <w:tc>
          <w:tcPr>
            <w:tcW w:w="1400" w:type="dxa"/>
            <w:shd w:val="clear" w:color="auto" w:fill="FFFFFF"/>
          </w:tcPr>
          <w:p>
            <w:r>
              <w:t xml:space="preserve">185</w:t>
            </w:r>
          </w:p>
        </w:tc>
        <w:tc>
          <w:tcPr>
            <w:tcW w:w="2600" w:type="dxa"/>
            <w:shd w:val="clear" w:color="auto" w:fill="FFFFFF"/>
          </w:tcPr>
          <w:p>
            <w:r>
              <w:t xml:space="preserve">✓ Match</w:t>
            </w:r>
          </w:p>
        </w:tc>
      </w:tr>
      <w:tr>
        <w:trPr/>
        <w:tc>
          <w:tcPr>
            <w:tcW w:w="2400" w:type="dxa"/>
            <w:shd w:val="clear" w:color="auto" w:fill="F5F8FF"/>
          </w:tcPr>
          <w:p>
            <w:r>
              <w:t xml:space="preserve">2024 countries</w:t>
            </w:r>
          </w:p>
        </w:tc>
        <w:tc>
          <w:tcPr>
            <w:tcW w:w="1600" w:type="dxa"/>
            <w:shd w:val="clear" w:color="auto" w:fill="F5F8FF"/>
          </w:tcPr>
          <w:p>
            <w:r>
              <w:t xml:space="preserve">185 (methodology)</w:t>
            </w:r>
          </w:p>
        </w:tc>
        <w:tc>
          <w:tcPr>
            <w:tcW w:w="1200" w:type="dxa"/>
            <w:shd w:val="clear" w:color="auto" w:fill="F5F8FF"/>
          </w:tcPr>
          <w:p>
            <w:r>
              <w:t xml:space="preserve">185 distinct</w:t>
            </w:r>
          </w:p>
        </w:tc>
        <w:tc>
          <w:tcPr>
            <w:tcW w:w="1400" w:type="dxa"/>
            <w:shd w:val="clear" w:color="auto" w:fill="F5F8FF"/>
          </w:tcPr>
          <w:p>
            <w:r>
              <w:t xml:space="preserve">185</w:t>
            </w:r>
          </w:p>
        </w:tc>
        <w:tc>
          <w:tcPr>
            <w:tcW w:w="2600" w:type="dxa"/>
            <w:shd w:val="clear" w:color="auto" w:fill="F5F8FF"/>
          </w:tcPr>
          <w:p>
            <w:r>
              <w:t xml:space="preserve">✓ Match</w:t>
            </w:r>
          </w:p>
        </w:tc>
      </w:tr>
      <w:tr>
        <w:trPr/>
        <w:tc>
          <w:tcPr>
            <w:tcW w:w="2400" w:type="dxa"/>
            <w:shd w:val="clear" w:color="auto" w:fill="FFFFFF"/>
          </w:tcPr>
          <w:p>
            <w:r>
              <w:t xml:space="preserve">2025 countries</w:t>
            </w:r>
          </w:p>
        </w:tc>
        <w:tc>
          <w:tcPr>
            <w:tcW w:w="1600" w:type="dxa"/>
            <w:shd w:val="clear" w:color="auto" w:fill="FFFFFF"/>
          </w:tcPr>
          <w:p>
            <w:r>
              <w:t xml:space="preserve">177 (methodology)</w:t>
            </w:r>
          </w:p>
        </w:tc>
        <w:tc>
          <w:tcPr>
            <w:tcW w:w="1200" w:type="dxa"/>
            <w:shd w:val="clear" w:color="auto" w:fill="FFFFFF"/>
          </w:tcPr>
          <w:p>
            <w:r>
              <w:t xml:space="preserve">177 distinct</w:t>
            </w:r>
          </w:p>
        </w:tc>
        <w:tc>
          <w:tcPr>
            <w:tcW w:w="1400" w:type="dxa"/>
            <w:shd w:val="clear" w:color="auto" w:fill="FFFFFF"/>
          </w:tcPr>
          <w:p>
            <w:r>
              <w:t xml:space="preserve">177</w:t>
            </w:r>
          </w:p>
        </w:tc>
        <w:tc>
          <w:tcPr>
            <w:tcW w:w="2600" w:type="dxa"/>
            <w:shd w:val="clear" w:color="auto" w:fill="FFFFFF"/>
          </w:tcPr>
          <w:p>
            <w:r>
              <w:t xml:space="preserve">✓ Match</w:t>
            </w:r>
          </w:p>
        </w:tc>
      </w:tr>
      <w:tr>
        <w:trPr/>
        <w:tc>
          <w:tcPr>
            <w:tcW w:w="2400" w:type="dxa"/>
            <w:shd w:val="clear" w:color="auto" w:fill="F5F8FF"/>
          </w:tcPr>
          <w:p>
            <w:r>
              <w:t xml:space="preserve">2023 AISelect respondents</w:t>
            </w:r>
          </w:p>
        </w:tc>
        <w:tc>
          <w:tcPr>
            <w:tcW w:w="1600" w:type="dxa"/>
            <w:shd w:val="clear" w:color="auto" w:fill="F5F8FF"/>
          </w:tcPr>
          <w:p>
            <w:r>
              <w:t xml:space="preserve">89,184 (all respondents)</w:t>
            </w:r>
          </w:p>
        </w:tc>
        <w:tc>
          <w:tcPr>
            <w:tcW w:w="1200" w:type="dxa"/>
            <w:shd w:val="clear" w:color="auto" w:fill="F5F8FF"/>
          </w:tcPr>
          <w:p>
            <w:r>
              <w:t xml:space="preserve">87,973 answered AISelect</w:t>
            </w:r>
          </w:p>
        </w:tc>
        <w:tc>
          <w:tcPr>
            <w:tcW w:w="1400" w:type="dxa"/>
            <w:shd w:val="clear" w:color="auto" w:fill="F5F8FF"/>
          </w:tcPr>
          <w:p>
            <w:r>
              <w:t xml:space="preserve">87,973</w:t>
            </w:r>
          </w:p>
        </w:tc>
        <w:tc>
          <w:tcPr>
            <w:tcW w:w="2600" w:type="dxa"/>
            <w:shd w:val="clear" w:color="auto" w:fill="F5F8FF"/>
          </w:tcPr>
          <w:p>
            <w:r>
              <w:t xml:space="preserve">Paper uses 87,973 denominator → 44.4%. SO published 43.78% uses 89,184. Same 39,042 current users; difference is denominator choice.</w:t>
            </w:r>
          </w:p>
        </w:tc>
      </w:tr>
    </w:tbl>
    <w:p>
      <w:r>
        <w:t xml:space="preserve">A.6  Variable Recode Documentation</w:t>
      </w:r>
    </w:p>
    <w:p>
      <w:r>
        <w:t xml:space="preserve">The following table documents every collapsed recode applied to survey response categories. All mapping decisions were made before model fitting and held constant throughout.</w:t>
      </w:r>
    </w:p>
    <w:tbl>
      <w:tblPr>
        <w:tblW w:w="9200" w:type="dxa"/>
        <w:tblBorders>
          <w:top w:val="single" w:sz="4" w:color="C5CAD6"/>
          <w:left w:val="single" w:sz="4" w:color="C5CAD6"/>
          <w:bottom w:val="single" w:sz="4" w:color="C5CAD6"/>
          <w:right w:val="single" w:sz="4" w:color="C5CAD6"/>
          <w:insideH w:val="single" w:sz="4" w:color="C5CAD6"/>
          <w:insideV w:val="single" w:sz="4" w:color="C5CAD6"/>
        </w:tblBorders>
      </w:tblPr>
      <w:tblGrid>
        <w:gridCol w:w="2000"/>
        <w:gridCol w:w="3800"/>
        <w:gridCol w:w="3400"/>
      </w:tblGrid>
      <w:tr>
        <w:trPr>
          <w:tblHeader/>
        </w:trPr>
        <w:tc>
          <w:tcPr>
            <w:tcW w:w="2000" w:type="dxa"/>
            <w:shd w:val="clear" w:color="auto" w:fill="2E5BA8"/>
          </w:tcPr>
          <w:p>
            <w:r>
              <w:rPr>
                <w:b/>
                <w:color w:val="FFFFFF"/>
              </w:rPr>
              <w:t xml:space="preserve">Variable / Source</w:t>
            </w:r>
          </w:p>
        </w:tc>
        <w:tc>
          <w:tcPr>
            <w:tcW w:w="3800" w:type="dxa"/>
            <w:shd w:val="clear" w:color="auto" w:fill="2E5BA8"/>
          </w:tcPr>
          <w:p>
            <w:r>
              <w:rPr>
                <w:b/>
                <w:color w:val="FFFFFF"/>
              </w:rPr>
              <w:t xml:space="preserve">Response → Score Mapping</w:t>
            </w:r>
          </w:p>
        </w:tc>
        <w:tc>
          <w:tcPr>
            <w:tcW w:w="3400" w:type="dxa"/>
            <w:shd w:val="clear" w:color="auto" w:fill="2E5BA8"/>
          </w:tcPr>
          <w:p>
            <w:r>
              <w:rPr>
                <w:b/>
                <w:color w:val="FFFFFF"/>
              </w:rPr>
              <w:t xml:space="preserve">Notes</w:t>
            </w:r>
          </w:p>
        </w:tc>
      </w:tr>
      <w:tr>
        <w:trPr>
          <w:cantSplit w:val="1"/>
        </w:trPr>
        <w:tc>
          <w:tcPr>
            <w:tcW w:w="2000" w:type="dxa"/>
            <w:shd w:val="clear" w:color="auto" w:fill="F5F8FF"/>
          </w:tcPr>
          <w:p>
            <w:r>
              <w:t xml:space="preserve">AIUsageScore
(0–4)
Source: AISelect</w:t>
            </w:r>
          </w:p>
        </w:tc>
        <w:tc>
          <w:tcPr>
            <w:tcW w:w="3800" w:type="dxa"/>
            <w:shd w:val="clear" w:color="auto" w:fill="F5F8FF"/>
          </w:tcPr>
          <w:p>
            <w:pPr>
              <w:spacing w:after="60"/>
            </w:pPr>
            <w:r>
              <w:rPr>
                <w:rFonts w:ascii="Courier New"/>
              </w:rPr>
              <w:t xml:space="preserve">'Yes, I use AI tools daily' → 4</w:t>
            </w:r>
            <w:r>
              <w:br/>
            </w:r>
            <w:r>
              <w:rPr>
                <w:rFonts w:ascii="Courier New"/>
              </w:rPr>
              <w:t xml:space="preserve">'Yes, I use AI tools weekly' → 3</w:t>
            </w:r>
            <w:r>
              <w:br/>
            </w:r>
            <w:r>
              <w:rPr>
                <w:rFonts w:ascii="Courier New"/>
              </w:rPr>
              <w:t xml:space="preserve">'Yes, I use AI tools monthly or infrequently' → 2</w:t>
            </w:r>
            <w:r>
              <w:br/>
            </w:r>
            <w:r>
              <w:rPr>
                <w:rFonts w:ascii="Courier New"/>
              </w:rPr>
              <w:t xml:space="preserve">'No, but I plan to soon' → 1</w:t>
            </w:r>
            <w:r>
              <w:br/>
            </w:r>
            <w:r>
              <w:rPr>
                <w:rFonts w:ascii="Courier New"/>
              </w:rPr>
              <w:t xml:space="preserve">"No, and I don't plan to" → 0</w:t>
            </w:r>
            <w:r>
              <w:br/>
            </w:r>
          </w:p>
        </w:tc>
        <w:tc>
          <w:tcPr>
            <w:tcW w:w="3400" w:type="dxa"/>
            <w:shd w:val="clear" w:color="auto" w:fill="F5F8FF"/>
          </w:tcPr>
          <w:p>
            <w:r>
              <w:t xml:space="preserve">Required feature; missing values excluded from clustering sample.</w:t>
            </w:r>
          </w:p>
        </w:tc>
      </w:tr>
      <w:tr>
        <w:trPr>
          <w:cantSplit w:val="1"/>
        </w:trPr>
        <w:tc>
          <w:tcPr>
            <w:tcW w:w="2000" w:type="dxa"/>
            <w:shd w:val="clear" w:color="auto" w:fill="FFFFFF"/>
          </w:tcPr>
          <w:p>
            <w:r>
              <w:t xml:space="preserve">AITrustScore
(0–4)
Source: AIAcc</w:t>
            </w:r>
          </w:p>
        </w:tc>
        <w:tc>
          <w:tcPr>
            <w:tcW w:w="3800" w:type="dxa"/>
            <w:shd w:val="clear" w:color="auto" w:fill="FFFFFF"/>
          </w:tcPr>
          <w:p>
            <w:pPr>
              <w:spacing w:after="60"/>
            </w:pPr>
            <w:r>
              <w:rPr>
                <w:rFonts w:ascii="Courier New"/>
              </w:rPr>
              <w:t xml:space="preserve">'Highly trust' → 4</w:t>
            </w:r>
            <w:r>
              <w:br/>
            </w:r>
            <w:r>
              <w:rPr>
                <w:rFonts w:ascii="Courier New"/>
              </w:rPr>
              <w:t xml:space="preserve">'Somewhat trust' → 3</w:t>
            </w:r>
            <w:r>
              <w:br/>
            </w:r>
            <w:r>
              <w:rPr>
                <w:rFonts w:ascii="Courier New"/>
              </w:rPr>
              <w:t xml:space="preserve">'Neither trust nor distrust' → 2</w:t>
            </w:r>
            <w:r>
              <w:br/>
            </w:r>
            <w:r>
              <w:rPr>
                <w:rFonts w:ascii="Courier New"/>
              </w:rPr>
              <w:t xml:space="preserve">'Somewhat distrust' → 1</w:t>
            </w:r>
            <w:r>
              <w:br/>
            </w:r>
            <w:r>
              <w:rPr>
                <w:rFonts w:ascii="Courier New"/>
              </w:rPr>
              <w:t xml:space="preserve">'Highly distrust' → 0</w:t>
            </w:r>
            <w:r>
              <w:br/>
            </w:r>
          </w:p>
        </w:tc>
        <w:tc>
          <w:tcPr>
            <w:tcW w:w="3400" w:type="dxa"/>
            <w:shd w:val="clear" w:color="auto" w:fill="FFFFFF"/>
          </w:tcPr>
          <w:p>
            <w:r>
              <w:t xml:space="preserve">Required feature; missing excluded. Note: column name AIBen in 2023, AIAcc in 2024–2025.</w:t>
            </w:r>
          </w:p>
        </w:tc>
      </w:tr>
      <w:tr>
        <w:trPr>
          <w:cantSplit w:val="1"/>
        </w:trPr>
        <w:tc>
          <w:tcPr>
            <w:tcW w:w="2000" w:type="dxa"/>
            <w:shd w:val="clear" w:color="auto" w:fill="F5F8FF"/>
          </w:tcPr>
          <w:p>
            <w:r>
              <w:t xml:space="preserve">AISentScore
(0–5)
Source: AISent</w:t>
            </w:r>
          </w:p>
        </w:tc>
        <w:tc>
          <w:tcPr>
            <w:tcW w:w="3800" w:type="dxa"/>
            <w:shd w:val="clear" w:color="auto" w:fill="F5F8FF"/>
          </w:tcPr>
          <w:p>
            <w:pPr>
              <w:spacing w:after="60"/>
            </w:pPr>
            <w:r>
              <w:rPr>
                <w:rFonts w:ascii="Courier New"/>
              </w:rPr>
              <w:t xml:space="preserve">'Very favorable' → 5</w:t>
            </w:r>
            <w:r>
              <w:br/>
            </w:r>
            <w:r>
              <w:rPr>
                <w:rFonts w:ascii="Courier New"/>
              </w:rPr>
              <w:t xml:space="preserve">'Favorable' → 4</w:t>
            </w:r>
            <w:r>
              <w:br/>
            </w:r>
            <w:r>
              <w:rPr>
                <w:rFonts w:ascii="Courier New"/>
              </w:rPr>
              <w:t xml:space="preserve">'Indifferent' → 3</w:t>
            </w:r>
            <w:r>
              <w:br/>
            </w:r>
            <w:r>
              <w:rPr>
                <w:rFonts w:ascii="Courier New"/>
              </w:rPr>
              <w:t xml:space="preserve">'Unsure' → 2</w:t>
            </w:r>
            <w:r>
              <w:br/>
            </w:r>
            <w:r>
              <w:rPr>
                <w:rFonts w:ascii="Courier New"/>
              </w:rPr>
              <w:t xml:space="preserve">'Unfavorable' → 1</w:t>
            </w:r>
            <w:r>
              <w:br/>
            </w:r>
            <w:r>
              <w:rPr>
                <w:rFonts w:ascii="Courier New"/>
              </w:rPr>
              <w:t xml:space="preserve">'Very unfavorable' → 0</w:t>
            </w:r>
            <w:r>
              <w:br/>
            </w:r>
          </w:p>
        </w:tc>
        <w:tc>
          <w:tcPr>
            <w:tcW w:w="3400" w:type="dxa"/>
            <w:shd w:val="clear" w:color="auto" w:fill="F5F8FF"/>
          </w:tcPr>
          <w:p>
            <w:r>
              <w:t xml:space="preserve">Required feature; missing excluded.</w:t>
            </w:r>
          </w:p>
        </w:tc>
      </w:tr>
      <w:tr>
        <w:trPr>
          <w:cantSplit w:val="1"/>
        </w:trPr>
        <w:tc>
          <w:tcPr>
            <w:tcW w:w="2000" w:type="dxa"/>
            <w:shd w:val="clear" w:color="auto" w:fill="FFFFFF"/>
          </w:tcPr>
          <w:p>
            <w:r>
              <w:t xml:space="preserve">AIComplexScore
(0–5)
Source: AIComplex</w:t>
            </w:r>
          </w:p>
        </w:tc>
        <w:tc>
          <w:tcPr>
            <w:tcW w:w="3800" w:type="dxa"/>
            <w:shd w:val="clear" w:color="auto" w:fill="FFFFFF"/>
          </w:tcPr>
          <w:p>
            <w:pPr>
              <w:spacing w:after="60"/>
            </w:pPr>
            <w:r>
              <w:rPr>
                <w:rFonts w:ascii="Courier New"/>
              </w:rPr>
              <w:t xml:space="preserve">'Very well at handling complex tasks' → 5</w:t>
            </w:r>
            <w:r>
              <w:br/>
            </w:r>
            <w:r>
              <w:rPr>
                <w:rFonts w:ascii="Courier New"/>
              </w:rPr>
              <w:t xml:space="preserve">'Good, but not great...' → 4</w:t>
            </w:r>
            <w:r>
              <w:br/>
            </w:r>
            <w:r>
              <w:rPr>
                <w:rFonts w:ascii="Courier New"/>
              </w:rPr>
              <w:t xml:space="preserve">'Neither good or bad...' → 3</w:t>
            </w:r>
            <w:r>
              <w:br/>
            </w:r>
            <w:r>
              <w:rPr>
                <w:rFonts w:ascii="Courier New"/>
              </w:rPr>
              <w:t xml:space="preserve">"I don't use AI tools / I don't know" → 2 ⚠</w:t>
            </w:r>
            <w:r>
              <w:br/>
            </w:r>
            <w:r>
              <w:rPr>
                <w:rFonts w:ascii="Courier New"/>
              </w:rPr>
              <w:t xml:space="preserve">'Bad at handling complex tasks' → 1</w:t>
            </w:r>
            <w:r>
              <w:br/>
            </w:r>
            <w:r>
              <w:rPr>
                <w:rFonts w:ascii="Courier New"/>
              </w:rPr>
              <w:t xml:space="preserve">'Very poor at handling complex tasks' → 0</w:t>
            </w:r>
            <w:r>
              <w:br/>
            </w:r>
          </w:p>
        </w:tc>
        <w:tc>
          <w:tcPr>
            <w:tcW w:w="3400" w:type="dxa"/>
            <w:shd w:val="clear" w:color="auto" w:fill="FFFFFF"/>
          </w:tcPr>
          <w:p>
            <w:r>
              <w:t xml:space="preserve">⚠ Non-evaluative opt-out mapped to 2 (same as neutral). Affects n=5,582 (16.8%). Missing imputed with median (3).</w:t>
            </w:r>
          </w:p>
        </w:tc>
      </w:tr>
      <w:tr>
        <w:trPr>
          <w:cantSplit w:val="1"/>
        </w:trPr>
        <w:tc>
          <w:tcPr>
            <w:tcW w:w="2000" w:type="dxa"/>
            <w:shd w:val="clear" w:color="auto" w:fill="F5F8FF"/>
          </w:tcPr>
          <w:p>
            <w:r>
              <w:t xml:space="preserve">AgentScore
(0–2)
Source: AIAgents</w:t>
            </w:r>
          </w:p>
        </w:tc>
        <w:tc>
          <w:tcPr>
            <w:tcW w:w="3800" w:type="dxa"/>
            <w:shd w:val="clear" w:color="auto" w:fill="F5F8FF"/>
          </w:tcPr>
          <w:p>
            <w:pPr>
              <w:spacing w:after="60"/>
            </w:pPr>
            <w:r>
              <w:rPr>
                <w:rFonts w:ascii="Courier New"/>
              </w:rPr>
              <w:t xml:space="preserve">'Yes, daily' → 2</w:t>
            </w:r>
            <w:r>
              <w:br/>
            </w:r>
            <w:r>
              <w:rPr>
                <w:rFonts w:ascii="Courier New"/>
              </w:rPr>
              <w:t xml:space="preserve">'Yes, weekly' → 2</w:t>
            </w:r>
            <w:r>
              <w:br/>
            </w:r>
            <w:r>
              <w:rPr>
                <w:rFonts w:ascii="Courier New"/>
              </w:rPr>
              <w:t xml:space="preserve">'Yes, monthly/infrequently' → 1</w:t>
            </w:r>
            <w:r>
              <w:br/>
            </w:r>
            <w:r>
              <w:rPr>
                <w:rFonts w:ascii="Courier New"/>
              </w:rPr>
              <w:t xml:space="preserve">'No, but I plan to' → 1 ⚠</w:t>
            </w:r>
            <w:r>
              <w:br/>
            </w:r>
            <w:r>
              <w:rPr>
                <w:rFonts w:ascii="Courier New"/>
              </w:rPr>
              <w:t xml:space="preserve">'Copilot/autocomplete only' → 0</w:t>
            </w:r>
            <w:r>
              <w:br/>
            </w:r>
            <w:r>
              <w:rPr>
                <w:rFonts w:ascii="Courier New"/>
              </w:rPr>
              <w:t xml:space="preserve">"No, and I don't plan to" → 0</w:t>
            </w:r>
            <w:r>
              <w:br/>
            </w:r>
          </w:p>
        </w:tc>
        <w:tc>
          <w:tcPr>
            <w:tcW w:w="3400" w:type="dxa"/>
            <w:shd w:val="clear" w:color="auto" w:fill="F5F8FF"/>
          </w:tcPr>
          <w:p>
            <w:r>
              <w:t xml:space="preserve">⚠ Non-user intent (plan to) grouped with infrequent use. Missing imputed with median (0).</w:t>
            </w:r>
          </w:p>
        </w:tc>
      </w:tr>
      <w:tr>
        <w:trPr>
          <w:cantSplit w:val="1"/>
        </w:trPr>
        <w:tc>
          <w:tcPr>
            <w:tcW w:w="2000" w:type="dxa"/>
            <w:shd w:val="clear" w:color="auto" w:fill="FFFFFF"/>
          </w:tcPr>
          <w:p>
            <w:r>
              <w:t xml:space="preserve">LearnedAI
(0/1)
Source: LearnCodeAI</w:t>
            </w:r>
          </w:p>
        </w:tc>
        <w:tc>
          <w:tcPr>
            <w:tcW w:w="3800" w:type="dxa"/>
            <w:shd w:val="clear" w:color="auto" w:fill="FFFFFF"/>
          </w:tcPr>
          <w:p>
            <w:pPr>
              <w:spacing w:after="60"/>
            </w:pPr>
            <w:r>
              <w:rPr>
                <w:rFonts w:ascii="Courier New"/>
              </w:rPr>
              <w:t xml:space="preserve">Any 'Yes' response → 1</w:t>
            </w:r>
            <w:r>
              <w:br/>
            </w:r>
            <w:r>
              <w:rPr>
                <w:rFonts w:ascii="Courier New"/>
              </w:rPr>
              <w:t xml:space="preserve">All 'No' responses → 0</w:t>
            </w:r>
            <w:r>
              <w:br/>
            </w:r>
            <w:r>
              <w:rPr>
                <w:rFonts w:ascii="Courier New"/>
              </w:rPr>
              <w:t xml:space="preserve">Missing → 0</w:t>
            </w:r>
            <w:r>
              <w:br/>
            </w:r>
          </w:p>
        </w:tc>
        <w:tc>
          <w:tcPr>
            <w:tcW w:w="3400" w:type="dxa"/>
            <w:shd w:val="clear" w:color="auto" w:fill="FFFFFF"/>
          </w:tcPr>
          <w:p>
            <w:r>
              <w:t xml:space="preserve">Binary flag. Official question: "Did you spend time in the last year learning AI programming or AI-enabled tooling on your own or at work?"</w:t>
            </w:r>
          </w:p>
        </w:tc>
      </w:tr>
      <w:tr>
        <w:trPr>
          <w:cantSplit w:val="1"/>
        </w:trPr>
        <w:tc>
          <w:tcPr>
            <w:tcW w:w="2000" w:type="dxa"/>
            <w:shd w:val="clear" w:color="auto" w:fill="F5F8FF"/>
          </w:tcPr>
          <w:p>
            <w:r>
              <w:t xml:space="preserve">ThreatScore
(0/1)
Source: AIThreat</w:t>
            </w:r>
          </w:p>
        </w:tc>
        <w:tc>
          <w:tcPr>
            <w:tcW w:w="3800" w:type="dxa"/>
            <w:shd w:val="clear" w:color="auto" w:fill="F5F8FF"/>
          </w:tcPr>
          <w:p>
            <w:pPr>
              <w:spacing w:after="60"/>
            </w:pPr>
            <w:r>
              <w:rPr>
                <w:rFonts w:ascii="Courier New"/>
              </w:rPr>
              <w:t xml:space="preserve">'Yes' → 1</w:t>
            </w:r>
            <w:r>
              <w:br/>
            </w:r>
            <w:r>
              <w:rPr>
                <w:rFonts w:ascii="Courier New"/>
              </w:rPr>
              <w:t xml:space="preserve">'No' → 0</w:t>
            </w:r>
            <w:r>
              <w:br/>
            </w:r>
            <w:r>
              <w:rPr>
                <w:rFonts w:ascii="Courier New"/>
              </w:rPr>
              <w:t xml:space="preserve">"I'm not sure" → 0</w:t>
            </w:r>
            <w:r>
              <w:br/>
            </w:r>
          </w:p>
        </w:tc>
        <w:tc>
          <w:tcPr>
            <w:tcW w:w="3400" w:type="dxa"/>
            <w:shd w:val="clear" w:color="auto" w:fill="F5F8FF"/>
          </w:tcPr>
          <w:p>
            <w:r>
              <w:t xml:space="preserve">Binary flag. "Unsure" collapsed to 0 (not threatened). Deliberate simplification — see CODEBOOK.md for rationale.</w:t>
            </w:r>
          </w:p>
        </w:tc>
      </w:tr>
    </w:tbl>
    <w:p>
      <w:r>
        <w:t xml:space="preserve">Clustering sample construction: Respondents were retained if they had non-missing values on AIUsageScore, AITrustScore, and AISentScore (n=33,231 of 33,720 AISelect respondents). AgentScore and AIComplexScore were median-imputed for the 1,312 and 1,609 respondents missing those values respectively. LearnedAI missing values (n=489) were coded 0. This sample is distinct from ‘complete AI module data’: the AIAgents question had 31,919 non-missing responses in the CSV; AI frustrations had 31,476; AILearnHow had 28,172.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center"/>
    </w:pPr>
    <w:r>
      <w:rPr>
        <w:rFonts w:ascii="Arial" w:cs="Arial" w:eastAsia="Arial" w:hAnsi="Arial"/>
        <w:b w:val="false"/>
        <w:bCs w:val="false"/>
        <w:i w:val="false"/>
        <w:iCs w:val="false"/>
        <w:caps w:val="false"/>
        <w:color w:val="888888"/>
        <w:sz w:val="17"/>
        <w:szCs w:val="17"/>
      </w:rPr>
      <w:t xml:space="preserve">Imagination Applied  |  Research Series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before="0" w:after="160"/>
    </w:pPr>
    <w:r>
      <w:rPr>
        <w:rFonts w:ascii="Arial" w:cs="Arial" w:eastAsia="Arial" w:hAnsi="Arial"/>
        <w:b w:val="false"/>
        <w:bCs w:val="false"/>
        <w:i w:val="false"/>
        <w:iCs w:val="false"/>
        <w:caps w:val="false"/>
        <w:color w:val="888888"/>
        <w:sz w:val="18"/>
        <w:szCs w:val="18"/>
      </w:rPr>
      <w:t xml:space="preserve">Human–AI Work Patterns in Software Development</w:t>
    </w:r>
    <w:r>
      <w:rPr>
        <w:rFonts w:ascii="Arial" w:cs="Arial" w:eastAsia="Arial" w:hAnsi="Arial"/>
        <w:b w:val="false"/>
        <w:bCs w:val="false"/>
        <w:i w:val="false"/>
        <w:iCs w:val="false"/>
        <w:caps w:val="false"/>
        <w:color w:val="CCCCCC"/>
        <w:sz w:val="18"/>
        <w:szCs w:val="18"/>
      </w:rPr>
      <w:t xml:space="preserve">     |     </w:t>
    </w:r>
    <w:r>
      <w:rPr>
        <w:rFonts w:ascii="Arial" w:cs="Arial" w:eastAsia="Arial" w:hAnsi="Arial"/>
        <w:b w:val="false"/>
        <w:bCs w:val="false"/>
        <w:i/>
        <w:iCs/>
        <w:caps w:val="false"/>
        <w:color w:val="888888"/>
        <w:sz w:val="18"/>
        <w:szCs w:val="18"/>
      </w:rPr>
      <w:t xml:space="preserve">Stack Overflow Developer Survey Analysis  2023–2025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aps/>
      <w:color w:val="2E5BA8"/>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101" Type="http://schemas.openxmlformats.org/officeDocument/2006/relationships/image" Target="media/fig1_paradox.png"/><Relationship Id="rId102" Type="http://schemas.openxmlformats.org/officeDocument/2006/relationships/image" Target="media/fig2_archetypes.png"/><Relationship Id="rId103" Type="http://schemas.openxmlformats.org/officeDocument/2006/relationships/image" Target="media/fig3_importances.png"/><Relationship Id="rId104" Type="http://schemas.openxmlformats.org/officeDocument/2006/relationships/image" Target="media/fig4_dip.png"/><Relationship Id="rId105" Type="http://schemas.openxmlformats.org/officeDocument/2006/relationships/image" Target="media/fig5_learnin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2026-03-04T20:29:40.777Z</dcterms:created>
  <dcterms:modified xsi:type="dcterms:W3CDTF">2026-03-04T20:29:40.778Z</dcterms:modified>
</cp:coreProperties>
</file>

<file path=docProps/custom.xml><?xml version="1.0" encoding="utf-8"?>
<Properties xmlns="http://schemas.openxmlformats.org/officeDocument/2006/custom-properties" xmlns:vt="http://schemas.openxmlformats.org/officeDocument/2006/docPropsVTypes"/>
</file>