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</w:pPr>
      <w:r>
        <w:rPr>
          <w:rFonts w:ascii="Calibri" w:hAnsi="Calibri"/>
          <w:b/>
          <w:color w:val="C1912E"/>
          <w:sz w:val="20"/>
        </w:rPr>
        <w:t>EXECUTIVE BRIEF</w:t>
      </w:r>
    </w:p>
    <w:p>
      <w:pPr>
        <w:spacing w:after="100"/>
      </w:pPr>
      <w:r>
        <w:rPr>
          <w:rFonts w:ascii="Calibri" w:hAnsi="Calibri"/>
          <w:b/>
          <w:color w:val="102B33"/>
          <w:sz w:val="54"/>
        </w:rPr>
        <w:t>Favorable Stance Is Not Accuracy Trust</w:t>
      </w:r>
    </w:p>
    <w:p>
      <w:pPr>
        <w:spacing w:after="320"/>
        <w:pBdr>
          <w:bottom w:val="single" w:sz="14" w:space="4" w:color="2E776F"/>
        </w:pBdr>
      </w:pPr>
      <w:r>
        <w:rPr>
          <w:rFonts w:ascii="Calibri" w:hAnsi="Calibri"/>
          <w:color w:val="2E776F"/>
          <w:sz w:val="26"/>
        </w:rPr>
        <w:t>What 26,102 current AI users in the 2025 Stack Overflow survey reveal about reported use frequency</w:t>
      </w:r>
    </w:p>
    <w:p>
      <w:pPr>
        <w:spacing w:before="120" w:after="180"/>
        <w:ind w:left="259" w:right="259"/>
        <w:shd w:fill="EEF4F1"/>
      </w:pPr>
      <w:r>
        <w:rPr>
          <w:rFonts w:ascii="Calibri" w:hAnsi="Calibri"/>
          <w:b/>
          <w:color w:val="235347"/>
          <w:sz w:val="21"/>
        </w:rPr>
        <w:t xml:space="preserve">THE FINDING  </w:t>
      </w:r>
      <w:r>
        <w:rPr>
          <w:rFonts w:ascii="Calibri" w:hAnsi="Calibri"/>
          <w:color w:val="1F1F1F"/>
          <w:sz w:val="21"/>
        </w:rPr>
        <w:t>Among people already using AI, reported daily use is 18.8% for the very unfavorable and 88.1% for the very favorable. Favorable stance carries more classification information about daily versus less-frequent use than accuracy trust does. This is an association, not a causal effect.</w:t>
      </w:r>
    </w:p>
    <w:p>
      <w:pPr>
        <w:pStyle w:val="Heading1"/>
      </w:pPr>
      <w:r>
        <w:t>The numbers that matter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4ECE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2B33"/>
                <w:sz w:val="20"/>
              </w:rPr>
              <w:t>Result</w:t>
            </w:r>
          </w:p>
        </w:tc>
        <w:tc>
          <w:tcPr>
            <w:tcW w:type="dxa" w:w="7060"/>
            <w:shd w:fill="E4ECE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2B33"/>
                <w:sz w:val="20"/>
              </w:rPr>
              <w:t>Meaning</w:t>
            </w:r>
          </w:p>
        </w:tc>
      </w:tr>
      <w:tr>
        <w:tc>
          <w:tcPr>
            <w:tcW w:type="dxa" w:w="23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F1F1F"/>
                <w:sz w:val="20"/>
              </w:rPr>
              <w:t>0.758</w:t>
            </w:r>
          </w:p>
        </w:tc>
        <w:tc>
          <w:tcPr>
            <w:tcW w:type="dxa" w:w="7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20"/>
              </w:rPr>
              <w:t>Stance-only ROC AUC</w:t>
            </w:r>
          </w:p>
        </w:tc>
      </w:tr>
      <w:tr>
        <w:tc>
          <w:tcPr>
            <w:tcW w:type="dxa" w:w="23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F1F1F"/>
                <w:sz w:val="20"/>
              </w:rPr>
              <w:t>0.669</w:t>
            </w:r>
          </w:p>
        </w:tc>
        <w:tc>
          <w:tcPr>
            <w:tcW w:type="dxa" w:w="7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20"/>
              </w:rPr>
              <w:t>Trust-only ROC AUC</w:t>
            </w:r>
          </w:p>
        </w:tc>
      </w:tr>
      <w:tr>
        <w:tc>
          <w:tcPr>
            <w:tcW w:type="dxa" w:w="23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F1F1F"/>
                <w:sz w:val="20"/>
              </w:rPr>
              <w:t>0.704 -&gt; 0.790</w:t>
            </w:r>
          </w:p>
        </w:tc>
        <w:tc>
          <w:tcPr>
            <w:tcW w:type="dxa" w:w="7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20"/>
              </w:rPr>
              <w:t>Context + trust versus context + stance</w:t>
            </w:r>
          </w:p>
        </w:tc>
      </w:tr>
      <w:tr>
        <w:tc>
          <w:tcPr>
            <w:tcW w:type="dxa" w:w="23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F1F1F"/>
                <w:sz w:val="20"/>
              </w:rPr>
              <w:t>0.793</w:t>
            </w:r>
          </w:p>
        </w:tc>
        <w:tc>
          <w:tcPr>
            <w:tcW w:type="dxa" w:w="70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20"/>
              </w:rPr>
              <w:t>Complete-model ROC AUC</w:t>
            </w:r>
          </w:p>
        </w:tc>
      </w:tr>
    </w:tbl>
    <w:p>
      <w:pPr>
        <w:spacing w:before="60" w:after="80"/>
      </w:pPr>
      <w:r>
        <w:rPr>
          <w:rFonts w:ascii="Calibri" w:hAnsi="Calibri"/>
          <w:i/>
          <w:color w:val="5A6265"/>
          <w:sz w:val="16"/>
        </w:rPr>
        <w:t>Five-fold cross-validation among current users, n=26,102. Same-survey classification, not future forecasting.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69920"/>
            <wp:docPr id="1" name="Picture 1" descr="Line chart showing large differences in daily AI use across favorable-stance responses among current users." title="Daily-use rates and context-adjusted probabilities across favorable-stance responses among current us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_current_user_stance_gradi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A6265"/>
          <w:sz w:val="17"/>
        </w:rPr>
        <w:t>Daily-use rates and context-adjusted probabilities across favorable-stance responses among current users.</w:t>
      </w:r>
    </w:p>
    <w:p>
      <w:pPr>
        <w:pStyle w:val="Heading1"/>
      </w:pPr>
      <w:r>
        <w:t>The important distinction</w:t>
      </w:r>
    </w:p>
    <w:p>
      <w:r>
        <w:rPr>
          <w:rFonts w:ascii="Calibri" w:hAnsi="Calibri"/>
          <w:i w:val="0"/>
          <w:color w:val="1F1F1F"/>
        </w:rPr>
        <w:t>Favorable stance is a broad evaluation of using AI. Accuracy trust is a narrow belief about whether AI output is correct. The broader, more use-proximal item aligns more closely with frequency. That does not make stance a proven psychological driver or make trust unimportant.</w:t>
      </w:r>
    </w:p>
    <w:p>
      <w:pPr>
        <w:spacing w:before="120" w:after="180"/>
        <w:ind w:left="259" w:right="259"/>
        <w:shd w:fill="FCEFEA"/>
      </w:pPr>
      <w:r>
        <w:rPr>
          <w:rFonts w:ascii="Calibri" w:hAnsi="Calibri"/>
          <w:b/>
          <w:color w:val="235347"/>
          <w:sz w:val="21"/>
        </w:rPr>
        <w:t xml:space="preserve">A TOUGHER COMPARISON  </w:t>
      </w:r>
      <w:r>
        <w:rPr>
          <w:rFonts w:ascii="Calibri" w:hAnsi="Calibri"/>
          <w:color w:val="1F1F1F"/>
          <w:sz w:val="21"/>
        </w:rPr>
        <w:t>Among current users who highly distrust AI accuracy, daily use is 17.7% for the very unfavorable and 85.1% for the very favorable. A user can value AI while remaining skeptical enough to verify its outputs.</w:t>
      </w:r>
    </w:p>
    <w:p>
      <w:pPr>
        <w:pStyle w:val="Heading1"/>
      </w:pPr>
      <w:r>
        <w:t>What this changes for leaders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500"/>
        <w:gridCol w:w="5260"/>
      </w:tblGrid>
      <w:tr>
        <w:trPr>
          <w:tblHeader w:val="true"/>
        </w:trPr>
        <w:tc>
          <w:tcPr>
            <w:tcW w:type="dxa" w:w="600"/>
            <w:shd w:fill="E4ECE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2B33"/>
                <w:sz w:val="18"/>
              </w:rPr>
            </w:r>
          </w:p>
        </w:tc>
        <w:tc>
          <w:tcPr>
            <w:tcW w:type="dxa" w:w="3500"/>
            <w:shd w:fill="E4ECE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2B33"/>
                <w:sz w:val="18"/>
              </w:rPr>
              <w:t>Move</w:t>
            </w:r>
          </w:p>
        </w:tc>
        <w:tc>
          <w:tcPr>
            <w:tcW w:type="dxa" w:w="5260"/>
            <w:shd w:fill="E4ECE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2B33"/>
                <w:sz w:val="18"/>
              </w:rPr>
              <w:t>Why</w:t>
            </w:r>
          </w:p>
        </w:tc>
      </w:tr>
      <w:tr>
        <w:tc>
          <w:tcPr>
            <w:tcW w:type="dxa" w:w="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8"/>
              </w:rPr>
              <w:t>1</w:t>
            </w:r>
          </w:p>
        </w:tc>
        <w:tc>
          <w:tcPr>
            <w:tcW w:type="dxa" w:w="35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8"/>
              </w:rPr>
              <w:t>Track behavior, not access.</w:t>
            </w:r>
          </w:p>
        </w:tc>
        <w:tc>
          <w:tcPr>
            <w:tcW w:type="dxa" w:w="52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8"/>
              </w:rPr>
              <w:t>Measure frequency, task, workflow depth, and outcomes.</w:t>
            </w:r>
          </w:p>
        </w:tc>
      </w:tr>
      <w:tr>
        <w:tc>
          <w:tcPr>
            <w:tcW w:type="dxa" w:w="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8"/>
              </w:rPr>
              <w:t>2</w:t>
            </w:r>
          </w:p>
        </w:tc>
        <w:tc>
          <w:tcPr>
            <w:tcW w:type="dxa" w:w="35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8"/>
              </w:rPr>
              <w:t>Separate stance from accuracy trust.</w:t>
            </w:r>
          </w:p>
        </w:tc>
        <w:tc>
          <w:tcPr>
            <w:tcW w:type="dxa" w:w="52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8"/>
              </w:rPr>
              <w:t>One reflects broad value and fit; the other confidence in correctness.</w:t>
            </w:r>
          </w:p>
        </w:tc>
      </w:tr>
      <w:tr>
        <w:tc>
          <w:tcPr>
            <w:tcW w:type="dxa" w:w="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8"/>
              </w:rPr>
              <w:t>3</w:t>
            </w:r>
          </w:p>
        </w:tc>
        <w:tc>
          <w:tcPr>
            <w:tcW w:type="dxa" w:w="35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8"/>
              </w:rPr>
              <w:t>Optimize for calibrated reliance.</w:t>
            </w:r>
          </w:p>
        </w:tc>
        <w:tc>
          <w:tcPr>
            <w:tcW w:type="dxa" w:w="52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8"/>
              </w:rPr>
              <w:t>Seek useful, appropriately skeptical, well-verified use.</w:t>
            </w:r>
          </w:p>
        </w:tc>
      </w:tr>
      <w:tr>
        <w:tc>
          <w:tcPr>
            <w:tcW w:type="dxa" w:w="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8"/>
              </w:rPr>
              <w:t>4</w:t>
            </w:r>
          </w:p>
        </w:tc>
        <w:tc>
          <w:tcPr>
            <w:tcW w:type="dxa" w:w="35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8"/>
              </w:rPr>
              <w:t>Test changes longitudinally.</w:t>
            </w:r>
          </w:p>
        </w:tc>
        <w:tc>
          <w:tcPr>
            <w:tcW w:type="dxa" w:w="52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8"/>
              </w:rPr>
              <w:t>Use pre/post measures, telemetry, quality, rework, and staggered support.</w:t>
            </w:r>
          </w:p>
        </w:tc>
      </w:tr>
    </w:tbl>
    <w:p>
      <w:pPr>
        <w:pStyle w:val="Heading1"/>
      </w:pPr>
      <w:r>
        <w:t>What the data do not prove</w:t>
      </w:r>
    </w:p>
    <w:p>
      <w:pPr>
        <w:pStyle w:val="ListBullet"/>
      </w:pPr>
      <w:r>
        <w:rPr>
          <w:rFonts w:ascii="Calibri" w:hAnsi="Calibri"/>
          <w:color w:val="1F1F1F"/>
        </w:rPr>
        <w:t>That favorable stance causes daily use; use may shape stance.</w:t>
      </w:r>
    </w:p>
    <w:p>
      <w:pPr>
        <w:pStyle w:val="ListBullet"/>
      </w:pPr>
      <w:r>
        <w:rPr>
          <w:rFonts w:ascii="Calibri" w:hAnsi="Calibri"/>
          <w:color w:val="1F1F1F"/>
        </w:rPr>
        <w:t>That the favorable-stance item is a validated sentiment scale.</w:t>
      </w:r>
    </w:p>
    <w:p>
      <w:pPr>
        <w:pStyle w:val="ListBullet"/>
      </w:pPr>
      <w:r>
        <w:rPr>
          <w:rFonts w:ascii="Calibri" w:hAnsi="Calibri"/>
          <w:color w:val="1F1F1F"/>
        </w:rPr>
        <w:t>That trust is unimportant because it adds little classification information.</w:t>
      </w:r>
    </w:p>
    <w:p>
      <w:pPr>
        <w:pStyle w:val="ListBullet"/>
      </w:pPr>
      <w:r>
        <w:rPr>
          <w:rFonts w:ascii="Calibri" w:hAnsi="Calibri"/>
          <w:color w:val="1F1F1F"/>
        </w:rPr>
        <w:t>That training or persuasion will increase adoption.</w:t>
      </w:r>
    </w:p>
    <w:p>
      <w:pPr>
        <w:pStyle w:val="ListBullet"/>
      </w:pPr>
      <w:r>
        <w:rPr>
          <w:rFonts w:ascii="Calibri" w:hAnsi="Calibri"/>
          <w:color w:val="1F1F1F"/>
        </w:rPr>
        <w:t>That Stack Overflow respondents represent all developer workforces.</w:t>
      </w:r>
    </w:p>
    <w:p>
      <w:pPr>
        <w:pStyle w:val="Heading1"/>
      </w:pPr>
      <w:r>
        <w:t>A better adoption dashboard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4ECE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2B33"/>
                <w:sz w:val="19"/>
              </w:rPr>
              <w:t>Dimension</w:t>
            </w:r>
          </w:p>
        </w:tc>
        <w:tc>
          <w:tcPr>
            <w:tcW w:type="dxa" w:w="6660"/>
            <w:shd w:fill="E4ECE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2B33"/>
                <w:sz w:val="19"/>
              </w:rPr>
              <w:t>Question</w:t>
            </w:r>
          </w:p>
        </w:tc>
      </w:tr>
      <w:tr>
        <w:tc>
          <w:tcPr>
            <w:tcW w:type="dxa" w:w="2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9"/>
              </w:rPr>
              <w:t>Behavior</w:t>
            </w:r>
          </w:p>
        </w:tc>
        <w:tc>
          <w:tcPr>
            <w:tcW w:type="dxa" w:w="66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9"/>
              </w:rPr>
              <w:t>How often, where, and for what</w:t>
            </w:r>
          </w:p>
        </w:tc>
      </w:tr>
      <w:tr>
        <w:tc>
          <w:tcPr>
            <w:tcW w:type="dxa" w:w="2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9"/>
              </w:rPr>
              <w:t>Favorable stance</w:t>
            </w:r>
          </w:p>
        </w:tc>
        <w:tc>
          <w:tcPr>
            <w:tcW w:type="dxa" w:w="66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9"/>
              </w:rPr>
              <w:t>Whether AI feels valuable and workable</w:t>
            </w:r>
          </w:p>
        </w:tc>
      </w:tr>
      <w:tr>
        <w:tc>
          <w:tcPr>
            <w:tcW w:type="dxa" w:w="2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9"/>
              </w:rPr>
              <w:t>Accuracy trust</w:t>
            </w:r>
          </w:p>
        </w:tc>
        <w:tc>
          <w:tcPr>
            <w:tcW w:type="dxa" w:w="66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9"/>
              </w:rPr>
              <w:t>Confidence that output is correct</w:t>
            </w:r>
          </w:p>
        </w:tc>
      </w:tr>
      <w:tr>
        <w:tc>
          <w:tcPr>
            <w:tcW w:type="dxa" w:w="2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9"/>
              </w:rPr>
              <w:t>Verification burden</w:t>
            </w:r>
          </w:p>
        </w:tc>
        <w:tc>
          <w:tcPr>
            <w:tcW w:type="dxa" w:w="66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9"/>
              </w:rPr>
              <w:t>Testing, review, rework, defects, and time</w:t>
            </w:r>
          </w:p>
        </w:tc>
      </w:tr>
      <w:tr>
        <w:tc>
          <w:tcPr>
            <w:tcW w:type="dxa" w:w="27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9"/>
              </w:rPr>
              <w:t>Outcomes</w:t>
            </w:r>
          </w:p>
        </w:tc>
        <w:tc>
          <w:tcPr>
            <w:tcW w:type="dxa" w:w="66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F1F1F"/>
                <w:sz w:val="19"/>
              </w:rPr>
              <w:t>Quality, speed, learning, risk, and customer impact</w:t>
            </w:r>
          </w:p>
        </w:tc>
      </w:tr>
    </w:tbl>
    <w:p>
      <w:pPr>
        <w:spacing w:before="120" w:after="180"/>
        <w:ind w:left="259" w:right="259"/>
        <w:shd w:fill="EEF4F1"/>
      </w:pPr>
      <w:r>
        <w:rPr>
          <w:rFonts w:ascii="Calibri" w:hAnsi="Calibri"/>
          <w:b/>
          <w:color w:val="235347"/>
          <w:sz w:val="21"/>
        </w:rPr>
        <w:t xml:space="preserve">BOTTOM LINE  </w:t>
      </w:r>
      <w:r>
        <w:rPr>
          <w:rFonts w:ascii="Calibri" w:hAnsi="Calibri"/>
          <w:color w:val="1F1F1F"/>
          <w:sz w:val="21"/>
        </w:rPr>
        <w:t>Favoring AI use is not the same as trusting AI output. Measure both - alongside behavior, verification, and outcomes - then test what changes.</w:t>
      </w:r>
    </w:p>
    <w:p>
      <w:r>
        <w:rPr>
          <w:rFonts w:ascii="Calibri" w:hAnsi="Calibri"/>
          <w:color w:val="5A6265"/>
          <w:sz w:val="17"/>
        </w:rPr>
        <w:t xml:space="preserve">Source: Penzell, J. (2026). Adoption Without Confidence? Imagination Applied Research Series. </w:t>
      </w:r>
      <w:hyperlink r:id="rId12">
        <w:r>
          <w:rPr>
            <w:color w:val="2E776F"/>
            <w:u w:val="single"/>
          </w:rPr>
          <w:t>Stack Overflow 2025 AI results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265"/>
        <w:sz w:val="17"/>
      </w:rPr>
      <w:t xml:space="preserve">Imagination Applied  |  2026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D8E0DD"/>
      </w:pBdr>
    </w:pPr>
    <w:r>
      <w:rPr>
        <w:rFonts w:ascii="Calibri" w:hAnsi="Calibri"/>
        <w:b/>
        <w:color w:val="5A6265"/>
        <w:sz w:val="17"/>
      </w:rPr>
      <w:t>FAVORABLE STANCE IS NOT ACCURACY TRUST  |  EXECUTIVE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  <w:jc w:val="left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353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353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B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7" w:hanging="274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survey.stackoverflow.co/2025/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Favorable Stance Is Not Accuracy Trust</dc:title>
  <dc:subject>Executive brief on favorable stance, accuracy trust, and reported AI-use frequency</dc:subject>
  <dc:creator>Josh Penzell</dc:creator>
  <cp:keywords>AI adoption, favorable stance, accuracy trust, current users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