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14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MAC Address: 70-66-55-16-0A-9B</w:t>
        <w:br w:type="textWrapping"/>
        <w:t xml:space="preserve">IP Privada: 192.168.0.186</w:t>
        <w:br w:type="textWrapping"/>
        <w:t xml:space="preserve">Mascara de Subred: 255.255.255.0</w:t>
        <w:br w:type="textWrapping"/>
        <w:t xml:space="preserve">Clase C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67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IP Pública: 181.165.116.160</w:t>
        <w:br w:type="textWrapping"/>
        <w:t xml:space="preserve">Clase B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524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