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integradora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Vamos a poner en práctica los conocimientos que hemos adquirido hasta el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momento. Se crearán grupos, divididos en sus respectivas salas y realizarán la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siguiente ejercitación utilizando la siguiente página: https://www.mycompiler.io/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Por cada uno de los lenguajes asignados por mesa deberán realizar los siguientes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puntos: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● ¿Qué tipo de ejecución (compilado, interpretado, etc.) tiene el lenguaje?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TypeScript: es interpretado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Erlang: es interpretado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● ¿Para qué tipo de desarrollo se utiliza normalmente el lenguaje?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TypeScript: se usa para hacer desarrollo de front-end y back-end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Erlang: </w:t>
      </w:r>
      <w:r w:rsidDel="00000000" w:rsidR="00000000" w:rsidRPr="00000000">
        <w:rPr>
          <w:rtl w:val="0"/>
        </w:rPr>
        <w:t xml:space="preserve">diseñado para escribir aplicaciones concurrentes y distribuidas de funcionamiento ininterrumpido.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● ¿Con que IDE o editor de texto puede utilizar el lenguaje? Nombre de una librería o framework famoso del mismo.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TypeScript: el IDE que se usa es VSCode. Framework: Angular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Erlang: El IDE es IntelliJ IDEA. Framework: Chicago Boss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 matemática: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○ x = 4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○ y = 5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○ mostrar por pantalla z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66506" cy="1833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6506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09576" cy="176081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576" cy="1760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● Opcional: Crea un código que te parezca interesante o que quieras compartir con tus compañeros.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04855" cy="15186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855" cy="1518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Haciendo clic en los iconos podrás dirigirte a la web mencionada por cada lenguaje. Una vez resuelto, comparte los resultados con tus compañeros y compañeras!!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