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101" w:rsidRDefault="005719D6">
      <w:r w:rsidRPr="005719D6">
        <w:drawing>
          <wp:inline distT="0" distB="0" distL="0" distR="0" wp14:anchorId="7BCA63EA" wp14:editId="08F61EF3">
            <wp:extent cx="5430008" cy="1667108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9D6" w:rsidRPr="005719D6" w:rsidRDefault="005719D6">
      <w:pPr>
        <w:rPr>
          <w:lang w:val="es-ES"/>
        </w:rPr>
      </w:pPr>
      <w:r w:rsidRPr="005719D6">
        <w:rPr>
          <w:lang w:val="es-ES"/>
        </w:rPr>
        <w:t xml:space="preserve">El </w:t>
      </w:r>
      <w:r>
        <w:rPr>
          <w:lang w:val="es-ES"/>
        </w:rPr>
        <w:t>com</w:t>
      </w:r>
      <w:r w:rsidRPr="005719D6">
        <w:rPr>
          <w:lang w:val="es-ES"/>
        </w:rPr>
        <w:t xml:space="preserve">ando </w:t>
      </w:r>
      <w:r>
        <w:rPr>
          <w:lang w:val="es-ES"/>
        </w:rPr>
        <w:t>“</w:t>
      </w:r>
      <w:proofErr w:type="spellStart"/>
      <w:r w:rsidRPr="005719D6">
        <w:rPr>
          <w:lang w:val="es-ES"/>
        </w:rPr>
        <w:t>df</w:t>
      </w:r>
      <w:proofErr w:type="spellEnd"/>
      <w:r>
        <w:rPr>
          <w:lang w:val="es-ES"/>
        </w:rPr>
        <w:t>”</w:t>
      </w:r>
      <w:r w:rsidRPr="005719D6">
        <w:rPr>
          <w:lang w:val="es-ES"/>
        </w:rPr>
        <w:t xml:space="preserve"> </w:t>
      </w:r>
      <w:r>
        <w:rPr>
          <w:lang w:val="es-ES"/>
        </w:rPr>
        <w:t xml:space="preserve">dentro de </w:t>
      </w:r>
      <w:proofErr w:type="spellStart"/>
      <w:r>
        <w:rPr>
          <w:lang w:val="es-ES"/>
        </w:rPr>
        <w:t>Ubunte</w:t>
      </w:r>
      <w:proofErr w:type="spellEnd"/>
      <w:r>
        <w:rPr>
          <w:lang w:val="es-ES"/>
        </w:rPr>
        <w:t xml:space="preserve">, </w:t>
      </w:r>
      <w:r w:rsidRPr="005719D6">
        <w:rPr>
          <w:lang w:val="es-ES"/>
        </w:rPr>
        <w:t xml:space="preserve">nos permite ver un listado detallado de las particiones </w:t>
      </w:r>
      <w:r>
        <w:rPr>
          <w:lang w:val="es-ES"/>
        </w:rPr>
        <w:t xml:space="preserve">del disco. Mientras que en la consola de </w:t>
      </w:r>
      <w:proofErr w:type="spellStart"/>
      <w:r>
        <w:rPr>
          <w:lang w:val="es-ES"/>
        </w:rPr>
        <w:t>bash</w:t>
      </w:r>
      <w:proofErr w:type="spellEnd"/>
      <w:r>
        <w:rPr>
          <w:lang w:val="es-ES"/>
        </w:rPr>
        <w:t xml:space="preserve"> no se pueden apreciar sus particiones</w:t>
      </w:r>
    </w:p>
    <w:p w:rsidR="005719D6" w:rsidRDefault="005719D6">
      <w:r w:rsidRPr="005719D6">
        <w:drawing>
          <wp:inline distT="0" distB="0" distL="0" distR="0" wp14:anchorId="05F4BD69" wp14:editId="63736D15">
            <wp:extent cx="5612130" cy="420052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9D6" w:rsidRPr="005719D6" w:rsidRDefault="005719D6">
      <w:r>
        <w:t xml:space="preserve">El comando “top” dentro de </w:t>
      </w:r>
      <w:proofErr w:type="spellStart"/>
      <w:r>
        <w:t>Ubunte</w:t>
      </w:r>
      <w:proofErr w:type="spellEnd"/>
      <w:r>
        <w:t xml:space="preserve"> nos permite visualiz</w:t>
      </w:r>
      <w:r w:rsidR="002B71FD">
        <w:t>ar los procesos del disco, detallando donde y cuanto uso del disco hace cada proceso</w:t>
      </w:r>
      <w:bookmarkStart w:id="0" w:name="_GoBack"/>
      <w:bookmarkEnd w:id="0"/>
    </w:p>
    <w:sectPr w:rsidR="005719D6" w:rsidRPr="005719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907"/>
    <w:rsid w:val="00016907"/>
    <w:rsid w:val="002B71FD"/>
    <w:rsid w:val="005719D6"/>
    <w:rsid w:val="006B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E0EB1"/>
  <w15:chartTrackingRefBased/>
  <w15:docId w15:val="{071DD4C8-E5C6-4C22-9251-392ED0FBF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2021-10-05T22:20:00Z</dcterms:created>
  <dcterms:modified xsi:type="dcterms:W3CDTF">2021-10-05T22:32:00Z</dcterms:modified>
</cp:coreProperties>
</file>