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Dirección IPv4. . . . . . . . . . . . . . :</w:t>
      </w:r>
      <w:r w:rsidDel="00000000" w:rsidR="00000000" w:rsidRPr="00000000">
        <w:rPr>
          <w:b w:val="1"/>
          <w:rtl w:val="0"/>
        </w:rPr>
        <w:t xml:space="preserve"> 192.168.0.3 Clase C</w:t>
        <w:br w:type="textWrapping"/>
      </w:r>
      <w:r w:rsidDel="00000000" w:rsidR="00000000" w:rsidRPr="00000000">
        <w:rPr>
          <w:rtl w:val="0"/>
        </w:rPr>
        <w:t xml:space="preserve">Vínculo: dirección IPv6 local. . . : </w:t>
      </w:r>
      <w:r w:rsidDel="00000000" w:rsidR="00000000" w:rsidRPr="00000000">
        <w:rPr>
          <w:b w:val="1"/>
          <w:rtl w:val="0"/>
        </w:rPr>
        <w:t xml:space="preserve">fe80::b5b9:c75f:df24:d69c%19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Máscara de subred . . . . . . . . . . . . :</w:t>
      </w:r>
      <w:r w:rsidDel="00000000" w:rsidR="00000000" w:rsidRPr="00000000">
        <w:rPr>
          <w:b w:val="1"/>
          <w:rtl w:val="0"/>
        </w:rPr>
        <w:t xml:space="preserve"> 255.255.255.0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IP pública</w:t>
      </w:r>
      <w:r w:rsidDel="00000000" w:rsidR="00000000" w:rsidRPr="00000000">
        <w:rPr>
          <w:b w:val="1"/>
          <w:rtl w:val="0"/>
        </w:rPr>
        <w:t xml:space="preserve"> 201.245.214.54 Clase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MAC ...  </w:t>
      </w:r>
      <w:r w:rsidDel="00000000" w:rsidR="00000000" w:rsidRPr="00000000">
        <w:rPr>
          <w:b w:val="1"/>
          <w:rtl w:val="0"/>
        </w:rPr>
        <w:t xml:space="preserve">FC-45-96-51-B1-F2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Marca de Placa de Red </w:t>
      </w:r>
      <w:r w:rsidDel="00000000" w:rsidR="00000000" w:rsidRPr="00000000">
        <w:rPr>
          <w:b w:val="1"/>
          <w:rtl w:val="0"/>
        </w:rPr>
        <w:t xml:space="preserve">COMPAL INFORMATION (KUNSHAN) CO., LTD.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