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Consigna clase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Sebastian Medina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pública: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Servidor:  dns.opendns.com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Address:  209.68.222.222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Dirección IP dada por Internet: 190.28.93.214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Clase: C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Direccíon IP privada y máscara de subred: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Dirección IPv4. . . . . . . . . . . . . . : 192.166.57.1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Máscara de subred . . . . . . . . . . . . : 255.255.255.0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Clase C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MAC: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50-78-AF-76-BE-4C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Marca de placa de red: Intel Corporate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