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Roboto" w:cs="Roboto" w:eastAsia="Roboto" w:hAnsi="Roboto"/>
          <w:i w:val="1"/>
          <w:sz w:val="38"/>
          <w:szCs w:val="38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sz w:val="38"/>
          <w:szCs w:val="38"/>
          <w:u w:val="single"/>
          <w:rtl w:val="0"/>
        </w:rPr>
        <w:t xml:space="preserve">Actividad en grupo direcciones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Roboto" w:cs="Roboto" w:eastAsia="Roboto" w:hAnsi="Roboto"/>
          <w:i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Roboto" w:cs="Roboto" w:eastAsia="Roboto" w:hAnsi="Roboto"/>
          <w:i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Franco: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Ip pública: 190.18.140.21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Ip Privada: 192.168.0.255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Dirección MAC: 38:f9:d3:50:2a:18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Lican: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Ip pública: 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181.168.163.126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Ip Privada: 192.168.0.63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Dirección MAC: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Valentina: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Ip pública: 170.51.110.150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Ip Privada: 192.168.1.10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Dirección MAC: 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Evelyn: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IP publica: 200.59.80.144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IP privada: 192.168.100.102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Dirección MAC: 70-85-C2-4E-69-5D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hatismyip.com/181.168.163.12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