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Clase 17: Protocolos I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1- Dirección IP Pública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2- Dirección IP Privada y su Máscara de subred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3- Dirección MAC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1- Dirección IP pública:  190.103.206.39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2- Dirección IPv6: 2803:b8c0:6:31b0:3854:80e9:5cdb:954d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Vínculo: dirección IPv6 local. . . : fe80::3854:80e9:5cdb:954d%17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Dirección IPv4: 192.168.1.18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Máscara de subred . . . . . . . . . . . . : 255.255.255.0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Concesión obtenida. . . . . . . . . . . . : jueves, 23 de junio de 2022 15:55:54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La concesión expira . . . . . . . . . . . : miércoles, 29 de junio de 2022 16:26:39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 Dirección física (MAC): 80-38-FB-9E-B7-4A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