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. Una de las características más reseñables de Python es que es un lenguaje interpretado, esto significa que no se compila a diferencia de otros lenguajes como Java o C/C++, sino que es interpretado en tiempo de ejecución.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Deno</w:t>
      </w:r>
      <w:r w:rsidDel="00000000" w:rsidR="00000000" w:rsidRPr="00000000">
        <w:rPr>
          <w:rtl w:val="0"/>
        </w:rPr>
        <w:t xml:space="preserve">: Soporta TypeScript nativamente usando un compilador TypeScript capturado (snapshotted TypeScript Compiler).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. Al ser un lenguaje de programación multiplataforma, permite desarrollar aplicaciones en cualquier sistema operativo con gran facilidad y una buena cantidad de tecnologías es compatible con Python gracias a su sencillez y a su potencia para el manejo de datos. Algunas de las áreas donde este lenguaje de programación es utilizado es en las siguientes: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analytics y big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Inteligencia artificial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Desarrollo web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Juegos y gráficos 3D.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Deno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una plataforma para la ejecución de código Javascript fuera del navegador que permite realizar aplicaciones en cualquier ámbito, como podría ser los programas de consola, servicios web o aplicaciones de backend en general.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3 -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: Se puede utilizar en frameworks como Django y se puede programar desde consola o con IDE mas usado Pycharm Community.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Deno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: Cuando se ejecuta este programa, Deno automáticamente descarga y cachea las librerías remotas y compila el código. De forma similar, podemos correr un script de librería estándar (como un servidor de archivo) directamente sin explícitamente descargarlo, proporcionando la URL como archivo de entrada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 = int(4)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 = int(5)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 = int(x+y)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