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61E44"/>
          <w:sz w:val="40"/>
        </w:rPr>
        <w:t>RESUMEN EJECUTIVO</w:t>
      </w:r>
    </w:p>
    <w:p>
      <w:pPr>
        <w:spacing w:after="40"/>
        <w:jc w:val="center"/>
      </w:pPr>
      <w:r>
        <w:rPr>
          <w:rFonts w:ascii="Calibri" w:hAnsi="Calibri"/>
          <w:b/>
          <w:color w:val="00A07A"/>
          <w:sz w:val="24"/>
        </w:rPr>
        <w:t>Prediccion de Intensidad de Metano en Ganado Lechero mediante Machine Learning</w:t>
      </w:r>
    </w:p>
    <w:p>
      <w:pPr>
        <w:spacing w:after="360"/>
        <w:jc w:val="center"/>
      </w:pPr>
      <w:r>
        <w:rPr>
          <w:rFonts w:ascii="Calibri" w:hAnsi="Calibri"/>
          <w:color w:val="606060"/>
          <w:sz w:val="20"/>
        </w:rPr>
        <w:t>Equipo 48  |  Tecnologico de Monterrey  |  Junio 2026</w:t>
      </w:r>
    </w:p>
    <w:p>
      <w:pPr>
        <w:pBdr>
          <w:bottom w:val="single" w:sz="6" w:space="1" w:color="00A07A"/>
        </w:pBdr>
        <w:spacing w:after="160"/>
      </w:pPr>
    </w:p>
    <w:p>
      <w:pPr>
        <w:spacing w:before="320" w:after="80"/>
      </w:pPr>
      <w:r>
        <w:rPr>
          <w:rFonts w:ascii="Calibri" w:hAnsi="Calibri"/>
          <w:b/>
          <w:color w:val="00A07A"/>
          <w:sz w:val="26"/>
        </w:rPr>
        <w:t xml:space="preserve">1. </w:t>
      </w:r>
      <w:r>
        <w:rPr>
          <w:rFonts w:ascii="Calibri" w:hAnsi="Calibri"/>
          <w:b/>
          <w:color w:val="161E44"/>
          <w:sz w:val="26"/>
        </w:rPr>
        <w:t>SINTESIS DEL PROBLEMA</w:t>
      </w:r>
    </w:p>
    <w:p>
      <w:pPr>
        <w:spacing w:after="80"/>
      </w:pPr>
      <w:r>
        <w:rPr>
          <w:rFonts w:ascii="Calibri" w:hAnsi="Calibri"/>
          <w:sz w:val="20"/>
        </w:rPr>
        <w:t>El sector ganadero bovino representa el 14.5% de las emisiones globales de gases de efecto invernadero (GEI), siendo el metano enterico (CH4) el principal contribuyente. Las granjas lecheras carecen actualmente de herramientas predictivas que permitan dosificar nutraceuticos inhibidores de metano de forma individualizada por animal.</w:t>
      </w:r>
    </w:p>
    <w:p>
      <w:pPr>
        <w:spacing w:after="80"/>
      </w:pPr>
      <w:r>
        <w:rPr>
          <w:rFonts w:ascii="Calibri" w:hAnsi="Calibri"/>
          <w:sz w:val="20"/>
        </w:rPr>
        <w:t>La dosificacion suboptima tiene dos consecuencias economicas y ambientales directas:</w:t>
      </w:r>
    </w:p>
    <w:p>
      <w:pPr>
        <w:pStyle w:val="ListBullet"/>
        <w:spacing w:after="40"/>
      </w:pPr>
      <w:r>
        <w:rPr>
          <w:rFonts w:ascii="Calibri" w:hAnsi="Calibri"/>
          <w:sz w:val="20"/>
        </w:rPr>
        <w:t>Exceso de nutraceutico: costo innecesario por desperdicio del suplemento.</w:t>
      </w:r>
    </w:p>
    <w:p>
      <w:pPr>
        <w:pStyle w:val="ListBullet"/>
        <w:spacing w:after="40"/>
      </w:pPr>
      <w:r>
        <w:rPr>
          <w:rFonts w:ascii="Calibri" w:hAnsi="Calibri"/>
          <w:sz w:val="20"/>
        </w:rPr>
        <w:t>Deficit de nutraceutico: persistencia de niveles altos de metano, impidiendo cumplir metas de sostenibilidad.</w:t>
      </w:r>
    </w:p>
    <w:p>
      <w:pPr>
        <w:spacing w:after="80"/>
      </w:pPr>
      <w:r>
        <w:rPr>
          <w:rFonts w:ascii="Calibri" w:hAnsi="Calibri"/>
          <w:sz w:val="20"/>
        </w:rPr>
        <w:t>Objetivo principal: desarrollar un modelo de Machine Learning que prediga la intensidad de emision de metano (g CH4/kg leche) a nivel individual por vaca, habilitando la dosificacion precisa de nutraceuticos y la reduccion medible de huella de carbono.</w:t>
      </w:r>
    </w:p>
    <w:p>
      <w:pPr>
        <w:pBdr>
          <w:bottom w:val="single" w:sz="6" w:space="1" w:color="00A07A"/>
        </w:pBdr>
        <w:spacing w:after="160"/>
      </w:pPr>
    </w:p>
    <w:p>
      <w:pPr>
        <w:spacing w:before="320" w:after="80"/>
      </w:pPr>
      <w:r>
        <w:rPr>
          <w:rFonts w:ascii="Calibri" w:hAnsi="Calibri"/>
          <w:b/>
          <w:color w:val="00A07A"/>
          <w:sz w:val="26"/>
        </w:rPr>
        <w:t xml:space="preserve">2. </w:t>
      </w:r>
      <w:r>
        <w:rPr>
          <w:rFonts w:ascii="Calibri" w:hAnsi="Calibri"/>
          <w:b/>
          <w:color w:val="161E44"/>
          <w:sz w:val="26"/>
        </w:rPr>
        <w:t>HALLAZGOS DEL ANALISIS EXPLORATORIO DE DATOS (EDA)</w:t>
      </w:r>
    </w:p>
    <w:tbl>
      <w:tblPr>
        <w:tblStyle w:val="TableGrid"/>
        <w:tblW w:type="auto" w:w="0"/>
        <w:jc w:val="center"/>
        <w:tblLook w:firstColumn="1" w:firstRow="1" w:lastColumn="0" w:lastRow="0" w:noHBand="0" w:noVBand="1" w:val="04A0"/>
      </w:tblPr>
      <w:tblGrid>
        <w:gridCol w:w="3120"/>
        <w:gridCol w:w="3120"/>
        <w:gridCol w:w="3120"/>
      </w:tblGrid>
      <w:tr>
        <w:tc>
          <w:tcPr>
            <w:tcW w:type="dxa" w:w="454"/>
            <w:shd w:val="clear" w:color="auto" w:fill="161E44"/>
          </w:tcPr>
          <w:p>
            <w:pPr>
              <w:jc w:val="center"/>
            </w:pPr>
            <w:r>
              <w:rPr>
                <w:rFonts w:ascii="Calibri" w:hAnsi="Calibri"/>
                <w:b/>
                <w:i w:val="0"/>
                <w:color w:val="FFFFFF"/>
                <w:sz w:val="20"/>
              </w:rPr>
              <w:t>#</w:t>
            </w:r>
          </w:p>
        </w:tc>
        <w:tc>
          <w:tcPr>
            <w:tcW w:type="dxa" w:w="2948"/>
            <w:shd w:val="clear" w:color="auto" w:fill="161E44"/>
          </w:tcPr>
          <w:p>
            <w:pPr>
              <w:jc w:val="center"/>
            </w:pPr>
            <w:r>
              <w:rPr>
                <w:rFonts w:ascii="Calibri" w:hAnsi="Calibri"/>
                <w:b/>
                <w:i w:val="0"/>
                <w:color w:val="FFFFFF"/>
                <w:sz w:val="20"/>
              </w:rPr>
              <w:t>Hallazgo</w:t>
            </w:r>
          </w:p>
        </w:tc>
        <w:tc>
          <w:tcPr>
            <w:tcW w:type="dxa" w:w="5386"/>
            <w:shd w:val="clear" w:color="auto" w:fill="161E44"/>
          </w:tcPr>
          <w:p>
            <w:pPr>
              <w:jc w:val="center"/>
            </w:pPr>
            <w:r>
              <w:rPr>
                <w:rFonts w:ascii="Calibri" w:hAnsi="Calibri"/>
                <w:b/>
                <w:i w:val="0"/>
                <w:color w:val="FFFFFF"/>
                <w:sz w:val="20"/>
              </w:rPr>
              <w:t>Detalle / Metrica Clave</w:t>
            </w:r>
          </w:p>
        </w:tc>
      </w:tr>
      <w:tr>
        <w:tc>
          <w:tcPr>
            <w:tcW w:type="dxa" w:w="454"/>
            <w:shd w:val="clear" w:color="auto" w:fill="F4F6FA"/>
          </w:tcPr>
          <w:p>
            <w:pPr>
              <w:jc w:val="left"/>
            </w:pPr>
            <w:r>
              <w:rPr>
                <w:rFonts w:ascii="Calibri" w:hAnsi="Calibri"/>
                <w:b w:val="0"/>
                <w:i w:val="0"/>
                <w:color w:val="1A1A2E"/>
                <w:sz w:val="19"/>
              </w:rPr>
              <w:t>1</w:t>
            </w:r>
          </w:p>
        </w:tc>
        <w:tc>
          <w:tcPr>
            <w:tcW w:type="dxa" w:w="2948"/>
            <w:shd w:val="clear" w:color="auto" w:fill="F4F6FA"/>
          </w:tcPr>
          <w:p>
            <w:pPr>
              <w:jc w:val="left"/>
            </w:pPr>
            <w:r>
              <w:rPr>
                <w:rFonts w:ascii="Calibri" w:hAnsi="Calibri"/>
                <w:b w:val="0"/>
                <w:i w:val="0"/>
                <w:color w:val="1A1A2E"/>
                <w:sz w:val="19"/>
              </w:rPr>
              <w:t>Distribucion bimodal de metano</w:t>
            </w:r>
          </w:p>
        </w:tc>
        <w:tc>
          <w:tcPr>
            <w:tcW w:type="dxa" w:w="5386"/>
            <w:shd w:val="clear" w:color="auto" w:fill="F4F6FA"/>
          </w:tcPr>
          <w:p>
            <w:pPr>
              <w:jc w:val="left"/>
            </w:pPr>
            <w:r>
              <w:rPr>
                <w:rFonts w:ascii="Calibri" w:hAnsi="Calibri"/>
                <w:b w:val="0"/>
                <w:i w:val="0"/>
                <w:color w:val="1A1A2E"/>
                <w:sz w:val="19"/>
              </w:rPr>
              <w:t>Media 16.5 g CH4/kg leche | Rango 8–35 | 23% de vacas en nivel Alto (&gt; 25)</w:t>
            </w:r>
          </w:p>
        </w:tc>
      </w:tr>
      <w:tr>
        <w:tc>
          <w:tcPr>
            <w:tcW w:type="dxa" w:w="454"/>
            <w:shd w:val="clear" w:color="auto" w:fill="FFFFFF"/>
          </w:tcPr>
          <w:p>
            <w:pPr>
              <w:jc w:val="left"/>
            </w:pPr>
            <w:r>
              <w:rPr>
                <w:rFonts w:ascii="Calibri" w:hAnsi="Calibri"/>
                <w:b w:val="0"/>
                <w:i w:val="0"/>
                <w:color w:val="1A1A2E"/>
                <w:sz w:val="19"/>
              </w:rPr>
              <w:t>2</w:t>
            </w:r>
          </w:p>
        </w:tc>
        <w:tc>
          <w:tcPr>
            <w:tcW w:type="dxa" w:w="2948"/>
            <w:shd w:val="clear" w:color="auto" w:fill="FFFFFF"/>
          </w:tcPr>
          <w:p>
            <w:pPr>
              <w:jc w:val="left"/>
            </w:pPr>
            <w:r>
              <w:rPr>
                <w:rFonts w:ascii="Calibri" w:hAnsi="Calibri"/>
                <w:b w:val="0"/>
                <w:i w:val="0"/>
                <w:color w:val="1A1A2E"/>
                <w:sz w:val="19"/>
              </w:rPr>
              <w:t>Diferencias significativas por raza</w:t>
            </w:r>
          </w:p>
        </w:tc>
        <w:tc>
          <w:tcPr>
            <w:tcW w:type="dxa" w:w="5386"/>
            <w:shd w:val="clear" w:color="auto" w:fill="FFFFFF"/>
          </w:tcPr>
          <w:p>
            <w:pPr>
              <w:jc w:val="left"/>
            </w:pPr>
            <w:r>
              <w:rPr>
                <w:rFonts w:ascii="Calibri" w:hAnsi="Calibri"/>
                <w:b w:val="0"/>
                <w:i w:val="0"/>
                <w:color w:val="1A1A2E"/>
                <w:sz w:val="19"/>
              </w:rPr>
              <w:t>Holstein 15.2 | Jersey 17.1 | Pardo Suizo 18.3 g CH4/kg leche</w:t>
            </w:r>
          </w:p>
        </w:tc>
      </w:tr>
      <w:tr>
        <w:tc>
          <w:tcPr>
            <w:tcW w:type="dxa" w:w="454"/>
            <w:shd w:val="clear" w:color="auto" w:fill="F4F6FA"/>
          </w:tcPr>
          <w:p>
            <w:pPr>
              <w:jc w:val="left"/>
            </w:pPr>
            <w:r>
              <w:rPr>
                <w:rFonts w:ascii="Calibri" w:hAnsi="Calibri"/>
                <w:b w:val="0"/>
                <w:i w:val="0"/>
                <w:color w:val="1A1A2E"/>
                <w:sz w:val="19"/>
              </w:rPr>
              <w:t>3</w:t>
            </w:r>
          </w:p>
        </w:tc>
        <w:tc>
          <w:tcPr>
            <w:tcW w:type="dxa" w:w="2948"/>
            <w:shd w:val="clear" w:color="auto" w:fill="F4F6FA"/>
          </w:tcPr>
          <w:p>
            <w:pPr>
              <w:jc w:val="left"/>
            </w:pPr>
            <w:r>
              <w:rPr>
                <w:rFonts w:ascii="Calibri" w:hAnsi="Calibri"/>
                <w:b w:val="0"/>
                <w:i w:val="0"/>
                <w:color w:val="1A1A2E"/>
                <w:sz w:val="19"/>
              </w:rPr>
              <w:t>Correlacion negativa leche-metano</w:t>
            </w:r>
          </w:p>
        </w:tc>
        <w:tc>
          <w:tcPr>
            <w:tcW w:type="dxa" w:w="5386"/>
            <w:shd w:val="clear" w:color="auto" w:fill="F4F6FA"/>
          </w:tcPr>
          <w:p>
            <w:pPr>
              <w:jc w:val="left"/>
            </w:pPr>
            <w:r>
              <w:rPr>
                <w:rFonts w:ascii="Calibri" w:hAnsi="Calibri"/>
                <w:b w:val="0"/>
                <w:i w:val="0"/>
                <w:color w:val="1A1A2E"/>
                <w:sz w:val="19"/>
              </w:rPr>
              <w:t>Correlacion de Pearson r = -0.72 (mayor produccion, menor intensidad)</w:t>
            </w:r>
          </w:p>
        </w:tc>
      </w:tr>
      <w:tr>
        <w:tc>
          <w:tcPr>
            <w:tcW w:type="dxa" w:w="454"/>
            <w:shd w:val="clear" w:color="auto" w:fill="FFFFFF"/>
          </w:tcPr>
          <w:p>
            <w:pPr>
              <w:jc w:val="left"/>
            </w:pPr>
            <w:r>
              <w:rPr>
                <w:rFonts w:ascii="Calibri" w:hAnsi="Calibri"/>
                <w:b w:val="0"/>
                <w:i w:val="0"/>
                <w:color w:val="1A1A2E"/>
                <w:sz w:val="19"/>
              </w:rPr>
              <w:t>4</w:t>
            </w:r>
          </w:p>
        </w:tc>
        <w:tc>
          <w:tcPr>
            <w:tcW w:type="dxa" w:w="2948"/>
            <w:shd w:val="clear" w:color="auto" w:fill="FFFFFF"/>
          </w:tcPr>
          <w:p>
            <w:pPr>
              <w:jc w:val="left"/>
            </w:pPr>
            <w:r>
              <w:rPr>
                <w:rFonts w:ascii="Calibri" w:hAnsi="Calibri"/>
                <w:b w:val="0"/>
                <w:i w:val="0"/>
                <w:color w:val="1A1A2E"/>
                <w:sz w:val="19"/>
              </w:rPr>
              <w:t>Ventana critica de lactacion</w:t>
            </w:r>
          </w:p>
        </w:tc>
        <w:tc>
          <w:tcPr>
            <w:tcW w:type="dxa" w:w="5386"/>
            <w:shd w:val="clear" w:color="auto" w:fill="FFFFFF"/>
          </w:tcPr>
          <w:p>
            <w:pPr>
              <w:jc w:val="left"/>
            </w:pPr>
            <w:r>
              <w:rPr>
                <w:rFonts w:ascii="Calibri" w:hAnsi="Calibri"/>
                <w:b w:val="0"/>
                <w:i w:val="0"/>
                <w:color w:val="1A1A2E"/>
                <w:sz w:val="19"/>
              </w:rPr>
              <w:t>Meses 8–14 de lactacion: periodo de mayor variabilidad y riesgo de emision alta</w:t>
            </w:r>
          </w:p>
        </w:tc>
      </w:tr>
      <w:tr>
        <w:tc>
          <w:tcPr>
            <w:tcW w:type="dxa" w:w="454"/>
            <w:shd w:val="clear" w:color="auto" w:fill="F4F6FA"/>
          </w:tcPr>
          <w:p>
            <w:pPr>
              <w:jc w:val="left"/>
            </w:pPr>
            <w:r>
              <w:rPr>
                <w:rFonts w:ascii="Calibri" w:hAnsi="Calibri"/>
                <w:b w:val="0"/>
                <w:i w:val="0"/>
                <w:color w:val="1A1A2E"/>
                <w:sz w:val="19"/>
              </w:rPr>
              <w:t>5</w:t>
            </w:r>
          </w:p>
        </w:tc>
        <w:tc>
          <w:tcPr>
            <w:tcW w:type="dxa" w:w="2948"/>
            <w:shd w:val="clear" w:color="auto" w:fill="F4F6FA"/>
          </w:tcPr>
          <w:p>
            <w:pPr>
              <w:jc w:val="left"/>
            </w:pPr>
            <w:r>
              <w:rPr>
                <w:rFonts w:ascii="Calibri" w:hAnsi="Calibri"/>
                <w:b w:val="0"/>
                <w:i w:val="0"/>
                <w:color w:val="1A1A2E"/>
                <w:sz w:val="19"/>
              </w:rPr>
              <w:t>Efecto del nutraceutico</w:t>
            </w:r>
          </w:p>
        </w:tc>
        <w:tc>
          <w:tcPr>
            <w:tcW w:type="dxa" w:w="5386"/>
            <w:shd w:val="clear" w:color="auto" w:fill="F4F6FA"/>
          </w:tcPr>
          <w:p>
            <w:pPr>
              <w:jc w:val="left"/>
            </w:pPr>
            <w:r>
              <w:rPr>
                <w:rFonts w:ascii="Calibri" w:hAnsi="Calibri"/>
                <w:b w:val="0"/>
                <w:i w:val="0"/>
                <w:color w:val="1A1A2E"/>
                <w:sz w:val="19"/>
              </w:rPr>
              <w:t>Correlacion dosis-reduccion r = -0.61; evidencia de eficacia pero no linealidad</w:t>
            </w:r>
          </w:p>
        </w:tc>
      </w:tr>
    </w:tbl>
    <w:p/>
    <w:p>
      <w:pPr>
        <w:pBdr>
          <w:bottom w:val="single" w:sz="6" w:space="1" w:color="00A07A"/>
        </w:pBdr>
        <w:spacing w:after="160"/>
      </w:pPr>
    </w:p>
    <w:p>
      <w:pPr>
        <w:spacing w:before="320" w:after="80"/>
      </w:pPr>
      <w:r>
        <w:rPr>
          <w:rFonts w:ascii="Calibri" w:hAnsi="Calibri"/>
          <w:b/>
          <w:color w:val="00A07A"/>
          <w:sz w:val="26"/>
        </w:rPr>
        <w:t xml:space="preserve">3. </w:t>
      </w:r>
      <w:r>
        <w:rPr>
          <w:rFonts w:ascii="Calibri" w:hAnsi="Calibri"/>
          <w:b/>
          <w:color w:val="161E44"/>
          <w:sz w:val="26"/>
        </w:rPr>
        <w:t>MODELOS EVALUADOS Y ELECCION FINAL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94"/>
            <w:shd w:val="clear" w:color="auto" w:fill="161E44"/>
          </w:tcPr>
          <w:p>
            <w:pPr>
              <w:jc w:val="center"/>
            </w:pPr>
            <w:r>
              <w:rPr>
                <w:rFonts w:ascii="Calibri" w:hAnsi="Calibri"/>
                <w:b/>
                <w:i w:val="0"/>
                <w:color w:val="FFFFFF"/>
                <w:sz w:val="20"/>
              </w:rPr>
              <w:t>Etapa</w:t>
            </w:r>
          </w:p>
        </w:tc>
        <w:tc>
          <w:tcPr>
            <w:tcW w:type="dxa" w:w="2948"/>
            <w:shd w:val="clear" w:color="auto" w:fill="161E44"/>
          </w:tcPr>
          <w:p>
            <w:pPr>
              <w:jc w:val="center"/>
            </w:pPr>
            <w:r>
              <w:rPr>
                <w:rFonts w:ascii="Calibri" w:hAnsi="Calibri"/>
                <w:b/>
                <w:i w:val="0"/>
                <w:color w:val="FFFFFF"/>
                <w:sz w:val="20"/>
              </w:rPr>
              <w:t>Modelo</w:t>
            </w:r>
          </w:p>
        </w:tc>
        <w:tc>
          <w:tcPr>
            <w:tcW w:type="dxa" w:w="1417"/>
            <w:shd w:val="clear" w:color="auto" w:fill="161E44"/>
          </w:tcPr>
          <w:p>
            <w:pPr>
              <w:jc w:val="center"/>
            </w:pPr>
            <w:r>
              <w:rPr>
                <w:rFonts w:ascii="Calibri" w:hAnsi="Calibri"/>
                <w:b/>
                <w:i w:val="0"/>
                <w:color w:val="FFFFFF"/>
                <w:sz w:val="20"/>
              </w:rPr>
              <w:t>RMSE CV</w:t>
            </w:r>
          </w:p>
        </w:tc>
        <w:tc>
          <w:tcPr>
            <w:tcW w:type="dxa" w:w="3628"/>
            <w:shd w:val="clear" w:color="auto" w:fill="161E44"/>
          </w:tcPr>
          <w:p>
            <w:pPr>
              <w:jc w:val="center"/>
            </w:pPr>
            <w:r>
              <w:rPr>
                <w:rFonts w:ascii="Calibri" w:hAnsi="Calibri"/>
                <w:b/>
                <w:i w:val="0"/>
                <w:color w:val="FFFFFF"/>
                <w:sz w:val="20"/>
              </w:rPr>
              <w:t>Notas</w:t>
            </w:r>
          </w:p>
        </w:tc>
      </w:tr>
      <w:tr>
        <w:tc>
          <w:tcPr>
            <w:tcW w:type="dxa" w:w="794"/>
            <w:shd w:val="clear" w:color="auto" w:fill="F4F6FA"/>
          </w:tcPr>
          <w:p>
            <w:pPr>
              <w:jc w:val="left"/>
            </w:pPr>
            <w:r>
              <w:rPr>
                <w:rFonts w:ascii="Calibri" w:hAnsi="Calibri"/>
                <w:b w:val="0"/>
                <w:i w:val="0"/>
                <w:color w:val="1A1A2E"/>
                <w:sz w:val="19"/>
              </w:rPr>
              <w:t>E1</w:t>
            </w:r>
          </w:p>
        </w:tc>
        <w:tc>
          <w:tcPr>
            <w:tcW w:type="dxa" w:w="2948"/>
            <w:shd w:val="clear" w:color="auto" w:fill="F4F6FA"/>
          </w:tcPr>
          <w:p>
            <w:pPr>
              <w:jc w:val="left"/>
            </w:pPr>
            <w:r>
              <w:rPr>
                <w:rFonts w:ascii="Calibri" w:hAnsi="Calibri"/>
                <w:b w:val="0"/>
                <w:i w:val="0"/>
                <w:color w:val="1A1A2E"/>
                <w:sz w:val="19"/>
              </w:rPr>
              <w:t>Baseline (Media)</w:t>
            </w:r>
          </w:p>
        </w:tc>
        <w:tc>
          <w:tcPr>
            <w:tcW w:type="dxa" w:w="1417"/>
            <w:shd w:val="clear" w:color="auto" w:fill="F4F6FA"/>
          </w:tcPr>
          <w:p>
            <w:pPr>
              <w:jc w:val="left"/>
            </w:pPr>
            <w:r>
              <w:rPr>
                <w:rFonts w:ascii="Calibri" w:hAnsi="Calibri"/>
                <w:b w:val="0"/>
                <w:i w:val="0"/>
                <w:color w:val="1A1A2E"/>
                <w:sz w:val="19"/>
              </w:rPr>
              <w:t>—</w:t>
            </w:r>
          </w:p>
        </w:tc>
        <w:tc>
          <w:tcPr>
            <w:tcW w:type="dxa" w:w="3628"/>
            <w:shd w:val="clear" w:color="auto" w:fill="F4F6FA"/>
          </w:tcPr>
          <w:p>
            <w:pPr>
              <w:jc w:val="left"/>
            </w:pPr>
            <w:r>
              <w:rPr>
                <w:rFonts w:ascii="Calibri" w:hAnsi="Calibri"/>
                <w:b w:val="0"/>
                <w:i w:val="0"/>
                <w:color w:val="1A1A2E"/>
                <w:sz w:val="19"/>
              </w:rPr>
              <w:t>Referencia nula</w:t>
            </w:r>
          </w:p>
        </w:tc>
      </w:tr>
      <w:tr>
        <w:tc>
          <w:tcPr>
            <w:tcW w:type="dxa" w:w="794"/>
            <w:shd w:val="clear" w:color="auto" w:fill="FFFFFF"/>
          </w:tcPr>
          <w:p>
            <w:pPr>
              <w:jc w:val="left"/>
            </w:pPr>
            <w:r>
              <w:rPr>
                <w:rFonts w:ascii="Calibri" w:hAnsi="Calibri"/>
                <w:b w:val="0"/>
                <w:i w:val="0"/>
                <w:color w:val="1A1A2E"/>
                <w:sz w:val="19"/>
              </w:rPr>
              <w:t>E2</w:t>
            </w:r>
          </w:p>
        </w:tc>
        <w:tc>
          <w:tcPr>
            <w:tcW w:type="dxa" w:w="2948"/>
            <w:shd w:val="clear" w:color="auto" w:fill="FFFFFF"/>
          </w:tcPr>
          <w:p>
            <w:pPr>
              <w:jc w:val="left"/>
            </w:pPr>
            <w:r>
              <w:rPr>
                <w:rFonts w:ascii="Calibri" w:hAnsi="Calibri"/>
                <w:b w:val="0"/>
                <w:i w:val="0"/>
                <w:color w:val="1A1A2E"/>
                <w:sz w:val="19"/>
              </w:rPr>
              <w:t>Regresion Lineal</w:t>
            </w:r>
          </w:p>
        </w:tc>
        <w:tc>
          <w:tcPr>
            <w:tcW w:type="dxa" w:w="1417"/>
            <w:shd w:val="clear" w:color="auto" w:fill="FFFFFF"/>
          </w:tcPr>
          <w:p>
            <w:pPr>
              <w:jc w:val="left"/>
            </w:pPr>
            <w:r>
              <w:rPr>
                <w:rFonts w:ascii="Calibri" w:hAnsi="Calibri"/>
                <w:b w:val="0"/>
                <w:i w:val="0"/>
                <w:color w:val="1A1A2E"/>
                <w:sz w:val="19"/>
              </w:rPr>
              <w:t>0.8431</w:t>
            </w:r>
          </w:p>
        </w:tc>
        <w:tc>
          <w:tcPr>
            <w:tcW w:type="dxa" w:w="3628"/>
            <w:shd w:val="clear" w:color="auto" w:fill="FFFFFF"/>
          </w:tcPr>
          <w:p>
            <w:pPr>
              <w:jc w:val="left"/>
            </w:pPr>
            <w:r>
              <w:rPr>
                <w:rFonts w:ascii="Calibri" w:hAnsi="Calibri"/>
                <w:b w:val="0"/>
                <w:i w:val="0"/>
                <w:color w:val="1A1A2E"/>
                <w:sz w:val="19"/>
              </w:rPr>
              <w:t>Subajuste evidente</w:t>
            </w:r>
          </w:p>
        </w:tc>
      </w:tr>
      <w:tr>
        <w:tc>
          <w:tcPr>
            <w:tcW w:type="dxa" w:w="794"/>
            <w:shd w:val="clear" w:color="auto" w:fill="F4F6FA"/>
          </w:tcPr>
          <w:p>
            <w:pPr>
              <w:jc w:val="left"/>
            </w:pPr>
            <w:r>
              <w:rPr>
                <w:rFonts w:ascii="Calibri" w:hAnsi="Calibri"/>
                <w:b w:val="0"/>
                <w:i w:val="0"/>
                <w:color w:val="1A1A2E"/>
                <w:sz w:val="19"/>
              </w:rPr>
              <w:t>E3</w:t>
            </w:r>
          </w:p>
        </w:tc>
        <w:tc>
          <w:tcPr>
            <w:tcW w:type="dxa" w:w="2948"/>
            <w:shd w:val="clear" w:color="auto" w:fill="F4F6FA"/>
          </w:tcPr>
          <w:p>
            <w:pPr>
              <w:jc w:val="left"/>
            </w:pPr>
            <w:r>
              <w:rPr>
                <w:rFonts w:ascii="Calibri" w:hAnsi="Calibri"/>
                <w:b w:val="0"/>
                <w:i w:val="0"/>
                <w:color w:val="1A1A2E"/>
                <w:sz w:val="19"/>
              </w:rPr>
              <w:t>Ridge Regression</w:t>
            </w:r>
          </w:p>
        </w:tc>
        <w:tc>
          <w:tcPr>
            <w:tcW w:type="dxa" w:w="1417"/>
            <w:shd w:val="clear" w:color="auto" w:fill="F4F6FA"/>
          </w:tcPr>
          <w:p>
            <w:pPr>
              <w:jc w:val="left"/>
            </w:pPr>
            <w:r>
              <w:rPr>
                <w:rFonts w:ascii="Calibri" w:hAnsi="Calibri"/>
                <w:b w:val="0"/>
                <w:i w:val="0"/>
                <w:color w:val="1A1A2E"/>
                <w:sz w:val="19"/>
              </w:rPr>
              <w:t>0.7268</w:t>
            </w:r>
          </w:p>
        </w:tc>
        <w:tc>
          <w:tcPr>
            <w:tcW w:type="dxa" w:w="3628"/>
            <w:shd w:val="clear" w:color="auto" w:fill="F4F6FA"/>
          </w:tcPr>
          <w:p>
            <w:pPr>
              <w:jc w:val="left"/>
            </w:pPr>
            <w:r>
              <w:rPr>
                <w:rFonts w:ascii="Calibri" w:hAnsi="Calibri"/>
                <w:b w:val="0"/>
                <w:i w:val="0"/>
                <w:color w:val="1A1A2E"/>
                <w:sz w:val="19"/>
              </w:rPr>
              <w:t>Mejor modelo lineal</w:t>
            </w:r>
          </w:p>
        </w:tc>
      </w:tr>
      <w:tr>
        <w:tc>
          <w:tcPr>
            <w:tcW w:type="dxa" w:w="794"/>
            <w:shd w:val="clear" w:color="auto" w:fill="FFFFFF"/>
          </w:tcPr>
          <w:p>
            <w:pPr>
              <w:jc w:val="left"/>
            </w:pPr>
            <w:r>
              <w:rPr>
                <w:rFonts w:ascii="Calibri" w:hAnsi="Calibri"/>
                <w:b w:val="0"/>
                <w:i w:val="0"/>
                <w:color w:val="1A1A2E"/>
                <w:sz w:val="19"/>
              </w:rPr>
              <w:t>E4</w:t>
            </w:r>
          </w:p>
        </w:tc>
        <w:tc>
          <w:tcPr>
            <w:tcW w:type="dxa" w:w="2948"/>
            <w:shd w:val="clear" w:color="auto" w:fill="FFFFFF"/>
          </w:tcPr>
          <w:p>
            <w:pPr>
              <w:jc w:val="left"/>
            </w:pPr>
            <w:r>
              <w:rPr>
                <w:rFonts w:ascii="Calibri" w:hAnsi="Calibri"/>
                <w:b w:val="0"/>
                <w:i w:val="0"/>
                <w:color w:val="1A1A2E"/>
                <w:sz w:val="19"/>
              </w:rPr>
              <w:t>Random Forest</w:t>
            </w:r>
          </w:p>
        </w:tc>
        <w:tc>
          <w:tcPr>
            <w:tcW w:type="dxa" w:w="1417"/>
            <w:shd w:val="clear" w:color="auto" w:fill="FFFFFF"/>
          </w:tcPr>
          <w:p>
            <w:pPr>
              <w:jc w:val="left"/>
            </w:pPr>
            <w:r>
              <w:rPr>
                <w:rFonts w:ascii="Calibri" w:hAnsi="Calibri"/>
                <w:b w:val="0"/>
                <w:i w:val="0"/>
                <w:color w:val="1A1A2E"/>
                <w:sz w:val="19"/>
              </w:rPr>
              <w:t>0.6823</w:t>
            </w:r>
          </w:p>
        </w:tc>
        <w:tc>
          <w:tcPr>
            <w:tcW w:type="dxa" w:w="3628"/>
            <w:shd w:val="clear" w:color="auto" w:fill="FFFFFF"/>
          </w:tcPr>
          <w:p>
            <w:pPr>
              <w:jc w:val="left"/>
            </w:pPr>
            <w:r>
              <w:rPr>
                <w:rFonts w:ascii="Calibri" w:hAnsi="Calibri"/>
                <w:b w:val="0"/>
                <w:i w:val="0"/>
                <w:color w:val="1A1A2E"/>
                <w:sz w:val="19"/>
              </w:rPr>
              <w:t>Mejora no lineal</w:t>
            </w:r>
          </w:p>
        </w:tc>
      </w:tr>
      <w:tr>
        <w:tc>
          <w:tcPr>
            <w:tcW w:type="dxa" w:w="794"/>
            <w:shd w:val="clear" w:color="auto" w:fill="F4F6FA"/>
          </w:tcPr>
          <w:p>
            <w:pPr>
              <w:jc w:val="left"/>
            </w:pPr>
            <w:r>
              <w:rPr>
                <w:rFonts w:ascii="Calibri" w:hAnsi="Calibri"/>
                <w:b w:val="0"/>
                <w:i w:val="0"/>
                <w:color w:val="1A1A2E"/>
                <w:sz w:val="19"/>
              </w:rPr>
              <w:t>E4</w:t>
            </w:r>
          </w:p>
        </w:tc>
        <w:tc>
          <w:tcPr>
            <w:tcW w:type="dxa" w:w="2948"/>
            <w:shd w:val="clear" w:color="auto" w:fill="F4F6FA"/>
          </w:tcPr>
          <w:p>
            <w:pPr>
              <w:jc w:val="left"/>
            </w:pPr>
            <w:r>
              <w:rPr>
                <w:rFonts w:ascii="Calibri" w:hAnsi="Calibri"/>
                <w:b w:val="0"/>
                <w:i w:val="0"/>
                <w:color w:val="1A1A2E"/>
                <w:sz w:val="19"/>
              </w:rPr>
              <w:t>MLP (Red Neuronal)</w:t>
            </w:r>
          </w:p>
        </w:tc>
        <w:tc>
          <w:tcPr>
            <w:tcW w:type="dxa" w:w="1417"/>
            <w:shd w:val="clear" w:color="auto" w:fill="F4F6FA"/>
          </w:tcPr>
          <w:p>
            <w:pPr>
              <w:jc w:val="left"/>
            </w:pPr>
            <w:r>
              <w:rPr>
                <w:rFonts w:ascii="Calibri" w:hAnsi="Calibri"/>
                <w:b w:val="0"/>
                <w:i w:val="0"/>
                <w:color w:val="1A1A2E"/>
                <w:sz w:val="19"/>
              </w:rPr>
              <w:t>0.6555</w:t>
            </w:r>
          </w:p>
        </w:tc>
        <w:tc>
          <w:tcPr>
            <w:tcW w:type="dxa" w:w="3628"/>
            <w:shd w:val="clear" w:color="auto" w:fill="F4F6FA"/>
          </w:tcPr>
          <w:p>
            <w:pPr>
              <w:jc w:val="left"/>
            </w:pPr>
            <w:r>
              <w:rPr>
                <w:rFonts w:ascii="Calibri" w:hAnsi="Calibri"/>
                <w:b w:val="0"/>
                <w:i w:val="0"/>
                <w:color w:val="1A1A2E"/>
                <w:sz w:val="19"/>
              </w:rPr>
              <w:t>Ganador interim E4</w:t>
            </w:r>
          </w:p>
        </w:tc>
      </w:tr>
      <w:tr>
        <w:tc>
          <w:tcPr>
            <w:tcW w:type="dxa" w:w="794"/>
            <w:shd w:val="clear" w:color="auto" w:fill="FFFFFF"/>
          </w:tcPr>
          <w:p>
            <w:pPr>
              <w:jc w:val="left"/>
            </w:pPr>
            <w:r>
              <w:rPr>
                <w:rFonts w:ascii="Calibri" w:hAnsi="Calibri"/>
                <w:b w:val="0"/>
                <w:i w:val="0"/>
                <w:color w:val="1A1A2E"/>
                <w:sz w:val="19"/>
              </w:rPr>
              <w:t>E5</w:t>
            </w:r>
          </w:p>
        </w:tc>
        <w:tc>
          <w:tcPr>
            <w:tcW w:type="dxa" w:w="2948"/>
            <w:shd w:val="clear" w:color="auto" w:fill="FFFFFF"/>
          </w:tcPr>
          <w:p>
            <w:pPr>
              <w:jc w:val="left"/>
            </w:pPr>
            <w:r>
              <w:rPr>
                <w:rFonts w:ascii="Calibri" w:hAnsi="Calibri"/>
                <w:b w:val="0"/>
                <w:i w:val="0"/>
                <w:color w:val="1A1A2E"/>
                <w:sz w:val="19"/>
              </w:rPr>
              <w:t>XGBoost</w:t>
            </w:r>
          </w:p>
        </w:tc>
        <w:tc>
          <w:tcPr>
            <w:tcW w:type="dxa" w:w="1417"/>
            <w:shd w:val="clear" w:color="auto" w:fill="FFFFFF"/>
          </w:tcPr>
          <w:p>
            <w:pPr>
              <w:jc w:val="left"/>
            </w:pPr>
            <w:r>
              <w:rPr>
                <w:rFonts w:ascii="Calibri" w:hAnsi="Calibri"/>
                <w:b w:val="0"/>
                <w:i w:val="0"/>
                <w:color w:val="1A1A2E"/>
                <w:sz w:val="19"/>
              </w:rPr>
              <w:t>0.6341</w:t>
            </w:r>
          </w:p>
        </w:tc>
        <w:tc>
          <w:tcPr>
            <w:tcW w:type="dxa" w:w="3628"/>
            <w:shd w:val="clear" w:color="auto" w:fill="FFFFFF"/>
          </w:tcPr>
          <w:p>
            <w:pPr>
              <w:jc w:val="left"/>
            </w:pPr>
            <w:r>
              <w:rPr>
                <w:rFonts w:ascii="Calibri" w:hAnsi="Calibri"/>
                <w:b w:val="0"/>
                <w:i w:val="0"/>
                <w:color w:val="1A1A2E"/>
                <w:sz w:val="19"/>
              </w:rPr>
              <w:t>Fuerte alternativa</w:t>
            </w:r>
          </w:p>
        </w:tc>
      </w:tr>
      <w:tr>
        <w:tc>
          <w:tcPr>
            <w:tcW w:type="dxa" w:w="794"/>
            <w:shd w:val="clear" w:color="auto" w:fill="F4F6FA"/>
          </w:tcPr>
          <w:p>
            <w:pPr>
              <w:jc w:val="left"/>
            </w:pPr>
            <w:r>
              <w:rPr>
                <w:rFonts w:ascii="Calibri" w:hAnsi="Calibri"/>
                <w:b w:val="0"/>
                <w:i w:val="0"/>
                <w:color w:val="1A1A2E"/>
                <w:sz w:val="19"/>
              </w:rPr>
              <w:t>E5</w:t>
            </w:r>
          </w:p>
        </w:tc>
        <w:tc>
          <w:tcPr>
            <w:tcW w:type="dxa" w:w="2948"/>
            <w:shd w:val="clear" w:color="auto" w:fill="F4F6FA"/>
          </w:tcPr>
          <w:p>
            <w:pPr>
              <w:jc w:val="left"/>
            </w:pPr>
            <w:r>
              <w:rPr>
                <w:rFonts w:ascii="Calibri" w:hAnsi="Calibri"/>
                <w:b w:val="0"/>
                <w:i w:val="0"/>
                <w:color w:val="1A1A2E"/>
                <w:sz w:val="19"/>
              </w:rPr>
              <w:t>Stacking Ensemble</w:t>
            </w:r>
          </w:p>
        </w:tc>
        <w:tc>
          <w:tcPr>
            <w:tcW w:type="dxa" w:w="1417"/>
            <w:shd w:val="clear" w:color="auto" w:fill="F4F6FA"/>
          </w:tcPr>
          <w:p>
            <w:pPr>
              <w:jc w:val="left"/>
            </w:pPr>
            <w:r>
              <w:rPr>
                <w:rFonts w:ascii="Calibri" w:hAnsi="Calibri"/>
                <w:b w:val="0"/>
                <w:i w:val="0"/>
                <w:color w:val="1A1A2E"/>
                <w:sz w:val="19"/>
              </w:rPr>
              <w:t>0.6117</w:t>
            </w:r>
          </w:p>
        </w:tc>
        <w:tc>
          <w:tcPr>
            <w:tcW w:type="dxa" w:w="3628"/>
            <w:shd w:val="clear" w:color="auto" w:fill="F4F6FA"/>
          </w:tcPr>
          <w:p>
            <w:pPr>
              <w:jc w:val="left"/>
            </w:pPr>
            <w:r>
              <w:rPr>
                <w:rFonts w:ascii="Calibri" w:hAnsi="Calibri"/>
                <w:b w:val="0"/>
                <w:i w:val="0"/>
                <w:color w:val="1A1A2E"/>
                <w:sz w:val="19"/>
              </w:rPr>
              <w:t>MODELO FINAL</w:t>
            </w:r>
          </w:p>
        </w:tc>
      </w:tr>
    </w:tbl>
    <w:p/>
    <w:p>
      <w:pPr>
        <w:spacing w:after="80"/>
      </w:pPr>
      <w:r>
        <w:rPr>
          <w:rFonts w:ascii="Calibri" w:hAnsi="Calibri"/>
          <w:sz w:val="20"/>
        </w:rPr>
        <w:t>Justificacion del Modelo Final — Stacking Ensemble (E5):</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val="clear" w:color="auto" w:fill="161E44"/>
          </w:tcPr>
          <w:p>
            <w:pPr>
              <w:jc w:val="center"/>
            </w:pPr>
            <w:r>
              <w:rPr>
                <w:rFonts w:ascii="Calibri" w:hAnsi="Calibri"/>
                <w:b/>
                <w:i w:val="0"/>
                <w:color w:val="FFFFFF"/>
                <w:sz w:val="20"/>
              </w:rPr>
              <w:t>Metrica</w:t>
            </w:r>
          </w:p>
        </w:tc>
        <w:tc>
          <w:tcPr>
            <w:tcW w:type="dxa" w:w="1701"/>
            <w:shd w:val="clear" w:color="auto" w:fill="161E44"/>
          </w:tcPr>
          <w:p>
            <w:pPr>
              <w:jc w:val="center"/>
            </w:pPr>
            <w:r>
              <w:rPr>
                <w:rFonts w:ascii="Calibri" w:hAnsi="Calibri"/>
                <w:b/>
                <w:i w:val="0"/>
                <w:color w:val="FFFFFF"/>
                <w:sz w:val="20"/>
              </w:rPr>
              <w:t>Valor</w:t>
            </w:r>
          </w:p>
        </w:tc>
        <w:tc>
          <w:tcPr>
            <w:tcW w:type="dxa" w:w="4535"/>
            <w:shd w:val="clear" w:color="auto" w:fill="161E44"/>
          </w:tcPr>
          <w:p>
            <w:pPr>
              <w:jc w:val="center"/>
            </w:pPr>
            <w:r>
              <w:rPr>
                <w:rFonts w:ascii="Calibri" w:hAnsi="Calibri"/>
                <w:b/>
                <w:i w:val="0"/>
                <w:color w:val="FFFFFF"/>
                <w:sz w:val="20"/>
              </w:rPr>
              <w:t>Interpretacion</w:t>
            </w:r>
          </w:p>
        </w:tc>
      </w:tr>
      <w:tr>
        <w:tc>
          <w:tcPr>
            <w:tcW w:type="dxa" w:w="2551"/>
            <w:shd w:val="clear" w:color="auto" w:fill="F4F6FA"/>
          </w:tcPr>
          <w:p>
            <w:pPr>
              <w:jc w:val="left"/>
            </w:pPr>
            <w:r>
              <w:rPr>
                <w:rFonts w:ascii="Calibri" w:hAnsi="Calibri"/>
                <w:b w:val="0"/>
                <w:i w:val="0"/>
                <w:color w:val="1A1A2E"/>
                <w:sz w:val="19"/>
              </w:rPr>
              <w:t>RMSE (CV)</w:t>
            </w:r>
          </w:p>
        </w:tc>
        <w:tc>
          <w:tcPr>
            <w:tcW w:type="dxa" w:w="1701"/>
            <w:shd w:val="clear" w:color="auto" w:fill="F4F6FA"/>
          </w:tcPr>
          <w:p>
            <w:pPr>
              <w:jc w:val="left"/>
            </w:pPr>
            <w:r>
              <w:rPr>
                <w:rFonts w:ascii="Calibri" w:hAnsi="Calibri"/>
                <w:b w:val="0"/>
                <w:i w:val="0"/>
                <w:color w:val="1A1A2E"/>
                <w:sz w:val="19"/>
              </w:rPr>
              <w:t>0.6117</w:t>
            </w:r>
          </w:p>
        </w:tc>
        <w:tc>
          <w:tcPr>
            <w:tcW w:type="dxa" w:w="4535"/>
            <w:shd w:val="clear" w:color="auto" w:fill="F4F6FA"/>
          </w:tcPr>
          <w:p>
            <w:pPr>
              <w:jc w:val="left"/>
            </w:pPr>
            <w:r>
              <w:rPr>
                <w:rFonts w:ascii="Calibri" w:hAnsi="Calibri"/>
                <w:b w:val="0"/>
                <w:i w:val="0"/>
                <w:color w:val="1A1A2E"/>
                <w:sz w:val="19"/>
              </w:rPr>
              <w:t>Error promedio de ~0.61 g CH4/kg leche</w:t>
            </w:r>
          </w:p>
        </w:tc>
      </w:tr>
      <w:tr>
        <w:tc>
          <w:tcPr>
            <w:tcW w:type="dxa" w:w="2551"/>
            <w:shd w:val="clear" w:color="auto" w:fill="FFFFFF"/>
          </w:tcPr>
          <w:p>
            <w:pPr>
              <w:jc w:val="left"/>
            </w:pPr>
            <w:r>
              <w:rPr>
                <w:rFonts w:ascii="Calibri" w:hAnsi="Calibri"/>
                <w:b w:val="0"/>
                <w:i w:val="0"/>
                <w:color w:val="1A1A2E"/>
                <w:sz w:val="19"/>
              </w:rPr>
              <w:t>R²</w:t>
            </w:r>
          </w:p>
        </w:tc>
        <w:tc>
          <w:tcPr>
            <w:tcW w:type="dxa" w:w="1701"/>
            <w:shd w:val="clear" w:color="auto" w:fill="FFFFFF"/>
          </w:tcPr>
          <w:p>
            <w:pPr>
              <w:jc w:val="left"/>
            </w:pPr>
            <w:r>
              <w:rPr>
                <w:rFonts w:ascii="Calibri" w:hAnsi="Calibri"/>
                <w:b w:val="0"/>
                <w:i w:val="0"/>
                <w:color w:val="1A1A2E"/>
                <w:sz w:val="19"/>
              </w:rPr>
              <w:t>0.9779</w:t>
            </w:r>
          </w:p>
        </w:tc>
        <w:tc>
          <w:tcPr>
            <w:tcW w:type="dxa" w:w="4535"/>
            <w:shd w:val="clear" w:color="auto" w:fill="FFFFFF"/>
          </w:tcPr>
          <w:p>
            <w:pPr>
              <w:jc w:val="left"/>
            </w:pPr>
            <w:r>
              <w:rPr>
                <w:rFonts w:ascii="Calibri" w:hAnsi="Calibri"/>
                <w:b w:val="0"/>
                <w:i w:val="0"/>
                <w:color w:val="1A1A2E"/>
                <w:sz w:val="19"/>
              </w:rPr>
              <w:t>Explica el 97.79% de la varianza observada</w:t>
            </w:r>
          </w:p>
        </w:tc>
      </w:tr>
      <w:tr>
        <w:tc>
          <w:tcPr>
            <w:tcW w:type="dxa" w:w="2551"/>
            <w:shd w:val="clear" w:color="auto" w:fill="F4F6FA"/>
          </w:tcPr>
          <w:p>
            <w:pPr>
              <w:jc w:val="left"/>
            </w:pPr>
            <w:r>
              <w:rPr>
                <w:rFonts w:ascii="Calibri" w:hAnsi="Calibri"/>
                <w:b w:val="0"/>
                <w:i w:val="0"/>
                <w:color w:val="1A1A2E"/>
                <w:sz w:val="19"/>
              </w:rPr>
              <w:t>Latencia inferencia</w:t>
            </w:r>
          </w:p>
        </w:tc>
        <w:tc>
          <w:tcPr>
            <w:tcW w:type="dxa" w:w="1701"/>
            <w:shd w:val="clear" w:color="auto" w:fill="F4F6FA"/>
          </w:tcPr>
          <w:p>
            <w:pPr>
              <w:jc w:val="left"/>
            </w:pPr>
            <w:r>
              <w:rPr>
                <w:rFonts w:ascii="Calibri" w:hAnsi="Calibri"/>
                <w:b w:val="0"/>
                <w:i w:val="0"/>
                <w:color w:val="1A1A2E"/>
                <w:sz w:val="19"/>
              </w:rPr>
              <w:t>7.3 ms</w:t>
            </w:r>
          </w:p>
        </w:tc>
        <w:tc>
          <w:tcPr>
            <w:tcW w:type="dxa" w:w="4535"/>
            <w:shd w:val="clear" w:color="auto" w:fill="F4F6FA"/>
          </w:tcPr>
          <w:p>
            <w:pPr>
              <w:jc w:val="left"/>
            </w:pPr>
            <w:r>
              <w:rPr>
                <w:rFonts w:ascii="Calibri" w:hAnsi="Calibri"/>
                <w:b w:val="0"/>
                <w:i w:val="0"/>
                <w:color w:val="1A1A2E"/>
                <w:sz w:val="19"/>
              </w:rPr>
              <w:t>Apto para uso en tiempo real (SLO &lt; 200 ms P95)</w:t>
            </w:r>
          </w:p>
        </w:tc>
      </w:tr>
      <w:tr>
        <w:tc>
          <w:tcPr>
            <w:tcW w:type="dxa" w:w="2551"/>
            <w:shd w:val="clear" w:color="auto" w:fill="FFFFFF"/>
          </w:tcPr>
          <w:p>
            <w:pPr>
              <w:jc w:val="left"/>
            </w:pPr>
            <w:r>
              <w:rPr>
                <w:rFonts w:ascii="Calibri" w:hAnsi="Calibri"/>
                <w:b w:val="0"/>
                <w:i w:val="0"/>
                <w:color w:val="1A1A2E"/>
                <w:sz w:val="19"/>
              </w:rPr>
              <w:t>Mejora vs baseline</w:t>
            </w:r>
          </w:p>
        </w:tc>
        <w:tc>
          <w:tcPr>
            <w:tcW w:type="dxa" w:w="1701"/>
            <w:shd w:val="clear" w:color="auto" w:fill="FFFFFF"/>
          </w:tcPr>
          <w:p>
            <w:pPr>
              <w:jc w:val="left"/>
            </w:pPr>
            <w:r>
              <w:rPr>
                <w:rFonts w:ascii="Calibri" w:hAnsi="Calibri"/>
                <w:b w:val="0"/>
                <w:i w:val="0"/>
                <w:color w:val="1A1A2E"/>
                <w:sz w:val="19"/>
              </w:rPr>
              <w:t>-15.8%</w:t>
            </w:r>
          </w:p>
        </w:tc>
        <w:tc>
          <w:tcPr>
            <w:tcW w:type="dxa" w:w="4535"/>
            <w:shd w:val="clear" w:color="auto" w:fill="FFFFFF"/>
          </w:tcPr>
          <w:p>
            <w:pPr>
              <w:jc w:val="left"/>
            </w:pPr>
            <w:r>
              <w:rPr>
                <w:rFonts w:ascii="Calibri" w:hAnsi="Calibri"/>
                <w:b w:val="0"/>
                <w:i w:val="0"/>
                <w:color w:val="1A1A2E"/>
                <w:sz w:val="19"/>
              </w:rPr>
              <w:t>Reduccion de RMSE respecto al mejor modelo previo (MLP)</w:t>
            </w:r>
          </w:p>
        </w:tc>
      </w:tr>
      <w:tr>
        <w:tc>
          <w:tcPr>
            <w:tcW w:type="dxa" w:w="2551"/>
            <w:shd w:val="clear" w:color="auto" w:fill="F4F6FA"/>
          </w:tcPr>
          <w:p>
            <w:pPr>
              <w:jc w:val="left"/>
            </w:pPr>
            <w:r>
              <w:rPr>
                <w:rFonts w:ascii="Calibri" w:hAnsi="Calibri"/>
                <w:b w:val="0"/>
                <w:i w:val="0"/>
                <w:color w:val="1A1A2E"/>
                <w:sz w:val="19"/>
              </w:rPr>
              <w:t>Significancia</w:t>
            </w:r>
          </w:p>
        </w:tc>
        <w:tc>
          <w:tcPr>
            <w:tcW w:type="dxa" w:w="1701"/>
            <w:shd w:val="clear" w:color="auto" w:fill="F4F6FA"/>
          </w:tcPr>
          <w:p>
            <w:pPr>
              <w:jc w:val="left"/>
            </w:pPr>
            <w:r>
              <w:rPr>
                <w:rFonts w:ascii="Calibri" w:hAnsi="Calibri"/>
                <w:b w:val="0"/>
                <w:i w:val="0"/>
                <w:color w:val="1A1A2E"/>
                <w:sz w:val="19"/>
              </w:rPr>
              <w:t>p &lt; 0.0001</w:t>
            </w:r>
          </w:p>
        </w:tc>
        <w:tc>
          <w:tcPr>
            <w:tcW w:type="dxa" w:w="4535"/>
            <w:shd w:val="clear" w:color="auto" w:fill="F4F6FA"/>
          </w:tcPr>
          <w:p>
            <w:pPr>
              <w:jc w:val="left"/>
            </w:pPr>
            <w:r>
              <w:rPr>
                <w:rFonts w:ascii="Calibri" w:hAnsi="Calibri"/>
                <w:b w:val="0"/>
                <w:i w:val="0"/>
                <w:color w:val="1A1A2E"/>
                <w:sz w:val="19"/>
              </w:rPr>
              <w:t>Diferencia estadisticamente significativa</w:t>
            </w:r>
          </w:p>
        </w:tc>
      </w:tr>
    </w:tbl>
    <w:p/>
    <w:p>
      <w:pPr>
        <w:pBdr>
          <w:bottom w:val="single" w:sz="6" w:space="1" w:color="00A07A"/>
        </w:pBdr>
        <w:spacing w:after="160"/>
      </w:pPr>
    </w:p>
    <w:p>
      <w:pPr>
        <w:spacing w:before="320" w:after="80"/>
      </w:pPr>
      <w:r>
        <w:rPr>
          <w:rFonts w:ascii="Calibri" w:hAnsi="Calibri"/>
          <w:b/>
          <w:color w:val="00A07A"/>
          <w:sz w:val="26"/>
        </w:rPr>
        <w:t xml:space="preserve">4. </w:t>
      </w:r>
      <w:r>
        <w:rPr>
          <w:rFonts w:ascii="Calibri" w:hAnsi="Calibri"/>
          <w:b/>
          <w:color w:val="161E44"/>
          <w:sz w:val="26"/>
        </w:rPr>
        <w:t>RECOMENDACIONES DE IMPLEMENTACION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47"/>
            <w:shd w:val="clear" w:color="auto" w:fill="161E44"/>
          </w:tcPr>
          <w:p>
            <w:pPr>
              <w:jc w:val="center"/>
            </w:pPr>
            <w:r>
              <w:rPr>
                <w:rFonts w:ascii="Calibri" w:hAnsi="Calibri"/>
                <w:b/>
                <w:i w:val="0"/>
                <w:color w:val="FFFFFF"/>
                <w:sz w:val="20"/>
              </w:rPr>
              <w:t>Plazo</w:t>
            </w:r>
          </w:p>
        </w:tc>
        <w:tc>
          <w:tcPr>
            <w:tcW w:type="dxa" w:w="3118"/>
            <w:shd w:val="clear" w:color="auto" w:fill="161E44"/>
          </w:tcPr>
          <w:p>
            <w:pPr>
              <w:jc w:val="center"/>
            </w:pPr>
            <w:r>
              <w:rPr>
                <w:rFonts w:ascii="Calibri" w:hAnsi="Calibri"/>
                <w:b/>
                <w:i w:val="0"/>
                <w:color w:val="FFFFFF"/>
                <w:sz w:val="20"/>
              </w:rPr>
              <w:t>Accion</w:t>
            </w:r>
          </w:p>
        </w:tc>
        <w:tc>
          <w:tcPr>
            <w:tcW w:type="dxa" w:w="1871"/>
            <w:shd w:val="clear" w:color="auto" w:fill="161E44"/>
          </w:tcPr>
          <w:p>
            <w:pPr>
              <w:jc w:val="center"/>
            </w:pPr>
            <w:r>
              <w:rPr>
                <w:rFonts w:ascii="Calibri" w:hAnsi="Calibri"/>
                <w:b/>
                <w:i w:val="0"/>
                <w:color w:val="FFFFFF"/>
                <w:sz w:val="20"/>
              </w:rPr>
              <w:t>Responsable</w:t>
            </w:r>
          </w:p>
        </w:tc>
        <w:tc>
          <w:tcPr>
            <w:tcW w:type="dxa" w:w="2551"/>
            <w:shd w:val="clear" w:color="auto" w:fill="161E44"/>
          </w:tcPr>
          <w:p>
            <w:pPr>
              <w:jc w:val="center"/>
            </w:pPr>
            <w:r>
              <w:rPr>
                <w:rFonts w:ascii="Calibri" w:hAnsi="Calibri"/>
                <w:b/>
                <w:i w:val="0"/>
                <w:color w:val="FFFFFF"/>
                <w:sz w:val="20"/>
              </w:rPr>
              <w:t>Impacto Esperado</w:t>
            </w:r>
          </w:p>
        </w:tc>
      </w:tr>
      <w:tr>
        <w:tc>
          <w:tcPr>
            <w:tcW w:type="dxa" w:w="1247"/>
            <w:shd w:val="clear" w:color="auto" w:fill="F4F6FA"/>
          </w:tcPr>
          <w:p>
            <w:pPr>
              <w:jc w:val="left"/>
            </w:pPr>
            <w:r>
              <w:rPr>
                <w:rFonts w:ascii="Calibri" w:hAnsi="Calibri"/>
                <w:b w:val="0"/>
                <w:i w:val="0"/>
                <w:color w:val="1A1A2E"/>
                <w:sz w:val="19"/>
              </w:rPr>
              <w:t>0–3 meses</w:t>
            </w:r>
          </w:p>
        </w:tc>
        <w:tc>
          <w:tcPr>
            <w:tcW w:type="dxa" w:w="3118"/>
            <w:shd w:val="clear" w:color="auto" w:fill="F4F6FA"/>
          </w:tcPr>
          <w:p>
            <w:pPr>
              <w:jc w:val="left"/>
            </w:pPr>
            <w:r>
              <w:rPr>
                <w:rFonts w:ascii="Calibri" w:hAnsi="Calibri"/>
                <w:b w:val="0"/>
                <w:i w:val="0"/>
                <w:color w:val="1A1A2E"/>
                <w:sz w:val="19"/>
              </w:rPr>
              <w:t>Desplegar modelo en GCP Cloud Run (contenedor Docker). Costo aprox. $31 USD/mes.</w:t>
            </w:r>
          </w:p>
        </w:tc>
        <w:tc>
          <w:tcPr>
            <w:tcW w:type="dxa" w:w="1871"/>
            <w:shd w:val="clear" w:color="auto" w:fill="F4F6FA"/>
          </w:tcPr>
          <w:p>
            <w:pPr>
              <w:jc w:val="left"/>
            </w:pPr>
            <w:r>
              <w:rPr>
                <w:rFonts w:ascii="Calibri" w:hAnsi="Calibri"/>
                <w:b w:val="0"/>
                <w:i w:val="0"/>
                <w:color w:val="1A1A2E"/>
                <w:sz w:val="19"/>
              </w:rPr>
              <w:t>Equipo ML + DevOps</w:t>
            </w:r>
          </w:p>
        </w:tc>
        <w:tc>
          <w:tcPr>
            <w:tcW w:type="dxa" w:w="2551"/>
            <w:shd w:val="clear" w:color="auto" w:fill="F4F6FA"/>
          </w:tcPr>
          <w:p>
            <w:pPr>
              <w:jc w:val="left"/>
            </w:pPr>
            <w:r>
              <w:rPr>
                <w:rFonts w:ascii="Calibri" w:hAnsi="Calibri"/>
                <w:b w:val="0"/>
                <w:i w:val="0"/>
                <w:color w:val="1A1A2E"/>
                <w:sz w:val="19"/>
              </w:rPr>
              <w:t>Sistema productivo disponible; SLO: P95 &lt; 200 ms, uptime 99.5%, error rate &lt; 0.1%</w:t>
            </w:r>
          </w:p>
        </w:tc>
      </w:tr>
      <w:tr>
        <w:tc>
          <w:tcPr>
            <w:tcW w:type="dxa" w:w="1247"/>
            <w:shd w:val="clear" w:color="auto" w:fill="FFFFFF"/>
          </w:tcPr>
          <w:p>
            <w:pPr>
              <w:jc w:val="left"/>
            </w:pPr>
            <w:r>
              <w:rPr>
                <w:rFonts w:ascii="Calibri" w:hAnsi="Calibri"/>
                <w:b w:val="0"/>
                <w:i w:val="0"/>
                <w:color w:val="1A1A2E"/>
                <w:sz w:val="19"/>
              </w:rPr>
              <w:t>0–3 meses</w:t>
            </w:r>
          </w:p>
        </w:tc>
        <w:tc>
          <w:tcPr>
            <w:tcW w:type="dxa" w:w="3118"/>
            <w:shd w:val="clear" w:color="auto" w:fill="FFFFFF"/>
          </w:tcPr>
          <w:p>
            <w:pPr>
              <w:jc w:val="left"/>
            </w:pPr>
            <w:r>
              <w:rPr>
                <w:rFonts w:ascii="Calibri" w:hAnsi="Calibri"/>
                <w:b w:val="0"/>
                <w:i w:val="0"/>
                <w:color w:val="1A1A2E"/>
                <w:sz w:val="19"/>
              </w:rPr>
              <w:t>Configurar IAM con 5 roles: admin, veterinario, pipeline, sponsor, auditor.</w:t>
            </w:r>
          </w:p>
        </w:tc>
        <w:tc>
          <w:tcPr>
            <w:tcW w:type="dxa" w:w="1871"/>
            <w:shd w:val="clear" w:color="auto" w:fill="FFFFFF"/>
          </w:tcPr>
          <w:p>
            <w:pPr>
              <w:jc w:val="left"/>
            </w:pPr>
            <w:r>
              <w:rPr>
                <w:rFonts w:ascii="Calibri" w:hAnsi="Calibri"/>
                <w:b w:val="0"/>
                <w:i w:val="0"/>
                <w:color w:val="1A1A2E"/>
                <w:sz w:val="19"/>
              </w:rPr>
              <w:t>Arquitecto de seguridad</w:t>
            </w:r>
          </w:p>
        </w:tc>
        <w:tc>
          <w:tcPr>
            <w:tcW w:type="dxa" w:w="2551"/>
            <w:shd w:val="clear" w:color="auto" w:fill="FFFFFF"/>
          </w:tcPr>
          <w:p>
            <w:pPr>
              <w:jc w:val="left"/>
            </w:pPr>
            <w:r>
              <w:rPr>
                <w:rFonts w:ascii="Calibri" w:hAnsi="Calibri"/>
                <w:b w:val="0"/>
                <w:i w:val="0"/>
                <w:color w:val="1A1A2E"/>
                <w:sz w:val="19"/>
              </w:rPr>
              <w:t>Acceso minimo privilegio; trazabilidad completa de predicciones</w:t>
            </w:r>
          </w:p>
        </w:tc>
      </w:tr>
      <w:tr>
        <w:tc>
          <w:tcPr>
            <w:tcW w:type="dxa" w:w="1247"/>
            <w:shd w:val="clear" w:color="auto" w:fill="F4F6FA"/>
          </w:tcPr>
          <w:p>
            <w:pPr>
              <w:jc w:val="left"/>
            </w:pPr>
            <w:r>
              <w:rPr>
                <w:rFonts w:ascii="Calibri" w:hAnsi="Calibri"/>
                <w:b w:val="0"/>
                <w:i w:val="0"/>
                <w:color w:val="1A1A2E"/>
                <w:sz w:val="19"/>
              </w:rPr>
              <w:t>3–6 meses</w:t>
            </w:r>
          </w:p>
        </w:tc>
        <w:tc>
          <w:tcPr>
            <w:tcW w:type="dxa" w:w="3118"/>
            <w:shd w:val="clear" w:color="auto" w:fill="F4F6FA"/>
          </w:tcPr>
          <w:p>
            <w:pPr>
              <w:jc w:val="left"/>
            </w:pPr>
            <w:r>
              <w:rPr>
                <w:rFonts w:ascii="Calibri" w:hAnsi="Calibri"/>
                <w:b w:val="0"/>
                <w:i w:val="0"/>
                <w:color w:val="1A1A2E"/>
                <w:sz w:val="19"/>
              </w:rPr>
              <w:t>Implementar pipeline de reentrenamiento mensual automatizado con validacion de drift.</w:t>
            </w:r>
          </w:p>
        </w:tc>
        <w:tc>
          <w:tcPr>
            <w:tcW w:type="dxa" w:w="1871"/>
            <w:shd w:val="clear" w:color="auto" w:fill="F4F6FA"/>
          </w:tcPr>
          <w:p>
            <w:pPr>
              <w:jc w:val="left"/>
            </w:pPr>
            <w:r>
              <w:rPr>
                <w:rFonts w:ascii="Calibri" w:hAnsi="Calibri"/>
                <w:b w:val="0"/>
                <w:i w:val="0"/>
                <w:color w:val="1A1A2E"/>
                <w:sz w:val="19"/>
              </w:rPr>
              <w:t>Ing. ML</w:t>
            </w:r>
          </w:p>
        </w:tc>
        <w:tc>
          <w:tcPr>
            <w:tcW w:type="dxa" w:w="2551"/>
            <w:shd w:val="clear" w:color="auto" w:fill="F4F6FA"/>
          </w:tcPr>
          <w:p>
            <w:pPr>
              <w:jc w:val="left"/>
            </w:pPr>
            <w:r>
              <w:rPr>
                <w:rFonts w:ascii="Calibri" w:hAnsi="Calibri"/>
                <w:b w:val="0"/>
                <w:i w:val="0"/>
                <w:color w:val="1A1A2E"/>
                <w:sz w:val="19"/>
              </w:rPr>
              <w:t>Modelo actualizado ante cambios estacionales o de hato</w:t>
            </w:r>
          </w:p>
        </w:tc>
      </w:tr>
      <w:tr>
        <w:tc>
          <w:tcPr>
            <w:tcW w:type="dxa" w:w="1247"/>
            <w:shd w:val="clear" w:color="auto" w:fill="FFFFFF"/>
          </w:tcPr>
          <w:p>
            <w:pPr>
              <w:jc w:val="left"/>
            </w:pPr>
            <w:r>
              <w:rPr>
                <w:rFonts w:ascii="Calibri" w:hAnsi="Calibri"/>
                <w:b w:val="0"/>
                <w:i w:val="0"/>
                <w:color w:val="1A1A2E"/>
                <w:sz w:val="19"/>
              </w:rPr>
              <w:t>3–6 meses</w:t>
            </w:r>
          </w:p>
        </w:tc>
        <w:tc>
          <w:tcPr>
            <w:tcW w:type="dxa" w:w="3118"/>
            <w:shd w:val="clear" w:color="auto" w:fill="FFFFFF"/>
          </w:tcPr>
          <w:p>
            <w:pPr>
              <w:jc w:val="left"/>
            </w:pPr>
            <w:r>
              <w:rPr>
                <w:rFonts w:ascii="Calibri" w:hAnsi="Calibri"/>
                <w:b w:val="0"/>
                <w:i w:val="0"/>
                <w:color w:val="1A1A2E"/>
                <w:sz w:val="19"/>
              </w:rPr>
              <w:t>Entregar Runbook operativo e IaC (Terraform) al sponsor para handoff formal.</w:t>
            </w:r>
          </w:p>
        </w:tc>
        <w:tc>
          <w:tcPr>
            <w:tcW w:type="dxa" w:w="1871"/>
            <w:shd w:val="clear" w:color="auto" w:fill="FFFFFF"/>
          </w:tcPr>
          <w:p>
            <w:pPr>
              <w:jc w:val="left"/>
            </w:pPr>
            <w:r>
              <w:rPr>
                <w:rFonts w:ascii="Calibri" w:hAnsi="Calibri"/>
                <w:b w:val="0"/>
                <w:i w:val="0"/>
                <w:color w:val="1A1A2E"/>
                <w:sz w:val="19"/>
              </w:rPr>
              <w:t>Lider tecnico</w:t>
            </w:r>
          </w:p>
        </w:tc>
        <w:tc>
          <w:tcPr>
            <w:tcW w:type="dxa" w:w="2551"/>
            <w:shd w:val="clear" w:color="auto" w:fill="FFFFFF"/>
          </w:tcPr>
          <w:p>
            <w:pPr>
              <w:jc w:val="left"/>
            </w:pPr>
            <w:r>
              <w:rPr>
                <w:rFonts w:ascii="Calibri" w:hAnsi="Calibri"/>
                <w:b w:val="0"/>
                <w:i w:val="0"/>
                <w:color w:val="1A1A2E"/>
                <w:sz w:val="19"/>
              </w:rPr>
              <w:t>Continuidad operativa; reduccion de dependencia del equipo academico</w:t>
            </w:r>
          </w:p>
        </w:tc>
      </w:tr>
      <w:tr>
        <w:tc>
          <w:tcPr>
            <w:tcW w:type="dxa" w:w="1247"/>
            <w:shd w:val="clear" w:color="auto" w:fill="F4F6FA"/>
          </w:tcPr>
          <w:p>
            <w:pPr>
              <w:jc w:val="left"/>
            </w:pPr>
            <w:r>
              <w:rPr>
                <w:rFonts w:ascii="Calibri" w:hAnsi="Calibri"/>
                <w:b w:val="0"/>
                <w:i w:val="0"/>
                <w:color w:val="1A1A2E"/>
                <w:sz w:val="19"/>
              </w:rPr>
              <w:t>6–12 meses</w:t>
            </w:r>
          </w:p>
        </w:tc>
        <w:tc>
          <w:tcPr>
            <w:tcW w:type="dxa" w:w="3118"/>
            <w:shd w:val="clear" w:color="auto" w:fill="F4F6FA"/>
          </w:tcPr>
          <w:p>
            <w:pPr>
              <w:jc w:val="left"/>
            </w:pPr>
            <w:r>
              <w:rPr>
                <w:rFonts w:ascii="Calibri" w:hAnsi="Calibri"/>
                <w:b w:val="0"/>
                <w:i w:val="0"/>
                <w:color w:val="1A1A2E"/>
                <w:sz w:val="19"/>
              </w:rPr>
              <w:t>Expansion a modulo de recomendacion de dosis y dashboard para veterinarios.</w:t>
            </w:r>
          </w:p>
        </w:tc>
        <w:tc>
          <w:tcPr>
            <w:tcW w:type="dxa" w:w="1871"/>
            <w:shd w:val="clear" w:color="auto" w:fill="F4F6FA"/>
          </w:tcPr>
          <w:p>
            <w:pPr>
              <w:jc w:val="left"/>
            </w:pPr>
            <w:r>
              <w:rPr>
                <w:rFonts w:ascii="Calibri" w:hAnsi="Calibri"/>
                <w:b w:val="0"/>
                <w:i w:val="0"/>
                <w:color w:val="1A1A2E"/>
                <w:sz w:val="19"/>
              </w:rPr>
              <w:t>Product Owner + Vet.</w:t>
            </w:r>
          </w:p>
        </w:tc>
        <w:tc>
          <w:tcPr>
            <w:tcW w:type="dxa" w:w="2551"/>
            <w:shd w:val="clear" w:color="auto" w:fill="F4F6FA"/>
          </w:tcPr>
          <w:p>
            <w:pPr>
              <w:jc w:val="left"/>
            </w:pPr>
            <w:r>
              <w:rPr>
                <w:rFonts w:ascii="Calibri" w:hAnsi="Calibri"/>
                <w:b w:val="0"/>
                <w:i w:val="0"/>
                <w:color w:val="1A1A2E"/>
                <w:sz w:val="19"/>
              </w:rPr>
              <w:t>Adopcion plena; habilitacion de creditos de carbono verificables</w:t>
            </w:r>
          </w:p>
        </w:tc>
      </w:tr>
    </w:tbl>
    <w:p/>
    <w:p>
      <w:pPr>
        <w:pBdr>
          <w:bottom w:val="single" w:sz="6" w:space="1" w:color="00A07A"/>
        </w:pBdr>
        <w:spacing w:after="160"/>
      </w:pPr>
    </w:p>
    <w:p>
      <w:pPr>
        <w:spacing w:before="320" w:after="80"/>
      </w:pPr>
      <w:r>
        <w:rPr>
          <w:rFonts w:ascii="Calibri" w:hAnsi="Calibri"/>
          <w:b/>
          <w:color w:val="00A07A"/>
          <w:sz w:val="26"/>
        </w:rPr>
        <w:t xml:space="preserve">5. </w:t>
      </w:r>
      <w:r>
        <w:rPr>
          <w:rFonts w:ascii="Calibri" w:hAnsi="Calibri"/>
          <w:b/>
          <w:color w:val="161E44"/>
          <w:sz w:val="26"/>
        </w:rPr>
        <w:t>ANALISIS COSTO-BENEFICIO</w:t>
      </w:r>
    </w:p>
    <w:p>
      <w:pPr>
        <w:spacing w:after="80"/>
      </w:pPr>
      <w:r>
        <w:rPr>
          <w:rFonts w:ascii="Calibri" w:hAnsi="Calibri"/>
          <w:sz w:val="20"/>
        </w:rPr>
        <w:t>Costos del Proyecto (Ano 1):</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161E44"/>
          </w:tcPr>
          <w:p>
            <w:pPr>
              <w:jc w:val="center"/>
            </w:pPr>
            <w:r>
              <w:rPr>
                <w:rFonts w:ascii="Calibri" w:hAnsi="Calibri"/>
                <w:b/>
                <w:i w:val="0"/>
                <w:color w:val="FFFFFF"/>
                <w:sz w:val="20"/>
              </w:rPr>
              <w:t>Fase CRISP-ML</w:t>
            </w:r>
          </w:p>
        </w:tc>
        <w:tc>
          <w:tcPr>
            <w:tcW w:type="dxa" w:w="4535"/>
            <w:shd w:val="clear" w:color="auto" w:fill="161E44"/>
          </w:tcPr>
          <w:p>
            <w:pPr>
              <w:jc w:val="center"/>
            </w:pPr>
            <w:r>
              <w:rPr>
                <w:rFonts w:ascii="Calibri" w:hAnsi="Calibri"/>
                <w:b/>
                <w:i w:val="0"/>
                <w:color w:val="FFFFFF"/>
                <w:sz w:val="20"/>
              </w:rPr>
              <w:t>Componente</w:t>
            </w:r>
          </w:p>
        </w:tc>
        <w:tc>
          <w:tcPr>
            <w:tcW w:type="dxa" w:w="1417"/>
            <w:shd w:val="clear" w:color="auto" w:fill="161E44"/>
          </w:tcPr>
          <w:p>
            <w:pPr>
              <w:jc w:val="center"/>
            </w:pPr>
            <w:r>
              <w:rPr>
                <w:rFonts w:ascii="Calibri" w:hAnsi="Calibri"/>
                <w:b/>
                <w:i w:val="0"/>
                <w:color w:val="FFFFFF"/>
                <w:sz w:val="20"/>
              </w:rPr>
              <w:t>Costo (USD)</w:t>
            </w:r>
          </w:p>
        </w:tc>
      </w:tr>
      <w:tr>
        <w:tc>
          <w:tcPr>
            <w:tcW w:type="dxa" w:w="2268"/>
            <w:shd w:val="clear" w:color="auto" w:fill="F4F6FA"/>
          </w:tcPr>
          <w:p>
            <w:pPr>
              <w:jc w:val="left"/>
            </w:pPr>
            <w:r>
              <w:rPr>
                <w:rFonts w:ascii="Calibri" w:hAnsi="Calibri"/>
                <w:b w:val="0"/>
                <w:i w:val="0"/>
                <w:color w:val="1A1A2E"/>
                <w:sz w:val="19"/>
              </w:rPr>
              <w:t>Comprension del negocio</w:t>
            </w:r>
          </w:p>
        </w:tc>
        <w:tc>
          <w:tcPr>
            <w:tcW w:type="dxa" w:w="4535"/>
            <w:shd w:val="clear" w:color="auto" w:fill="F4F6FA"/>
          </w:tcPr>
          <w:p>
            <w:pPr>
              <w:jc w:val="left"/>
            </w:pPr>
            <w:r>
              <w:rPr>
                <w:rFonts w:ascii="Calibri" w:hAnsi="Calibri"/>
                <w:b w:val="0"/>
                <w:i w:val="0"/>
                <w:color w:val="1A1A2E"/>
                <w:sz w:val="19"/>
              </w:rPr>
              <w:t>Definicion de objetivos y KPIs (academico)</w:t>
            </w:r>
          </w:p>
        </w:tc>
        <w:tc>
          <w:tcPr>
            <w:tcW w:type="dxa" w:w="1417"/>
            <w:shd w:val="clear" w:color="auto" w:fill="F4F6FA"/>
          </w:tcPr>
          <w:p>
            <w:pPr>
              <w:jc w:val="left"/>
            </w:pPr>
            <w:r>
              <w:rPr>
                <w:rFonts w:ascii="Calibri" w:hAnsi="Calibri"/>
                <w:b w:val="0"/>
                <w:i w:val="0"/>
                <w:color w:val="1A1A2E"/>
                <w:sz w:val="19"/>
              </w:rPr>
              <w:t>$0</w:t>
            </w:r>
          </w:p>
        </w:tc>
      </w:tr>
      <w:tr>
        <w:tc>
          <w:tcPr>
            <w:tcW w:type="dxa" w:w="2268"/>
            <w:shd w:val="clear" w:color="auto" w:fill="FFFFFF"/>
          </w:tcPr>
          <w:p>
            <w:pPr>
              <w:jc w:val="left"/>
            </w:pPr>
            <w:r>
              <w:rPr>
                <w:rFonts w:ascii="Calibri" w:hAnsi="Calibri"/>
                <w:b w:val="0"/>
                <w:i w:val="0"/>
                <w:color w:val="1A1A2E"/>
                <w:sz w:val="19"/>
              </w:rPr>
              <w:t>Datos</w:t>
            </w:r>
          </w:p>
        </w:tc>
        <w:tc>
          <w:tcPr>
            <w:tcW w:type="dxa" w:w="4535"/>
            <w:shd w:val="clear" w:color="auto" w:fill="FFFFFF"/>
          </w:tcPr>
          <w:p>
            <w:pPr>
              <w:jc w:val="left"/>
            </w:pPr>
            <w:r>
              <w:rPr>
                <w:rFonts w:ascii="Calibri" w:hAnsi="Calibri"/>
                <w:b w:val="0"/>
                <w:i w:val="0"/>
                <w:color w:val="1A1A2E"/>
                <w:sz w:val="19"/>
              </w:rPr>
              <w:t>Adquisicion, limpieza y validacion de dataset</w:t>
            </w:r>
          </w:p>
        </w:tc>
        <w:tc>
          <w:tcPr>
            <w:tcW w:type="dxa" w:w="1417"/>
            <w:shd w:val="clear" w:color="auto" w:fill="FFFFFF"/>
          </w:tcPr>
          <w:p>
            <w:pPr>
              <w:jc w:val="left"/>
            </w:pPr>
            <w:r>
              <w:rPr>
                <w:rFonts w:ascii="Calibri" w:hAnsi="Calibri"/>
                <w:b w:val="0"/>
                <w:i w:val="0"/>
                <w:color w:val="1A1A2E"/>
                <w:sz w:val="19"/>
              </w:rPr>
              <w:t>$800</w:t>
            </w:r>
          </w:p>
        </w:tc>
      </w:tr>
      <w:tr>
        <w:tc>
          <w:tcPr>
            <w:tcW w:type="dxa" w:w="2268"/>
            <w:shd w:val="clear" w:color="auto" w:fill="F4F6FA"/>
          </w:tcPr>
          <w:p>
            <w:pPr>
              <w:jc w:val="left"/>
            </w:pPr>
            <w:r>
              <w:rPr>
                <w:rFonts w:ascii="Calibri" w:hAnsi="Calibri"/>
                <w:b w:val="0"/>
                <w:i w:val="0"/>
                <w:color w:val="1A1A2E"/>
                <w:sz w:val="19"/>
              </w:rPr>
              <w:t>Modelado</w:t>
            </w:r>
          </w:p>
        </w:tc>
        <w:tc>
          <w:tcPr>
            <w:tcW w:type="dxa" w:w="4535"/>
            <w:shd w:val="clear" w:color="auto" w:fill="F4F6FA"/>
          </w:tcPr>
          <w:p>
            <w:pPr>
              <w:jc w:val="left"/>
            </w:pPr>
            <w:r>
              <w:rPr>
                <w:rFonts w:ascii="Calibri" w:hAnsi="Calibri"/>
                <w:b w:val="0"/>
                <w:i w:val="0"/>
                <w:color w:val="1A1A2E"/>
                <w:sz w:val="19"/>
              </w:rPr>
              <w:t>Experimentacion en Google Colab (gratuito)</w:t>
            </w:r>
          </w:p>
        </w:tc>
        <w:tc>
          <w:tcPr>
            <w:tcW w:type="dxa" w:w="1417"/>
            <w:shd w:val="clear" w:color="auto" w:fill="F4F6FA"/>
          </w:tcPr>
          <w:p>
            <w:pPr>
              <w:jc w:val="left"/>
            </w:pPr>
            <w:r>
              <w:rPr>
                <w:rFonts w:ascii="Calibri" w:hAnsi="Calibri"/>
                <w:b w:val="0"/>
                <w:i w:val="0"/>
                <w:color w:val="1A1A2E"/>
                <w:sz w:val="19"/>
              </w:rPr>
              <w:t>$0</w:t>
            </w:r>
          </w:p>
        </w:tc>
      </w:tr>
      <w:tr>
        <w:tc>
          <w:tcPr>
            <w:tcW w:type="dxa" w:w="2268"/>
            <w:shd w:val="clear" w:color="auto" w:fill="FFFFFF"/>
          </w:tcPr>
          <w:p>
            <w:pPr>
              <w:jc w:val="left"/>
            </w:pPr>
            <w:r>
              <w:rPr>
                <w:rFonts w:ascii="Calibri" w:hAnsi="Calibri"/>
                <w:b w:val="0"/>
                <w:i w:val="0"/>
                <w:color w:val="1A1A2E"/>
                <w:sz w:val="19"/>
              </w:rPr>
              <w:t>Evaluacion</w:t>
            </w:r>
          </w:p>
        </w:tc>
        <w:tc>
          <w:tcPr>
            <w:tcW w:type="dxa" w:w="4535"/>
            <w:shd w:val="clear" w:color="auto" w:fill="FFFFFF"/>
          </w:tcPr>
          <w:p>
            <w:pPr>
              <w:jc w:val="left"/>
            </w:pPr>
            <w:r>
              <w:rPr>
                <w:rFonts w:ascii="Calibri" w:hAnsi="Calibri"/>
                <w:b w:val="0"/>
                <w:i w:val="0"/>
                <w:color w:val="1A1A2E"/>
                <w:sz w:val="19"/>
              </w:rPr>
              <w:t>Validacion estadistica y pruebas de carga</w:t>
            </w:r>
          </w:p>
        </w:tc>
        <w:tc>
          <w:tcPr>
            <w:tcW w:type="dxa" w:w="1417"/>
            <w:shd w:val="clear" w:color="auto" w:fill="FFFFFF"/>
          </w:tcPr>
          <w:p>
            <w:pPr>
              <w:jc w:val="left"/>
            </w:pPr>
            <w:r>
              <w:rPr>
                <w:rFonts w:ascii="Calibri" w:hAnsi="Calibri"/>
                <w:b w:val="0"/>
                <w:i w:val="0"/>
                <w:color w:val="1A1A2E"/>
                <w:sz w:val="19"/>
              </w:rPr>
              <w:t>$0</w:t>
            </w:r>
          </w:p>
        </w:tc>
      </w:tr>
      <w:tr>
        <w:tc>
          <w:tcPr>
            <w:tcW w:type="dxa" w:w="2268"/>
            <w:shd w:val="clear" w:color="auto" w:fill="F4F6FA"/>
          </w:tcPr>
          <w:p>
            <w:pPr>
              <w:jc w:val="left"/>
            </w:pPr>
            <w:r>
              <w:rPr>
                <w:rFonts w:ascii="Calibri" w:hAnsi="Calibri"/>
                <w:b w:val="0"/>
                <w:i w:val="0"/>
                <w:color w:val="1A1A2E"/>
                <w:sz w:val="19"/>
              </w:rPr>
              <w:t>Despliegue</w:t>
            </w:r>
          </w:p>
        </w:tc>
        <w:tc>
          <w:tcPr>
            <w:tcW w:type="dxa" w:w="4535"/>
            <w:shd w:val="clear" w:color="auto" w:fill="F4F6FA"/>
          </w:tcPr>
          <w:p>
            <w:pPr>
              <w:jc w:val="left"/>
            </w:pPr>
            <w:r>
              <w:rPr>
                <w:rFonts w:ascii="Calibri" w:hAnsi="Calibri"/>
                <w:b w:val="0"/>
                <w:i w:val="0"/>
                <w:color w:val="1A1A2E"/>
                <w:sz w:val="19"/>
              </w:rPr>
              <w:t>Desarrollo, contenedorizacion e integracion API</w:t>
            </w:r>
          </w:p>
        </w:tc>
        <w:tc>
          <w:tcPr>
            <w:tcW w:type="dxa" w:w="1417"/>
            <w:shd w:val="clear" w:color="auto" w:fill="F4F6FA"/>
          </w:tcPr>
          <w:p>
            <w:pPr>
              <w:jc w:val="left"/>
            </w:pPr>
            <w:r>
              <w:rPr>
                <w:rFonts w:ascii="Calibri" w:hAnsi="Calibri"/>
                <w:b w:val="0"/>
                <w:i w:val="0"/>
                <w:color w:val="1A1A2E"/>
                <w:sz w:val="19"/>
              </w:rPr>
              <w:t>$3,200</w:t>
            </w:r>
          </w:p>
        </w:tc>
      </w:tr>
      <w:tr>
        <w:tc>
          <w:tcPr>
            <w:tcW w:type="dxa" w:w="2268"/>
            <w:shd w:val="clear" w:color="auto" w:fill="FFFFFF"/>
          </w:tcPr>
          <w:p>
            <w:pPr>
              <w:jc w:val="left"/>
            </w:pPr>
            <w:r>
              <w:rPr>
                <w:rFonts w:ascii="Calibri" w:hAnsi="Calibri"/>
                <w:b w:val="0"/>
                <w:i w:val="0"/>
                <w:color w:val="1A1A2E"/>
                <w:sz w:val="19"/>
              </w:rPr>
              <w:t>Infraestructura</w:t>
            </w:r>
          </w:p>
        </w:tc>
        <w:tc>
          <w:tcPr>
            <w:tcW w:type="dxa" w:w="4535"/>
            <w:shd w:val="clear" w:color="auto" w:fill="FFFFFF"/>
          </w:tcPr>
          <w:p>
            <w:pPr>
              <w:jc w:val="left"/>
            </w:pPr>
            <w:r>
              <w:rPr>
                <w:rFonts w:ascii="Calibri" w:hAnsi="Calibri"/>
                <w:b w:val="0"/>
                <w:i w:val="0"/>
                <w:color w:val="1A1A2E"/>
                <w:sz w:val="19"/>
              </w:rPr>
              <w:t>GCP Cloud Run + Storage 12 meses (~$61/mes)</w:t>
            </w:r>
          </w:p>
        </w:tc>
        <w:tc>
          <w:tcPr>
            <w:tcW w:type="dxa" w:w="1417"/>
            <w:shd w:val="clear" w:color="auto" w:fill="FFFFFF"/>
          </w:tcPr>
          <w:p>
            <w:pPr>
              <w:jc w:val="left"/>
            </w:pPr>
            <w:r>
              <w:rPr>
                <w:rFonts w:ascii="Calibri" w:hAnsi="Calibri"/>
                <w:b w:val="0"/>
                <w:i w:val="0"/>
                <w:color w:val="1A1A2E"/>
                <w:sz w:val="19"/>
              </w:rPr>
              <w:t>$732</w:t>
            </w:r>
          </w:p>
        </w:tc>
      </w:tr>
      <w:tr>
        <w:tc>
          <w:tcPr>
            <w:tcW w:type="dxa" w:w="2268"/>
            <w:shd w:val="clear" w:color="auto" w:fill="F4F6FA"/>
          </w:tcPr>
          <w:p>
            <w:pPr>
              <w:jc w:val="left"/>
            </w:pPr>
            <w:r>
              <w:rPr>
                <w:rFonts w:ascii="Calibri" w:hAnsi="Calibri"/>
                <w:b w:val="0"/>
                <w:i w:val="0"/>
                <w:color w:val="1A1A2E"/>
                <w:sz w:val="19"/>
              </w:rPr>
              <w:t>Capacitacion</w:t>
            </w:r>
          </w:p>
        </w:tc>
        <w:tc>
          <w:tcPr>
            <w:tcW w:type="dxa" w:w="4535"/>
            <w:shd w:val="clear" w:color="auto" w:fill="F4F6FA"/>
          </w:tcPr>
          <w:p>
            <w:pPr>
              <w:jc w:val="left"/>
            </w:pPr>
            <w:r>
              <w:rPr>
                <w:rFonts w:ascii="Calibri" w:hAnsi="Calibri"/>
                <w:b w:val="0"/>
                <w:i w:val="0"/>
                <w:color w:val="1A1A2E"/>
                <w:sz w:val="19"/>
              </w:rPr>
              <w:t>Taller para veterinarios y personal de granja</w:t>
            </w:r>
          </w:p>
        </w:tc>
        <w:tc>
          <w:tcPr>
            <w:tcW w:type="dxa" w:w="1417"/>
            <w:shd w:val="clear" w:color="auto" w:fill="F4F6FA"/>
          </w:tcPr>
          <w:p>
            <w:pPr>
              <w:jc w:val="left"/>
            </w:pPr>
            <w:r>
              <w:rPr>
                <w:rFonts w:ascii="Calibri" w:hAnsi="Calibri"/>
                <w:b w:val="0"/>
                <w:i w:val="0"/>
                <w:color w:val="1A1A2E"/>
                <w:sz w:val="19"/>
              </w:rPr>
              <w:t>$500</w:t>
            </w:r>
          </w:p>
        </w:tc>
      </w:tr>
      <w:tr>
        <w:tc>
          <w:tcPr>
            <w:tcW w:type="dxa" w:w="2268"/>
            <w:shd w:val="clear" w:color="auto" w:fill="FFFFFF"/>
          </w:tcPr>
          <w:p>
            <w:pPr>
              <w:jc w:val="left"/>
            </w:pPr>
            <w:r>
              <w:rPr>
                <w:rFonts w:ascii="Calibri" w:hAnsi="Calibri"/>
                <w:b w:val="0"/>
                <w:i w:val="0"/>
                <w:color w:val="1A1A2E"/>
                <w:sz w:val="19"/>
              </w:rPr>
              <w:t>Mantenimiento</w:t>
            </w:r>
          </w:p>
        </w:tc>
        <w:tc>
          <w:tcPr>
            <w:tcW w:type="dxa" w:w="4535"/>
            <w:shd w:val="clear" w:color="auto" w:fill="FFFFFF"/>
          </w:tcPr>
          <w:p>
            <w:pPr>
              <w:jc w:val="left"/>
            </w:pPr>
            <w:r>
              <w:rPr>
                <w:rFonts w:ascii="Calibri" w:hAnsi="Calibri"/>
                <w:b w:val="0"/>
                <w:i w:val="0"/>
                <w:color w:val="1A1A2E"/>
                <w:sz w:val="19"/>
              </w:rPr>
              <w:t>Soporte, reentrenamiento y actualizaciones anuales</w:t>
            </w:r>
          </w:p>
        </w:tc>
        <w:tc>
          <w:tcPr>
            <w:tcW w:type="dxa" w:w="1417"/>
            <w:shd w:val="clear" w:color="auto" w:fill="FFFFFF"/>
          </w:tcPr>
          <w:p>
            <w:pPr>
              <w:jc w:val="left"/>
            </w:pPr>
            <w:r>
              <w:rPr>
                <w:rFonts w:ascii="Calibri" w:hAnsi="Calibri"/>
                <w:b w:val="0"/>
                <w:i w:val="0"/>
                <w:color w:val="1A1A2E"/>
                <w:sz w:val="19"/>
              </w:rPr>
              <w:t>$720</w:t>
            </w:r>
          </w:p>
        </w:tc>
      </w:tr>
      <w:tr>
        <w:tc>
          <w:tcPr>
            <w:tcW w:type="dxa" w:w="2268"/>
            <w:shd w:val="clear" w:color="auto" w:fill="F4F6FA"/>
          </w:tcPr>
          <w:p>
            <w:pPr>
              <w:jc w:val="left"/>
            </w:pPr>
            <w:r>
              <w:rPr>
                <w:rFonts w:ascii="Calibri" w:hAnsi="Calibri"/>
                <w:b w:val="0"/>
                <w:i w:val="0"/>
                <w:color w:val="1A1A2E"/>
                <w:sz w:val="19"/>
              </w:rPr>
              <w:t>TOTAL ANO 1</w:t>
            </w:r>
          </w:p>
        </w:tc>
        <w:tc>
          <w:tcPr>
            <w:tcW w:type="dxa" w:w="4535"/>
            <w:shd w:val="clear" w:color="auto" w:fill="F4F6FA"/>
          </w:tcPr>
          <w:p>
            <w:pPr>
              <w:jc w:val="left"/>
            </w:pPr>
            <w:r>
              <w:rPr>
                <w:rFonts w:ascii="Calibri" w:hAnsi="Calibri"/>
                <w:b w:val="0"/>
                <w:i w:val="0"/>
                <w:color w:val="1A1A2E"/>
                <w:sz w:val="19"/>
              </w:rPr>
            </w:r>
          </w:p>
        </w:tc>
        <w:tc>
          <w:tcPr>
            <w:tcW w:type="dxa" w:w="1417"/>
            <w:shd w:val="clear" w:color="auto" w:fill="F4F6FA"/>
          </w:tcPr>
          <w:p>
            <w:pPr>
              <w:jc w:val="left"/>
            </w:pPr>
            <w:r>
              <w:rPr>
                <w:rFonts w:ascii="Calibri" w:hAnsi="Calibri"/>
                <w:b w:val="0"/>
                <w:i w:val="0"/>
                <w:color w:val="1A1A2E"/>
                <w:sz w:val="19"/>
              </w:rPr>
              <w:t>$5,952</w:t>
            </w:r>
          </w:p>
        </w:tc>
      </w:tr>
    </w:tbl>
    <w:p/>
    <w:p>
      <w:pPr>
        <w:spacing w:after="80"/>
      </w:pPr>
      <w:r>
        <w:rPr>
          <w:rFonts w:ascii="Calibri" w:hAnsi="Calibri"/>
          <w:sz w:val="20"/>
        </w:rPr>
        <w:t>Beneficios Proyectados (100 vacas, primer ano de operacion):</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val="clear" w:color="auto" w:fill="161E44"/>
          </w:tcPr>
          <w:p>
            <w:pPr>
              <w:jc w:val="center"/>
            </w:pPr>
            <w:r>
              <w:rPr>
                <w:rFonts w:ascii="Calibri" w:hAnsi="Calibri"/>
                <w:b/>
                <w:i w:val="0"/>
                <w:color w:val="FFFFFF"/>
                <w:sz w:val="20"/>
              </w:rPr>
              <w:t>Fuente de Beneficio</w:t>
            </w:r>
          </w:p>
        </w:tc>
        <w:tc>
          <w:tcPr>
            <w:tcW w:type="dxa" w:w="4252"/>
            <w:shd w:val="clear" w:color="auto" w:fill="161E44"/>
          </w:tcPr>
          <w:p>
            <w:pPr>
              <w:jc w:val="center"/>
            </w:pPr>
            <w:r>
              <w:rPr>
                <w:rFonts w:ascii="Calibri" w:hAnsi="Calibri"/>
                <w:b/>
                <w:i w:val="0"/>
                <w:color w:val="FFFFFF"/>
                <w:sz w:val="20"/>
              </w:rPr>
              <w:t>Descripcion</w:t>
            </w:r>
          </w:p>
        </w:tc>
        <w:tc>
          <w:tcPr>
            <w:tcW w:type="dxa" w:w="1417"/>
            <w:shd w:val="clear" w:color="auto" w:fill="161E44"/>
          </w:tcPr>
          <w:p>
            <w:pPr>
              <w:jc w:val="center"/>
            </w:pPr>
            <w:r>
              <w:rPr>
                <w:rFonts w:ascii="Calibri" w:hAnsi="Calibri"/>
                <w:b/>
                <w:i w:val="0"/>
                <w:color w:val="FFFFFF"/>
                <w:sz w:val="20"/>
              </w:rPr>
              <w:t>Valor (USD)</w:t>
            </w:r>
          </w:p>
        </w:tc>
      </w:tr>
      <w:tr>
        <w:tc>
          <w:tcPr>
            <w:tcW w:type="dxa" w:w="2551"/>
            <w:shd w:val="clear" w:color="auto" w:fill="F4F6FA"/>
          </w:tcPr>
          <w:p>
            <w:pPr>
              <w:jc w:val="left"/>
            </w:pPr>
            <w:r>
              <w:rPr>
                <w:rFonts w:ascii="Calibri" w:hAnsi="Calibri"/>
                <w:b w:val="0"/>
                <w:i w:val="0"/>
                <w:color w:val="1A1A2E"/>
                <w:sz w:val="19"/>
              </w:rPr>
              <w:t>Ahorro en suplementacion</w:t>
            </w:r>
          </w:p>
        </w:tc>
        <w:tc>
          <w:tcPr>
            <w:tcW w:type="dxa" w:w="4252"/>
            <w:shd w:val="clear" w:color="auto" w:fill="F4F6FA"/>
          </w:tcPr>
          <w:p>
            <w:pPr>
              <w:jc w:val="left"/>
            </w:pPr>
            <w:r>
              <w:rPr>
                <w:rFonts w:ascii="Calibri" w:hAnsi="Calibri"/>
                <w:b w:val="0"/>
                <w:i w:val="0"/>
                <w:color w:val="1A1A2E"/>
                <w:sz w:val="19"/>
              </w:rPr>
              <w:t>Dosificacion optima elimina exceso de nutraceutico</w:t>
            </w:r>
          </w:p>
        </w:tc>
        <w:tc>
          <w:tcPr>
            <w:tcW w:type="dxa" w:w="1417"/>
            <w:shd w:val="clear" w:color="auto" w:fill="F4F6FA"/>
          </w:tcPr>
          <w:p>
            <w:pPr>
              <w:jc w:val="left"/>
            </w:pPr>
            <w:r>
              <w:rPr>
                <w:rFonts w:ascii="Calibri" w:hAnsi="Calibri"/>
                <w:b w:val="0"/>
                <w:i w:val="0"/>
                <w:color w:val="1A1A2E"/>
                <w:sz w:val="19"/>
              </w:rPr>
              <w:t>$10,000</w:t>
            </w:r>
          </w:p>
        </w:tc>
      </w:tr>
      <w:tr>
        <w:tc>
          <w:tcPr>
            <w:tcW w:type="dxa" w:w="2551"/>
            <w:shd w:val="clear" w:color="auto" w:fill="FFFFFF"/>
          </w:tcPr>
          <w:p>
            <w:pPr>
              <w:jc w:val="left"/>
            </w:pPr>
            <w:r>
              <w:rPr>
                <w:rFonts w:ascii="Calibri" w:hAnsi="Calibri"/>
                <w:b w:val="0"/>
                <w:i w:val="0"/>
                <w:color w:val="1A1A2E"/>
                <w:sz w:val="19"/>
              </w:rPr>
              <w:t>Eficiencia productiva</w:t>
            </w:r>
          </w:p>
        </w:tc>
        <w:tc>
          <w:tcPr>
            <w:tcW w:type="dxa" w:w="4252"/>
            <w:shd w:val="clear" w:color="auto" w:fill="FFFFFF"/>
          </w:tcPr>
          <w:p>
            <w:pPr>
              <w:jc w:val="left"/>
            </w:pPr>
            <w:r>
              <w:rPr>
                <w:rFonts w:ascii="Calibri" w:hAnsi="Calibri"/>
                <w:b w:val="0"/>
                <w:i w:val="0"/>
                <w:color w:val="1A1A2E"/>
                <w:sz w:val="19"/>
              </w:rPr>
              <w:t>Mejora +5% en produccion de leche por reduccion CH4</w:t>
            </w:r>
          </w:p>
        </w:tc>
        <w:tc>
          <w:tcPr>
            <w:tcW w:type="dxa" w:w="1417"/>
            <w:shd w:val="clear" w:color="auto" w:fill="FFFFFF"/>
          </w:tcPr>
          <w:p>
            <w:pPr>
              <w:jc w:val="left"/>
            </w:pPr>
            <w:r>
              <w:rPr>
                <w:rFonts w:ascii="Calibri" w:hAnsi="Calibri"/>
                <w:b w:val="0"/>
                <w:i w:val="0"/>
                <w:color w:val="1A1A2E"/>
                <w:sz w:val="19"/>
              </w:rPr>
              <w:t>$2,500</w:t>
            </w:r>
          </w:p>
        </w:tc>
      </w:tr>
      <w:tr>
        <w:tc>
          <w:tcPr>
            <w:tcW w:type="dxa" w:w="2551"/>
            <w:shd w:val="clear" w:color="auto" w:fill="F4F6FA"/>
          </w:tcPr>
          <w:p>
            <w:pPr>
              <w:jc w:val="left"/>
            </w:pPr>
            <w:r>
              <w:rPr>
                <w:rFonts w:ascii="Calibri" w:hAnsi="Calibri"/>
                <w:b w:val="0"/>
                <w:i w:val="0"/>
                <w:color w:val="1A1A2E"/>
                <w:sz w:val="19"/>
              </w:rPr>
              <w:t>Creditos de carbono</w:t>
            </w:r>
          </w:p>
        </w:tc>
        <w:tc>
          <w:tcPr>
            <w:tcW w:type="dxa" w:w="4252"/>
            <w:shd w:val="clear" w:color="auto" w:fill="F4F6FA"/>
          </w:tcPr>
          <w:p>
            <w:pPr>
              <w:jc w:val="left"/>
            </w:pPr>
            <w:r>
              <w:rPr>
                <w:rFonts w:ascii="Calibri" w:hAnsi="Calibri"/>
                <w:b w:val="0"/>
                <w:i w:val="0"/>
                <w:color w:val="1A1A2E"/>
                <w:sz w:val="19"/>
              </w:rPr>
              <w:t>~50 ton CH4 reducidas, mercado voluntario</w:t>
            </w:r>
          </w:p>
        </w:tc>
        <w:tc>
          <w:tcPr>
            <w:tcW w:type="dxa" w:w="1417"/>
            <w:shd w:val="clear" w:color="auto" w:fill="F4F6FA"/>
          </w:tcPr>
          <w:p>
            <w:pPr>
              <w:jc w:val="left"/>
            </w:pPr>
            <w:r>
              <w:rPr>
                <w:rFonts w:ascii="Calibri" w:hAnsi="Calibri"/>
                <w:b w:val="0"/>
                <w:i w:val="0"/>
                <w:color w:val="1A1A2E"/>
                <w:sz w:val="19"/>
              </w:rPr>
              <w:t>$1,500</w:t>
            </w:r>
          </w:p>
        </w:tc>
      </w:tr>
      <w:tr>
        <w:tc>
          <w:tcPr>
            <w:tcW w:type="dxa" w:w="2551"/>
            <w:shd w:val="clear" w:color="auto" w:fill="FFFFFF"/>
          </w:tcPr>
          <w:p>
            <w:pPr>
              <w:jc w:val="left"/>
            </w:pPr>
            <w:r>
              <w:rPr>
                <w:rFonts w:ascii="Calibri" w:hAnsi="Calibri"/>
                <w:b w:val="0"/>
                <w:i w:val="0"/>
                <w:color w:val="1A1A2E"/>
                <w:sz w:val="19"/>
              </w:rPr>
              <w:t>Reduccion costos vet.</w:t>
            </w:r>
          </w:p>
        </w:tc>
        <w:tc>
          <w:tcPr>
            <w:tcW w:type="dxa" w:w="4252"/>
            <w:shd w:val="clear" w:color="auto" w:fill="FFFFFF"/>
          </w:tcPr>
          <w:p>
            <w:pPr>
              <w:jc w:val="left"/>
            </w:pPr>
            <w:r>
              <w:rPr>
                <w:rFonts w:ascii="Calibri" w:hAnsi="Calibri"/>
                <w:b w:val="0"/>
                <w:i w:val="0"/>
                <w:color w:val="1A1A2E"/>
                <w:sz w:val="19"/>
              </w:rPr>
              <w:t>Menos visitas por problemas metabolicos asociados</w:t>
            </w:r>
          </w:p>
        </w:tc>
        <w:tc>
          <w:tcPr>
            <w:tcW w:type="dxa" w:w="1417"/>
            <w:shd w:val="clear" w:color="auto" w:fill="FFFFFF"/>
          </w:tcPr>
          <w:p>
            <w:pPr>
              <w:jc w:val="left"/>
            </w:pPr>
            <w:r>
              <w:rPr>
                <w:rFonts w:ascii="Calibri" w:hAnsi="Calibri"/>
                <w:b w:val="0"/>
                <w:i w:val="0"/>
                <w:color w:val="1A1A2E"/>
                <w:sz w:val="19"/>
              </w:rPr>
              <w:t>$800</w:t>
            </w:r>
          </w:p>
        </w:tc>
      </w:tr>
      <w:tr>
        <w:tc>
          <w:tcPr>
            <w:tcW w:type="dxa" w:w="2551"/>
            <w:shd w:val="clear" w:color="auto" w:fill="F4F6FA"/>
          </w:tcPr>
          <w:p>
            <w:pPr>
              <w:jc w:val="left"/>
            </w:pPr>
            <w:r>
              <w:rPr>
                <w:rFonts w:ascii="Calibri" w:hAnsi="Calibri"/>
                <w:b w:val="0"/>
                <w:i w:val="0"/>
                <w:color w:val="1A1A2E"/>
                <w:sz w:val="19"/>
              </w:rPr>
              <w:t>TOTAL BENEFICIOS</w:t>
            </w:r>
          </w:p>
        </w:tc>
        <w:tc>
          <w:tcPr>
            <w:tcW w:type="dxa" w:w="4252"/>
            <w:shd w:val="clear" w:color="auto" w:fill="F4F6FA"/>
          </w:tcPr>
          <w:p>
            <w:pPr>
              <w:jc w:val="left"/>
            </w:pPr>
            <w:r>
              <w:rPr>
                <w:rFonts w:ascii="Calibri" w:hAnsi="Calibri"/>
                <w:b w:val="0"/>
                <w:i w:val="0"/>
                <w:color w:val="1A1A2E"/>
                <w:sz w:val="19"/>
              </w:rPr>
            </w:r>
          </w:p>
        </w:tc>
        <w:tc>
          <w:tcPr>
            <w:tcW w:type="dxa" w:w="1417"/>
            <w:shd w:val="clear" w:color="auto" w:fill="F4F6FA"/>
          </w:tcPr>
          <w:p>
            <w:pPr>
              <w:jc w:val="left"/>
            </w:pPr>
            <w:r>
              <w:rPr>
                <w:rFonts w:ascii="Calibri" w:hAnsi="Calibri"/>
                <w:b w:val="0"/>
                <w:i w:val="0"/>
                <w:color w:val="1A1A2E"/>
                <w:sz w:val="19"/>
              </w:rPr>
              <w:t>$14,800</w:t>
            </w:r>
          </w:p>
        </w:tc>
      </w:tr>
    </w:tbl>
    <w:p/>
    <w:p>
      <w:pPr>
        <w:spacing w:after="80"/>
      </w:pPr>
      <w:r>
        <w:rPr>
          <w:rFonts w:ascii="Calibri" w:hAnsi="Calibri"/>
          <w:sz w:val="20"/>
        </w:rPr>
        <w:t>ROI: 149%  |  Punto de equilibrio: ~4.8 meses de operacion  |  Beneficio neto ano 1: $8,848 USD</w:t>
      </w:r>
    </w:p>
    <w:p>
      <w:pPr>
        <w:pBdr>
          <w:bottom w:val="single" w:sz="6" w:space="1" w:color="00A07A"/>
        </w:pBdr>
        <w:spacing w:after="160"/>
      </w:pPr>
    </w:p>
    <w:p>
      <w:pPr>
        <w:spacing w:before="320" w:after="80"/>
      </w:pPr>
      <w:r>
        <w:rPr>
          <w:rFonts w:ascii="Calibri" w:hAnsi="Calibri"/>
          <w:b/>
          <w:color w:val="00A07A"/>
          <w:sz w:val="26"/>
        </w:rPr>
        <w:t xml:space="preserve">6. </w:t>
      </w:r>
      <w:r>
        <w:rPr>
          <w:rFonts w:ascii="Calibri" w:hAnsi="Calibri"/>
          <w:b/>
          <w:color w:val="161E44"/>
          <w:sz w:val="26"/>
        </w:rPr>
        <w:t>RIESGOS, DESAFIOS Y MITIGACION</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color="auto" w:fill="161E44"/>
          </w:tcPr>
          <w:p>
            <w:pPr>
              <w:jc w:val="center"/>
            </w:pPr>
            <w:r>
              <w:rPr>
                <w:rFonts w:ascii="Calibri" w:hAnsi="Calibri"/>
                <w:b/>
                <w:i w:val="0"/>
                <w:color w:val="FFFFFF"/>
                <w:sz w:val="20"/>
              </w:rPr>
              <w:t>Categoria</w:t>
            </w:r>
          </w:p>
        </w:tc>
        <w:tc>
          <w:tcPr>
            <w:tcW w:type="dxa" w:w="3118"/>
            <w:shd w:val="clear" w:color="auto" w:fill="161E44"/>
          </w:tcPr>
          <w:p>
            <w:pPr>
              <w:jc w:val="center"/>
            </w:pPr>
            <w:r>
              <w:rPr>
                <w:rFonts w:ascii="Calibri" w:hAnsi="Calibri"/>
                <w:b/>
                <w:i w:val="0"/>
                <w:color w:val="FFFFFF"/>
                <w:sz w:val="20"/>
              </w:rPr>
              <w:t>Riesgo Identificado</w:t>
            </w:r>
          </w:p>
        </w:tc>
        <w:tc>
          <w:tcPr>
            <w:tcW w:type="dxa" w:w="3969"/>
            <w:shd w:val="clear" w:color="auto" w:fill="161E44"/>
          </w:tcPr>
          <w:p>
            <w:pPr>
              <w:jc w:val="center"/>
            </w:pPr>
            <w:r>
              <w:rPr>
                <w:rFonts w:ascii="Calibri" w:hAnsi="Calibri"/>
                <w:b/>
                <w:i w:val="0"/>
                <w:color w:val="FFFFFF"/>
                <w:sz w:val="20"/>
              </w:rPr>
              <w:t>Estrategia de Mitigacion</w:t>
            </w:r>
          </w:p>
        </w:tc>
      </w:tr>
      <w:tr>
        <w:tc>
          <w:tcPr>
            <w:tcW w:type="dxa" w:w="1701"/>
            <w:shd w:val="clear" w:color="auto" w:fill="F4F6FA"/>
          </w:tcPr>
          <w:p>
            <w:pPr>
              <w:jc w:val="left"/>
            </w:pPr>
            <w:r>
              <w:rPr>
                <w:rFonts w:ascii="Calibri" w:hAnsi="Calibri"/>
                <w:b w:val="0"/>
                <w:i w:val="0"/>
                <w:color w:val="1A1A2E"/>
                <w:sz w:val="19"/>
              </w:rPr>
              <w:t>DATOS</w:t>
            </w:r>
          </w:p>
        </w:tc>
        <w:tc>
          <w:tcPr>
            <w:tcW w:type="dxa" w:w="3118"/>
            <w:shd w:val="clear" w:color="auto" w:fill="F4F6FA"/>
          </w:tcPr>
          <w:p>
            <w:pPr>
              <w:jc w:val="left"/>
            </w:pPr>
            <w:r>
              <w:rPr>
                <w:rFonts w:ascii="Calibri" w:hAnsi="Calibri"/>
                <w:b w:val="0"/>
                <w:i w:val="0"/>
                <w:color w:val="1A1A2E"/>
                <w:sz w:val="19"/>
              </w:rPr>
              <w:t>Sesgo de sensores; datos faltantes en registros de produccion.</w:t>
            </w:r>
          </w:p>
        </w:tc>
        <w:tc>
          <w:tcPr>
            <w:tcW w:type="dxa" w:w="3969"/>
            <w:shd w:val="clear" w:color="auto" w:fill="F4F6FA"/>
          </w:tcPr>
          <w:p>
            <w:pPr>
              <w:jc w:val="left"/>
            </w:pPr>
            <w:r>
              <w:rPr>
                <w:rFonts w:ascii="Calibri" w:hAnsi="Calibri"/>
                <w:b w:val="0"/>
                <w:i w:val="0"/>
                <w:color w:val="1A1A2E"/>
                <w:sz w:val="19"/>
              </w:rPr>
              <w:t>Pipeline de validacion automatica (rango, outliers, drift). Reentrenamiento trimestral con datos auditados.</w:t>
            </w:r>
          </w:p>
        </w:tc>
      </w:tr>
      <w:tr>
        <w:tc>
          <w:tcPr>
            <w:tcW w:type="dxa" w:w="1701"/>
            <w:shd w:val="clear" w:color="auto" w:fill="FFFFFF"/>
          </w:tcPr>
          <w:p>
            <w:pPr>
              <w:jc w:val="left"/>
            </w:pPr>
            <w:r>
              <w:rPr>
                <w:rFonts w:ascii="Calibri" w:hAnsi="Calibri"/>
                <w:b w:val="0"/>
                <w:i w:val="0"/>
                <w:color w:val="1A1A2E"/>
                <w:sz w:val="19"/>
              </w:rPr>
              <w:t>SEGURIDAD / ATAQUES</w:t>
            </w:r>
          </w:p>
        </w:tc>
        <w:tc>
          <w:tcPr>
            <w:tcW w:type="dxa" w:w="3118"/>
            <w:shd w:val="clear" w:color="auto" w:fill="FFFFFF"/>
          </w:tcPr>
          <w:p>
            <w:pPr>
              <w:jc w:val="left"/>
            </w:pPr>
            <w:r>
              <w:rPr>
                <w:rFonts w:ascii="Calibri" w:hAnsi="Calibri"/>
                <w:b w:val="0"/>
                <w:i w:val="0"/>
                <w:color w:val="1A1A2E"/>
                <w:sz w:val="19"/>
              </w:rPr>
              <w:t>Adversarial inputs en API; data poisoning; filtracion de datos sensibles.</w:t>
            </w:r>
          </w:p>
        </w:tc>
        <w:tc>
          <w:tcPr>
            <w:tcW w:type="dxa" w:w="3969"/>
            <w:shd w:val="clear" w:color="auto" w:fill="FFFFFF"/>
          </w:tcPr>
          <w:p>
            <w:pPr>
              <w:jc w:val="left"/>
            </w:pPr>
            <w:r>
              <w:rPr>
                <w:rFonts w:ascii="Calibri" w:hAnsi="Calibri"/>
                <w:b w:val="0"/>
                <w:i w:val="0"/>
                <w:color w:val="1A1A2E"/>
                <w:sz w:val="19"/>
              </w:rPr>
              <w:t>OAuth 2.0 + rate limiting; validacion estricta de inputs; encriptacion AES-256 en reposo y transito; firma digital de modelos en produccion.</w:t>
            </w:r>
          </w:p>
        </w:tc>
      </w:tr>
      <w:tr>
        <w:tc>
          <w:tcPr>
            <w:tcW w:type="dxa" w:w="1701"/>
            <w:shd w:val="clear" w:color="auto" w:fill="F4F6FA"/>
          </w:tcPr>
          <w:p>
            <w:pPr>
              <w:jc w:val="left"/>
            </w:pPr>
            <w:r>
              <w:rPr>
                <w:rFonts w:ascii="Calibri" w:hAnsi="Calibri"/>
                <w:b w:val="0"/>
                <w:i w:val="0"/>
                <w:color w:val="1A1A2E"/>
                <w:sz w:val="19"/>
              </w:rPr>
              <w:t>PRUEBA Y CONFIANZA</w:t>
            </w:r>
          </w:p>
        </w:tc>
        <w:tc>
          <w:tcPr>
            <w:tcW w:type="dxa" w:w="3118"/>
            <w:shd w:val="clear" w:color="auto" w:fill="F4F6FA"/>
          </w:tcPr>
          <w:p>
            <w:pPr>
              <w:jc w:val="left"/>
            </w:pPr>
            <w:r>
              <w:rPr>
                <w:rFonts w:ascii="Calibri" w:hAnsi="Calibri"/>
                <w:b w:val="0"/>
                <w:i w:val="0"/>
                <w:color w:val="1A1A2E"/>
                <w:sz w:val="19"/>
              </w:rPr>
              <w:t>Baja adopcion por parte de veterinarios; sobreconfianza en predicciones.</w:t>
            </w:r>
          </w:p>
        </w:tc>
        <w:tc>
          <w:tcPr>
            <w:tcW w:type="dxa" w:w="3969"/>
            <w:shd w:val="clear" w:color="auto" w:fill="F4F6FA"/>
          </w:tcPr>
          <w:p>
            <w:pPr>
              <w:jc w:val="left"/>
            </w:pPr>
            <w:r>
              <w:rPr>
                <w:rFonts w:ascii="Calibri" w:hAnsi="Calibri"/>
                <w:b w:val="0"/>
                <w:i w:val="0"/>
                <w:color w:val="1A1A2E"/>
                <w:sz w:val="19"/>
              </w:rPr>
              <w:t>Explicabilidad con SHAP values; intervalos de confianza en cada prediccion; programa de capacitacion presencial; runbook con casos de fallo conocidos.</w:t>
            </w:r>
          </w:p>
        </w:tc>
      </w:tr>
      <w:tr>
        <w:tc>
          <w:tcPr>
            <w:tcW w:type="dxa" w:w="1701"/>
            <w:shd w:val="clear" w:color="auto" w:fill="FFFFFF"/>
          </w:tcPr>
          <w:p>
            <w:pPr>
              <w:jc w:val="left"/>
            </w:pPr>
            <w:r>
              <w:rPr>
                <w:rFonts w:ascii="Calibri" w:hAnsi="Calibri"/>
                <w:b w:val="0"/>
                <w:i w:val="0"/>
                <w:color w:val="1A1A2E"/>
                <w:sz w:val="19"/>
              </w:rPr>
              <w:t>CUMPLIMIENTO REGULATORIO</w:t>
            </w:r>
          </w:p>
        </w:tc>
        <w:tc>
          <w:tcPr>
            <w:tcW w:type="dxa" w:w="3118"/>
            <w:shd w:val="clear" w:color="auto" w:fill="FFFFFF"/>
          </w:tcPr>
          <w:p>
            <w:pPr>
              <w:jc w:val="left"/>
            </w:pPr>
            <w:r>
              <w:rPr>
                <w:rFonts w:ascii="Calibri" w:hAnsi="Calibri"/>
                <w:b w:val="0"/>
                <w:i w:val="0"/>
                <w:color w:val="1A1A2E"/>
                <w:sz w:val="19"/>
              </w:rPr>
              <w:t>LFPDPPP (datos personales de veterinarios/propietarios); NOM-SEMARNAT-083 (residuos).</w:t>
            </w:r>
          </w:p>
        </w:tc>
        <w:tc>
          <w:tcPr>
            <w:tcW w:type="dxa" w:w="3969"/>
            <w:shd w:val="clear" w:color="auto" w:fill="FFFFFF"/>
          </w:tcPr>
          <w:p>
            <w:pPr>
              <w:jc w:val="left"/>
            </w:pPr>
            <w:r>
              <w:rPr>
                <w:rFonts w:ascii="Calibri" w:hAnsi="Calibri"/>
                <w:b w:val="0"/>
                <w:i w:val="0"/>
                <w:color w:val="1A1A2E"/>
                <w:sz w:val="19"/>
              </w:rPr>
              <w:t>Aviso de privacidad conforme a LFPDPPP; Cloud DPA firmado con GCP; documentacion bajo CRISP-ML(Q); registro inmutable de todas las predicciones.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61E44"/>
        <w:sz w:val="16"/>
      </w:rPr>
      <w:t>Equipo 48  |  Machine Learning  |  Tecnologico de Monterrey  |  Junio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